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3.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AD04B" w14:textId="77777777" w:rsidR="007151BC" w:rsidRPr="009F466A" w:rsidRDefault="007151BC" w:rsidP="007151BC">
      <w:pPr>
        <w:spacing w:before="3800" w:after="240" w:line="240" w:lineRule="auto"/>
        <w:jc w:val="center"/>
        <w:rPr>
          <w:b/>
          <w:sz w:val="52"/>
          <w:szCs w:val="52"/>
        </w:rPr>
      </w:pPr>
      <w:r w:rsidRPr="009F466A">
        <w:rPr>
          <w:b/>
          <w:sz w:val="52"/>
          <w:szCs w:val="52"/>
        </w:rPr>
        <w:t>Pharmaceutical Benefits Scheme</w:t>
      </w:r>
    </w:p>
    <w:p w14:paraId="1525776F" w14:textId="77777777" w:rsidR="007151BC" w:rsidRPr="009F466A" w:rsidRDefault="007151BC" w:rsidP="007151BC">
      <w:pPr>
        <w:spacing w:before="480" w:after="240" w:line="240" w:lineRule="auto"/>
        <w:jc w:val="center"/>
        <w:rPr>
          <w:b/>
          <w:sz w:val="40"/>
          <w:szCs w:val="40"/>
        </w:rPr>
      </w:pPr>
      <w:r w:rsidRPr="009F466A">
        <w:rPr>
          <w:b/>
          <w:sz w:val="40"/>
          <w:szCs w:val="40"/>
        </w:rPr>
        <w:t>Post-market Review</w:t>
      </w:r>
      <w:r>
        <w:rPr>
          <w:b/>
          <w:sz w:val="40"/>
          <w:szCs w:val="40"/>
        </w:rPr>
        <w:t xml:space="preserve"> of</w:t>
      </w:r>
    </w:p>
    <w:p w14:paraId="59639AEA" w14:textId="77777777" w:rsidR="007151BC" w:rsidRPr="00A3599C" w:rsidRDefault="007151BC" w:rsidP="007151BC">
      <w:pPr>
        <w:spacing w:before="240" w:line="240" w:lineRule="auto"/>
        <w:jc w:val="center"/>
        <w:rPr>
          <w:b/>
          <w:color w:val="365F91" w:themeColor="accent1" w:themeShade="BF"/>
          <w:sz w:val="40"/>
          <w:szCs w:val="40"/>
        </w:rPr>
      </w:pPr>
      <w:r w:rsidRPr="00A3599C">
        <w:rPr>
          <w:b/>
          <w:color w:val="365F91" w:themeColor="accent1" w:themeShade="BF"/>
          <w:sz w:val="40"/>
          <w:szCs w:val="40"/>
        </w:rPr>
        <w:t>Medicines to treat Pulmonary Arterial Hypertension</w:t>
      </w:r>
    </w:p>
    <w:p w14:paraId="5D3AE8AF" w14:textId="77777777" w:rsidR="007151BC" w:rsidRPr="0027270C" w:rsidRDefault="007151BC" w:rsidP="007151BC">
      <w:pPr>
        <w:spacing w:before="240" w:after="1920" w:line="240" w:lineRule="auto"/>
        <w:jc w:val="center"/>
        <w:rPr>
          <w:b/>
          <w:color w:val="365F91" w:themeColor="accent1" w:themeShade="BF"/>
          <w:sz w:val="40"/>
          <w:szCs w:val="40"/>
        </w:rPr>
      </w:pPr>
      <w:r>
        <w:rPr>
          <w:b/>
          <w:color w:val="365F91" w:themeColor="accent1" w:themeShade="BF"/>
          <w:sz w:val="40"/>
          <w:szCs w:val="40"/>
        </w:rPr>
        <w:t xml:space="preserve">Background and </w:t>
      </w:r>
      <w:proofErr w:type="spellStart"/>
      <w:r>
        <w:rPr>
          <w:b/>
          <w:color w:val="365F91" w:themeColor="accent1" w:themeShade="BF"/>
          <w:sz w:val="40"/>
          <w:szCs w:val="40"/>
        </w:rPr>
        <w:t>ToR</w:t>
      </w:r>
      <w:proofErr w:type="spellEnd"/>
      <w:r>
        <w:rPr>
          <w:b/>
          <w:color w:val="365F91" w:themeColor="accent1" w:themeShade="BF"/>
          <w:sz w:val="40"/>
          <w:szCs w:val="40"/>
        </w:rPr>
        <w:t xml:space="preserve"> 1</w:t>
      </w:r>
    </w:p>
    <w:p w14:paraId="37FD6E12" w14:textId="77777777" w:rsidR="007151BC" w:rsidRPr="00A3599C" w:rsidRDefault="007151BC" w:rsidP="007151BC">
      <w:pPr>
        <w:spacing w:before="240" w:line="240" w:lineRule="auto"/>
        <w:jc w:val="center"/>
        <w:rPr>
          <w:b/>
          <w:color w:val="365F91" w:themeColor="accent1" w:themeShade="BF"/>
          <w:sz w:val="32"/>
          <w:szCs w:val="32"/>
        </w:rPr>
      </w:pPr>
      <w:r>
        <w:rPr>
          <w:b/>
          <w:color w:val="365F91" w:themeColor="accent1" w:themeShade="BF"/>
          <w:sz w:val="32"/>
          <w:szCs w:val="32"/>
        </w:rPr>
        <w:t>Final Report</w:t>
      </w:r>
    </w:p>
    <w:p w14:paraId="107482FB" w14:textId="77777777" w:rsidR="007151BC" w:rsidRPr="00A14932" w:rsidRDefault="007151BC" w:rsidP="007151BC">
      <w:pPr>
        <w:spacing w:before="240" w:after="1920" w:line="240" w:lineRule="auto"/>
        <w:jc w:val="center"/>
      </w:pPr>
      <w:r w:rsidRPr="00B15758">
        <w:rPr>
          <w:b/>
          <w:color w:val="365F91" w:themeColor="accent1" w:themeShade="BF"/>
          <w:sz w:val="32"/>
          <w:szCs w:val="32"/>
        </w:rPr>
        <w:t>November 2018</w:t>
      </w:r>
    </w:p>
    <w:p w14:paraId="60D193E0" w14:textId="77777777" w:rsidR="00A56E19" w:rsidRPr="007151BC" w:rsidRDefault="00A56E19" w:rsidP="007151BC">
      <w:pPr>
        <w:pStyle w:val="Titlepage"/>
        <w:spacing w:before="0"/>
        <w:rPr>
          <w:rFonts w:ascii="Calibri" w:hAnsi="Calibri"/>
          <w:b/>
          <w:sz w:val="32"/>
          <w:szCs w:val="32"/>
        </w:rPr>
        <w:sectPr w:rsidR="00A56E19" w:rsidRPr="007151BC" w:rsidSect="00F81948">
          <w:headerReference w:type="even" r:id="rId7"/>
          <w:headerReference w:type="default" r:id="rId8"/>
          <w:footerReference w:type="even" r:id="rId9"/>
          <w:footerReference w:type="default" r:id="rId10"/>
          <w:headerReference w:type="first" r:id="rId11"/>
          <w:footerReference w:type="first" r:id="rId12"/>
          <w:footnotePr>
            <w:numFmt w:val="chicago"/>
          </w:footnotePr>
          <w:pgSz w:w="11906" w:h="16838"/>
          <w:pgMar w:top="1134" w:right="1134" w:bottom="1134" w:left="1134" w:header="708" w:footer="708" w:gutter="0"/>
          <w:pgNumType w:fmt="lowerRoman" w:start="1"/>
          <w:cols w:space="708"/>
          <w:titlePg/>
          <w:docGrid w:linePitch="360"/>
        </w:sectPr>
      </w:pPr>
    </w:p>
    <w:bookmarkStart w:id="0" w:name="_Toc505071879" w:displacedByCustomXml="next"/>
    <w:bookmarkStart w:id="1" w:name="_Toc508969410" w:displacedByCustomXml="next"/>
    <w:bookmarkStart w:id="2" w:name="_Toc508969573" w:displacedByCustomXml="next"/>
    <w:bookmarkStart w:id="3" w:name="_Toc509584372" w:displacedByCustomXml="next"/>
    <w:sdt>
      <w:sdtPr>
        <w:rPr>
          <w:rFonts w:ascii="Cambria" w:hAnsi="Cambria"/>
          <w:b/>
        </w:rPr>
        <w:id w:val="-955704347"/>
        <w:docPartObj>
          <w:docPartGallery w:val="Table of Contents"/>
          <w:docPartUnique/>
        </w:docPartObj>
      </w:sdtPr>
      <w:sdtEndPr>
        <w:rPr>
          <w:rFonts w:ascii="Calibri" w:hAnsi="Calibri"/>
          <w:b w:val="0"/>
          <w:bCs/>
          <w:noProof/>
        </w:rPr>
      </w:sdtEndPr>
      <w:sdtContent>
        <w:p w14:paraId="6322D728" w14:textId="77777777" w:rsidR="00133CE7" w:rsidRPr="007151BC" w:rsidRDefault="00133CE7" w:rsidP="00121658">
          <w:pPr>
            <w:pStyle w:val="BodyTextnospacebefore"/>
            <w:spacing w:before="480"/>
            <w:jc w:val="center"/>
            <w:rPr>
              <w:rFonts w:cstheme="minorHAnsi"/>
              <w:b/>
              <w:color w:val="548DD4" w:themeColor="text2" w:themeTint="99"/>
              <w:sz w:val="32"/>
              <w:szCs w:val="32"/>
            </w:rPr>
          </w:pPr>
          <w:r w:rsidRPr="007151BC">
            <w:rPr>
              <w:rFonts w:cstheme="minorHAnsi"/>
              <w:b/>
              <w:color w:val="548DD4" w:themeColor="text2" w:themeTint="99"/>
              <w:sz w:val="32"/>
              <w:szCs w:val="32"/>
            </w:rPr>
            <w:t>Contents</w:t>
          </w:r>
          <w:bookmarkEnd w:id="3"/>
          <w:bookmarkEnd w:id="2"/>
          <w:bookmarkEnd w:id="1"/>
          <w:bookmarkEnd w:id="0"/>
        </w:p>
        <w:p w14:paraId="4AA5111E" w14:textId="77777777" w:rsidR="005E6812" w:rsidRPr="007151BC" w:rsidRDefault="005E6812" w:rsidP="000C00F6">
          <w:pPr>
            <w:pStyle w:val="TOC1"/>
            <w:rPr>
              <w:rFonts w:eastAsiaTheme="minorEastAsia"/>
              <w:sz w:val="22"/>
              <w:szCs w:val="22"/>
              <w:lang w:eastAsia="en-AU"/>
            </w:rPr>
          </w:pPr>
          <w:r w:rsidRPr="007151BC">
            <w:t>List of Tables</w:t>
          </w:r>
          <w:r w:rsidRPr="007151BC">
            <w:rPr>
              <w:webHidden/>
            </w:rPr>
            <w:tab/>
            <w:t>3</w:t>
          </w:r>
        </w:p>
        <w:p w14:paraId="398E81D8" w14:textId="77777777" w:rsidR="005E6812" w:rsidRPr="007151BC" w:rsidRDefault="005E6812" w:rsidP="000C00F6">
          <w:pPr>
            <w:pStyle w:val="TOC1"/>
            <w:rPr>
              <w:rFonts w:eastAsiaTheme="minorEastAsia"/>
              <w:sz w:val="22"/>
              <w:szCs w:val="22"/>
              <w:lang w:eastAsia="en-AU"/>
            </w:rPr>
          </w:pPr>
          <w:r w:rsidRPr="007151BC">
            <w:t>List of Figures</w:t>
          </w:r>
          <w:r w:rsidRPr="007151BC">
            <w:rPr>
              <w:webHidden/>
            </w:rPr>
            <w:tab/>
            <w:t>4</w:t>
          </w:r>
        </w:p>
        <w:p w14:paraId="2B17FC0F" w14:textId="77777777" w:rsidR="005E6812" w:rsidRPr="007151BC" w:rsidRDefault="005E6812" w:rsidP="000C00F6">
          <w:pPr>
            <w:pStyle w:val="TOC1"/>
            <w:rPr>
              <w:rFonts w:eastAsiaTheme="minorEastAsia"/>
              <w:sz w:val="22"/>
              <w:szCs w:val="22"/>
              <w:lang w:eastAsia="en-AU"/>
            </w:rPr>
          </w:pPr>
          <w:r w:rsidRPr="007151BC">
            <w:t>Abbreviations</w:t>
          </w:r>
          <w:r w:rsidRPr="007151BC">
            <w:rPr>
              <w:webHidden/>
            </w:rPr>
            <w:tab/>
            <w:t>5</w:t>
          </w:r>
        </w:p>
        <w:p w14:paraId="522D94F4" w14:textId="77777777" w:rsidR="005E6812" w:rsidRPr="007151BC" w:rsidRDefault="005E6812" w:rsidP="000C00F6">
          <w:pPr>
            <w:pStyle w:val="TOC1"/>
            <w:rPr>
              <w:rFonts w:eastAsiaTheme="minorEastAsia"/>
              <w:sz w:val="22"/>
              <w:szCs w:val="22"/>
              <w:lang w:eastAsia="en-AU"/>
            </w:rPr>
          </w:pPr>
          <w:r w:rsidRPr="007151BC">
            <w:t>Report Structure</w:t>
          </w:r>
          <w:r w:rsidRPr="007151BC">
            <w:rPr>
              <w:webHidden/>
            </w:rPr>
            <w:tab/>
            <w:t>8</w:t>
          </w:r>
        </w:p>
        <w:p w14:paraId="39B835C0" w14:textId="77777777" w:rsidR="005E6812" w:rsidRDefault="005E6812" w:rsidP="000C00F6">
          <w:pPr>
            <w:pStyle w:val="TOC1"/>
            <w:rPr>
              <w:rFonts w:eastAsiaTheme="minorEastAsia" w:cstheme="minorBidi"/>
              <w:sz w:val="22"/>
              <w:szCs w:val="22"/>
              <w:lang w:eastAsia="en-AU"/>
            </w:rPr>
          </w:pPr>
          <w:r w:rsidRPr="007151BC">
            <w:t>Background</w:t>
          </w:r>
          <w:r w:rsidRPr="007151BC">
            <w:rPr>
              <w:webHidden/>
            </w:rPr>
            <w:tab/>
            <w:t>9</w:t>
          </w:r>
        </w:p>
        <w:p w14:paraId="6AF2C9CF" w14:textId="77777777" w:rsidR="005E6812" w:rsidRDefault="005E6812">
          <w:pPr>
            <w:pStyle w:val="TOC2"/>
            <w:rPr>
              <w:rFonts w:asciiTheme="minorHAnsi" w:eastAsiaTheme="minorEastAsia" w:hAnsiTheme="minorHAnsi" w:cstheme="minorBidi"/>
              <w:noProof/>
              <w:sz w:val="22"/>
              <w:szCs w:val="22"/>
              <w:lang w:eastAsia="en-AU"/>
            </w:rPr>
          </w:pPr>
          <w:r w:rsidRPr="00F4698B">
            <w:rPr>
              <w:noProof/>
            </w:rPr>
            <w:t>B.1 Post-market monitoring</w:t>
          </w:r>
          <w:r>
            <w:rPr>
              <w:noProof/>
              <w:webHidden/>
            </w:rPr>
            <w:tab/>
            <w:t>9</w:t>
          </w:r>
        </w:p>
        <w:p w14:paraId="7F34F9D7" w14:textId="77777777" w:rsidR="005E6812" w:rsidRDefault="005E6812">
          <w:pPr>
            <w:pStyle w:val="TOC2"/>
            <w:rPr>
              <w:rFonts w:asciiTheme="minorHAnsi" w:eastAsiaTheme="minorEastAsia" w:hAnsiTheme="minorHAnsi" w:cstheme="minorBidi"/>
              <w:noProof/>
              <w:sz w:val="22"/>
              <w:szCs w:val="22"/>
              <w:lang w:eastAsia="en-AU"/>
            </w:rPr>
          </w:pPr>
          <w:r w:rsidRPr="00F4698B">
            <w:rPr>
              <w:noProof/>
            </w:rPr>
            <w:t>B.2 Context of the Review</w:t>
          </w:r>
          <w:r>
            <w:rPr>
              <w:noProof/>
              <w:webHidden/>
            </w:rPr>
            <w:tab/>
            <w:t>9</w:t>
          </w:r>
        </w:p>
        <w:p w14:paraId="2E619FD2" w14:textId="77777777" w:rsidR="005E6812" w:rsidRDefault="005E6812">
          <w:pPr>
            <w:pStyle w:val="TOC2"/>
            <w:rPr>
              <w:rFonts w:asciiTheme="minorHAnsi" w:eastAsiaTheme="minorEastAsia" w:hAnsiTheme="minorHAnsi" w:cstheme="minorBidi"/>
              <w:noProof/>
              <w:sz w:val="22"/>
              <w:szCs w:val="22"/>
              <w:lang w:eastAsia="en-AU"/>
            </w:rPr>
          </w:pPr>
          <w:r w:rsidRPr="00F4698B">
            <w:rPr>
              <w:noProof/>
            </w:rPr>
            <w:t>B.3 Review Process</w:t>
          </w:r>
          <w:r>
            <w:rPr>
              <w:noProof/>
              <w:webHidden/>
            </w:rPr>
            <w:tab/>
            <w:t>10</w:t>
          </w:r>
        </w:p>
        <w:p w14:paraId="723D18B9" w14:textId="77777777" w:rsidR="005E6812" w:rsidRDefault="005E6812">
          <w:pPr>
            <w:pStyle w:val="TOC3"/>
            <w:rPr>
              <w:rFonts w:asciiTheme="minorHAnsi" w:eastAsiaTheme="minorEastAsia" w:hAnsiTheme="minorHAnsi" w:cstheme="minorBidi"/>
              <w:noProof/>
              <w:sz w:val="22"/>
              <w:szCs w:val="22"/>
              <w:lang w:eastAsia="en-AU"/>
            </w:rPr>
          </w:pPr>
          <w:r w:rsidRPr="00F4698B">
            <w:rPr>
              <w:noProof/>
            </w:rPr>
            <w:t>B.3.1 Purpose of the Review</w:t>
          </w:r>
          <w:r>
            <w:rPr>
              <w:noProof/>
              <w:webHidden/>
            </w:rPr>
            <w:tab/>
            <w:t>10</w:t>
          </w:r>
        </w:p>
        <w:p w14:paraId="2CEA5E74" w14:textId="77777777" w:rsidR="005E6812" w:rsidRDefault="005E6812">
          <w:pPr>
            <w:pStyle w:val="TOC3"/>
            <w:rPr>
              <w:rFonts w:asciiTheme="minorHAnsi" w:eastAsiaTheme="minorEastAsia" w:hAnsiTheme="minorHAnsi" w:cstheme="minorBidi"/>
              <w:noProof/>
              <w:sz w:val="22"/>
              <w:szCs w:val="22"/>
              <w:lang w:eastAsia="en-AU"/>
            </w:rPr>
          </w:pPr>
          <w:r w:rsidRPr="00F4698B">
            <w:rPr>
              <w:noProof/>
            </w:rPr>
            <w:t>B.3.2 Review Reference Group</w:t>
          </w:r>
          <w:r>
            <w:rPr>
              <w:noProof/>
              <w:webHidden/>
            </w:rPr>
            <w:tab/>
            <w:t>10</w:t>
          </w:r>
        </w:p>
        <w:p w14:paraId="36365BB0" w14:textId="77777777" w:rsidR="005E6812" w:rsidRDefault="005E6812">
          <w:pPr>
            <w:pStyle w:val="TOC3"/>
            <w:rPr>
              <w:rFonts w:asciiTheme="minorHAnsi" w:eastAsiaTheme="minorEastAsia" w:hAnsiTheme="minorHAnsi" w:cstheme="minorBidi"/>
              <w:noProof/>
              <w:sz w:val="22"/>
              <w:szCs w:val="22"/>
              <w:lang w:eastAsia="en-AU"/>
            </w:rPr>
          </w:pPr>
          <w:r w:rsidRPr="00F4698B">
            <w:rPr>
              <w:noProof/>
            </w:rPr>
            <w:t>B.3.3 Review Terms of Reference</w:t>
          </w:r>
          <w:r>
            <w:rPr>
              <w:noProof/>
              <w:webHidden/>
            </w:rPr>
            <w:tab/>
            <w:t>11</w:t>
          </w:r>
        </w:p>
        <w:p w14:paraId="5E6836B8" w14:textId="77777777" w:rsidR="005E6812" w:rsidRDefault="005E6812">
          <w:pPr>
            <w:pStyle w:val="TOC3"/>
            <w:rPr>
              <w:rFonts w:asciiTheme="minorHAnsi" w:eastAsiaTheme="minorEastAsia" w:hAnsiTheme="minorHAnsi" w:cstheme="minorBidi"/>
              <w:noProof/>
              <w:sz w:val="22"/>
              <w:szCs w:val="22"/>
              <w:lang w:eastAsia="en-AU"/>
            </w:rPr>
          </w:pPr>
          <w:r w:rsidRPr="00F4698B">
            <w:rPr>
              <w:noProof/>
            </w:rPr>
            <w:t>B.3.4 Public submissions</w:t>
          </w:r>
          <w:r>
            <w:rPr>
              <w:noProof/>
              <w:webHidden/>
            </w:rPr>
            <w:tab/>
            <w:t>13</w:t>
          </w:r>
        </w:p>
        <w:p w14:paraId="5F080B21" w14:textId="77777777" w:rsidR="005E6812" w:rsidRDefault="005E6812">
          <w:pPr>
            <w:pStyle w:val="TOC3"/>
            <w:rPr>
              <w:rFonts w:asciiTheme="minorHAnsi" w:eastAsiaTheme="minorEastAsia" w:hAnsiTheme="minorHAnsi" w:cstheme="minorBidi"/>
              <w:noProof/>
              <w:sz w:val="22"/>
              <w:szCs w:val="22"/>
              <w:lang w:eastAsia="en-AU"/>
            </w:rPr>
          </w:pPr>
          <w:r w:rsidRPr="00F4698B">
            <w:rPr>
              <w:noProof/>
            </w:rPr>
            <w:t>B.3.5 Consumer Forum</w:t>
          </w:r>
          <w:r>
            <w:rPr>
              <w:noProof/>
              <w:webHidden/>
            </w:rPr>
            <w:tab/>
            <w:t>13</w:t>
          </w:r>
        </w:p>
        <w:p w14:paraId="529FEC78" w14:textId="77777777" w:rsidR="005E6812" w:rsidRDefault="005E6812">
          <w:pPr>
            <w:pStyle w:val="TOC3"/>
            <w:rPr>
              <w:rFonts w:asciiTheme="minorHAnsi" w:eastAsiaTheme="minorEastAsia" w:hAnsiTheme="minorHAnsi" w:cstheme="minorBidi"/>
              <w:noProof/>
              <w:sz w:val="22"/>
              <w:szCs w:val="22"/>
              <w:lang w:eastAsia="en-AU"/>
            </w:rPr>
          </w:pPr>
          <w:r w:rsidRPr="00F4698B">
            <w:rPr>
              <w:noProof/>
            </w:rPr>
            <w:t>B.3.6 Public consultation on the draft Report</w:t>
          </w:r>
          <w:r>
            <w:rPr>
              <w:noProof/>
              <w:webHidden/>
            </w:rPr>
            <w:tab/>
            <w:t>13</w:t>
          </w:r>
        </w:p>
        <w:p w14:paraId="5C3F9E9E" w14:textId="77777777" w:rsidR="005E6812" w:rsidRDefault="005E6812">
          <w:pPr>
            <w:pStyle w:val="TOC2"/>
            <w:rPr>
              <w:rFonts w:asciiTheme="minorHAnsi" w:eastAsiaTheme="minorEastAsia" w:hAnsiTheme="minorHAnsi" w:cstheme="minorBidi"/>
              <w:noProof/>
              <w:sz w:val="22"/>
              <w:szCs w:val="22"/>
              <w:lang w:eastAsia="en-AU"/>
            </w:rPr>
          </w:pPr>
          <w:r w:rsidRPr="00F4698B">
            <w:rPr>
              <w:noProof/>
            </w:rPr>
            <w:t>B.4 Pulmonary Arterial Hypertension in Australia</w:t>
          </w:r>
          <w:r>
            <w:rPr>
              <w:noProof/>
              <w:webHidden/>
            </w:rPr>
            <w:tab/>
            <w:t>14</w:t>
          </w:r>
        </w:p>
        <w:p w14:paraId="0FB50A3D" w14:textId="77777777" w:rsidR="005E6812" w:rsidRDefault="005E6812">
          <w:pPr>
            <w:pStyle w:val="TOC3"/>
            <w:rPr>
              <w:rFonts w:asciiTheme="minorHAnsi" w:eastAsiaTheme="minorEastAsia" w:hAnsiTheme="minorHAnsi" w:cstheme="minorBidi"/>
              <w:noProof/>
              <w:sz w:val="22"/>
              <w:szCs w:val="22"/>
              <w:lang w:eastAsia="en-AU"/>
            </w:rPr>
          </w:pPr>
          <w:r w:rsidRPr="00F4698B">
            <w:rPr>
              <w:noProof/>
            </w:rPr>
            <w:t>B.4.1 Description of the condition</w:t>
          </w:r>
          <w:r>
            <w:rPr>
              <w:noProof/>
              <w:webHidden/>
            </w:rPr>
            <w:tab/>
            <w:t>14</w:t>
          </w:r>
        </w:p>
        <w:p w14:paraId="2F567CC9" w14:textId="77777777" w:rsidR="005E6812" w:rsidRDefault="005E6812">
          <w:pPr>
            <w:pStyle w:val="TOC3"/>
            <w:rPr>
              <w:rFonts w:asciiTheme="minorHAnsi" w:eastAsiaTheme="minorEastAsia" w:hAnsiTheme="minorHAnsi" w:cstheme="minorBidi"/>
              <w:noProof/>
              <w:sz w:val="22"/>
              <w:szCs w:val="22"/>
              <w:lang w:eastAsia="en-AU"/>
            </w:rPr>
          </w:pPr>
          <w:r w:rsidRPr="00F4698B">
            <w:rPr>
              <w:noProof/>
            </w:rPr>
            <w:t>B.4.2 Prevalence of PAH</w:t>
          </w:r>
          <w:r>
            <w:rPr>
              <w:noProof/>
              <w:webHidden/>
            </w:rPr>
            <w:tab/>
            <w:t>14</w:t>
          </w:r>
        </w:p>
        <w:p w14:paraId="23FDEE75" w14:textId="77777777" w:rsidR="005E6812" w:rsidRDefault="005E6812">
          <w:pPr>
            <w:pStyle w:val="TOC3"/>
            <w:rPr>
              <w:rFonts w:asciiTheme="minorHAnsi" w:eastAsiaTheme="minorEastAsia" w:hAnsiTheme="minorHAnsi" w:cstheme="minorBidi"/>
              <w:noProof/>
              <w:sz w:val="22"/>
              <w:szCs w:val="22"/>
              <w:lang w:eastAsia="en-AU"/>
            </w:rPr>
          </w:pPr>
          <w:r w:rsidRPr="00F4698B">
            <w:rPr>
              <w:noProof/>
            </w:rPr>
            <w:t>B.4.3 WHO classification and functional classes</w:t>
          </w:r>
          <w:r>
            <w:rPr>
              <w:noProof/>
              <w:webHidden/>
            </w:rPr>
            <w:tab/>
            <w:t>15</w:t>
          </w:r>
        </w:p>
        <w:p w14:paraId="5FB1C443" w14:textId="77777777" w:rsidR="005E6812" w:rsidRDefault="005E6812">
          <w:pPr>
            <w:pStyle w:val="TOC3"/>
            <w:tabs>
              <w:tab w:val="left" w:pos="1849"/>
            </w:tabs>
            <w:rPr>
              <w:rFonts w:asciiTheme="minorHAnsi" w:eastAsiaTheme="minorEastAsia" w:hAnsiTheme="minorHAnsi" w:cstheme="minorBidi"/>
              <w:noProof/>
              <w:sz w:val="22"/>
              <w:szCs w:val="22"/>
              <w:lang w:eastAsia="en-AU"/>
            </w:rPr>
          </w:pPr>
          <w:r w:rsidRPr="00F4698B">
            <w:rPr>
              <w:noProof/>
            </w:rPr>
            <w:t>B.4.4</w:t>
          </w:r>
          <w:r>
            <w:rPr>
              <w:rFonts w:asciiTheme="minorHAnsi" w:eastAsiaTheme="minorEastAsia" w:hAnsiTheme="minorHAnsi" w:cstheme="minorBidi"/>
              <w:noProof/>
              <w:sz w:val="22"/>
              <w:szCs w:val="22"/>
              <w:lang w:eastAsia="en-AU"/>
            </w:rPr>
            <w:tab/>
          </w:r>
          <w:r w:rsidRPr="00F4698B">
            <w:rPr>
              <w:noProof/>
            </w:rPr>
            <w:t xml:space="preserve"> Description of the intervention</w:t>
          </w:r>
          <w:r>
            <w:rPr>
              <w:noProof/>
              <w:webHidden/>
            </w:rPr>
            <w:tab/>
            <w:t>17</w:t>
          </w:r>
        </w:p>
        <w:p w14:paraId="41C31C4D" w14:textId="77777777" w:rsidR="005E6812" w:rsidRDefault="005E6812">
          <w:pPr>
            <w:pStyle w:val="TOC3"/>
            <w:rPr>
              <w:rFonts w:asciiTheme="minorHAnsi" w:eastAsiaTheme="minorEastAsia" w:hAnsiTheme="minorHAnsi" w:cstheme="minorBidi"/>
              <w:noProof/>
              <w:sz w:val="22"/>
              <w:szCs w:val="22"/>
              <w:lang w:eastAsia="en-AU"/>
            </w:rPr>
          </w:pPr>
          <w:r w:rsidRPr="00F4698B">
            <w:rPr>
              <w:noProof/>
            </w:rPr>
            <w:t>B.4.5. Pulmonary Arterial Hypertension medicines on the PBS</w:t>
          </w:r>
          <w:r>
            <w:rPr>
              <w:noProof/>
              <w:webHidden/>
            </w:rPr>
            <w:tab/>
            <w:t>22</w:t>
          </w:r>
        </w:p>
        <w:p w14:paraId="75218744" w14:textId="77777777" w:rsidR="005E6812" w:rsidRDefault="005E6812" w:rsidP="000C00F6">
          <w:pPr>
            <w:pStyle w:val="TOC1"/>
            <w:rPr>
              <w:rFonts w:asciiTheme="minorHAnsi" w:eastAsiaTheme="minorEastAsia" w:hAnsiTheme="minorHAnsi" w:cstheme="minorBidi"/>
              <w:sz w:val="22"/>
              <w:szCs w:val="22"/>
              <w:lang w:eastAsia="en-AU"/>
            </w:rPr>
          </w:pPr>
          <w:r w:rsidRPr="007151BC">
            <w:t>ToR 1: Concordance between prescribing restrictions and clinical guidelines</w:t>
          </w:r>
          <w:r w:rsidRPr="007151BC">
            <w:rPr>
              <w:webHidden/>
            </w:rPr>
            <w:tab/>
            <w:t>28</w:t>
          </w:r>
        </w:p>
        <w:p w14:paraId="224F3EFB" w14:textId="77777777" w:rsidR="005E6812" w:rsidRDefault="005E6812">
          <w:pPr>
            <w:pStyle w:val="TOC2"/>
            <w:rPr>
              <w:rFonts w:asciiTheme="minorHAnsi" w:eastAsiaTheme="minorEastAsia" w:hAnsiTheme="minorHAnsi" w:cstheme="minorBidi"/>
              <w:noProof/>
              <w:sz w:val="22"/>
              <w:szCs w:val="22"/>
              <w:lang w:eastAsia="en-AU"/>
            </w:rPr>
          </w:pPr>
          <w:r w:rsidRPr="00F4698B">
            <w:rPr>
              <w:noProof/>
            </w:rPr>
            <w:t>1.2</w:t>
          </w:r>
          <w:r>
            <w:rPr>
              <w:rFonts w:asciiTheme="minorHAnsi" w:eastAsiaTheme="minorEastAsia" w:hAnsiTheme="minorHAnsi" w:cstheme="minorBidi"/>
              <w:noProof/>
              <w:sz w:val="22"/>
              <w:szCs w:val="22"/>
              <w:lang w:eastAsia="en-AU"/>
            </w:rPr>
            <w:tab/>
          </w:r>
          <w:r w:rsidRPr="00F4698B">
            <w:rPr>
              <w:noProof/>
            </w:rPr>
            <w:t>Key findings for ToR 1</w:t>
          </w:r>
          <w:r>
            <w:rPr>
              <w:noProof/>
              <w:webHidden/>
            </w:rPr>
            <w:tab/>
            <w:t>28</w:t>
          </w:r>
        </w:p>
        <w:p w14:paraId="552FDFA6"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1.2.1</w:t>
          </w:r>
          <w:r>
            <w:rPr>
              <w:rFonts w:asciiTheme="minorHAnsi" w:eastAsiaTheme="minorEastAsia" w:hAnsiTheme="minorHAnsi" w:cstheme="minorBidi"/>
              <w:noProof/>
              <w:sz w:val="22"/>
              <w:szCs w:val="22"/>
              <w:lang w:eastAsia="en-AU"/>
            </w:rPr>
            <w:tab/>
          </w:r>
          <w:r w:rsidRPr="00F4698B">
            <w:rPr>
              <w:noProof/>
            </w:rPr>
            <w:t>Key findings for research question 1</w:t>
          </w:r>
          <w:r>
            <w:rPr>
              <w:noProof/>
              <w:webHidden/>
            </w:rPr>
            <w:tab/>
            <w:t>28</w:t>
          </w:r>
        </w:p>
        <w:p w14:paraId="28A3D38D"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1.2.2</w:t>
          </w:r>
          <w:r>
            <w:rPr>
              <w:rFonts w:asciiTheme="minorHAnsi" w:eastAsiaTheme="minorEastAsia" w:hAnsiTheme="minorHAnsi" w:cstheme="minorBidi"/>
              <w:noProof/>
              <w:sz w:val="22"/>
              <w:szCs w:val="22"/>
              <w:lang w:eastAsia="en-AU"/>
            </w:rPr>
            <w:tab/>
          </w:r>
          <w:r w:rsidRPr="00F4698B">
            <w:rPr>
              <w:noProof/>
            </w:rPr>
            <w:t>Key findings for research question 2</w:t>
          </w:r>
          <w:r>
            <w:rPr>
              <w:noProof/>
              <w:webHidden/>
            </w:rPr>
            <w:tab/>
            <w:t>28</w:t>
          </w:r>
        </w:p>
        <w:p w14:paraId="2FF77F72"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1.2.3</w:t>
          </w:r>
          <w:r>
            <w:rPr>
              <w:rFonts w:asciiTheme="minorHAnsi" w:eastAsiaTheme="minorEastAsia" w:hAnsiTheme="minorHAnsi" w:cstheme="minorBidi"/>
              <w:noProof/>
              <w:sz w:val="22"/>
              <w:szCs w:val="22"/>
              <w:lang w:eastAsia="en-AU"/>
            </w:rPr>
            <w:tab/>
          </w:r>
          <w:r w:rsidRPr="00F4698B">
            <w:rPr>
              <w:noProof/>
            </w:rPr>
            <w:t>Key findings for research question 3</w:t>
          </w:r>
          <w:r>
            <w:rPr>
              <w:noProof/>
              <w:webHidden/>
            </w:rPr>
            <w:tab/>
            <w:t>30</w:t>
          </w:r>
        </w:p>
        <w:p w14:paraId="44E10D3C" w14:textId="77777777" w:rsidR="005E6812" w:rsidRDefault="005E6812">
          <w:pPr>
            <w:pStyle w:val="TOC3"/>
            <w:rPr>
              <w:rFonts w:asciiTheme="minorHAnsi" w:eastAsiaTheme="minorEastAsia" w:hAnsiTheme="minorHAnsi" w:cstheme="minorBidi"/>
              <w:noProof/>
              <w:sz w:val="22"/>
              <w:szCs w:val="22"/>
              <w:lang w:eastAsia="en-AU"/>
            </w:rPr>
          </w:pPr>
          <w:r w:rsidRPr="00F4698B">
            <w:rPr>
              <w:noProof/>
            </w:rPr>
            <w:t>Stakeholder Views</w:t>
          </w:r>
          <w:r>
            <w:rPr>
              <w:noProof/>
              <w:webHidden/>
            </w:rPr>
            <w:tab/>
            <w:t>34</w:t>
          </w:r>
        </w:p>
        <w:p w14:paraId="08C581F4" w14:textId="77777777" w:rsidR="005E6812" w:rsidRDefault="005E6812">
          <w:pPr>
            <w:pStyle w:val="TOC3"/>
            <w:rPr>
              <w:rFonts w:asciiTheme="minorHAnsi" w:eastAsiaTheme="minorEastAsia" w:hAnsiTheme="minorHAnsi" w:cstheme="minorBidi"/>
              <w:noProof/>
              <w:sz w:val="22"/>
              <w:szCs w:val="22"/>
              <w:lang w:eastAsia="en-AU"/>
            </w:rPr>
          </w:pPr>
          <w:r w:rsidRPr="00F4698B">
            <w:rPr>
              <w:noProof/>
            </w:rPr>
            <w:t>Consumer Views</w:t>
          </w:r>
          <w:r>
            <w:rPr>
              <w:noProof/>
              <w:webHidden/>
            </w:rPr>
            <w:tab/>
            <w:t>34</w:t>
          </w:r>
        </w:p>
        <w:p w14:paraId="1C17283D" w14:textId="77777777" w:rsidR="005E6812" w:rsidRDefault="005E6812">
          <w:pPr>
            <w:pStyle w:val="TOC2"/>
            <w:rPr>
              <w:rFonts w:asciiTheme="minorHAnsi" w:eastAsiaTheme="minorEastAsia" w:hAnsiTheme="minorHAnsi" w:cstheme="minorBidi"/>
              <w:noProof/>
              <w:sz w:val="22"/>
              <w:szCs w:val="22"/>
              <w:lang w:eastAsia="en-AU"/>
            </w:rPr>
          </w:pPr>
          <w:r w:rsidRPr="00F4698B">
            <w:rPr>
              <w:noProof/>
            </w:rPr>
            <w:t>1.3</w:t>
          </w:r>
          <w:r>
            <w:rPr>
              <w:rFonts w:asciiTheme="minorHAnsi" w:eastAsiaTheme="minorEastAsia" w:hAnsiTheme="minorHAnsi" w:cstheme="minorBidi"/>
              <w:noProof/>
              <w:sz w:val="22"/>
              <w:szCs w:val="22"/>
              <w:lang w:eastAsia="en-AU"/>
            </w:rPr>
            <w:tab/>
          </w:r>
          <w:r w:rsidRPr="00F4698B">
            <w:rPr>
              <w:noProof/>
            </w:rPr>
            <w:t>Methodology</w:t>
          </w:r>
          <w:r>
            <w:rPr>
              <w:noProof/>
              <w:webHidden/>
            </w:rPr>
            <w:tab/>
            <w:t>35</w:t>
          </w:r>
        </w:p>
        <w:p w14:paraId="3F6F6149"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1.3.1</w:t>
          </w:r>
          <w:r>
            <w:rPr>
              <w:rFonts w:asciiTheme="minorHAnsi" w:eastAsiaTheme="minorEastAsia" w:hAnsiTheme="minorHAnsi" w:cstheme="minorBidi"/>
              <w:noProof/>
              <w:sz w:val="22"/>
              <w:szCs w:val="22"/>
              <w:lang w:eastAsia="en-AU"/>
            </w:rPr>
            <w:tab/>
          </w:r>
          <w:r w:rsidRPr="00F4698B">
            <w:rPr>
              <w:noProof/>
            </w:rPr>
            <w:t>Guidelines search</w:t>
          </w:r>
          <w:r>
            <w:rPr>
              <w:noProof/>
              <w:webHidden/>
            </w:rPr>
            <w:tab/>
            <w:t>35</w:t>
          </w:r>
        </w:p>
        <w:p w14:paraId="2EF3FF0B"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1.3.2</w:t>
          </w:r>
          <w:r>
            <w:rPr>
              <w:rFonts w:asciiTheme="minorHAnsi" w:eastAsiaTheme="minorEastAsia" w:hAnsiTheme="minorHAnsi" w:cstheme="minorBidi"/>
              <w:noProof/>
              <w:sz w:val="22"/>
              <w:szCs w:val="22"/>
              <w:lang w:eastAsia="en-AU"/>
            </w:rPr>
            <w:tab/>
          </w:r>
          <w:r w:rsidRPr="00F4698B">
            <w:rPr>
              <w:noProof/>
            </w:rPr>
            <w:t>Current clinical guidelines identified</w:t>
          </w:r>
          <w:r>
            <w:rPr>
              <w:noProof/>
              <w:webHidden/>
            </w:rPr>
            <w:tab/>
            <w:t>37</w:t>
          </w:r>
        </w:p>
        <w:p w14:paraId="618C1472" w14:textId="77777777" w:rsidR="005E6812" w:rsidRDefault="005E6812">
          <w:pPr>
            <w:pStyle w:val="TOC2"/>
            <w:rPr>
              <w:rFonts w:asciiTheme="minorHAnsi" w:eastAsiaTheme="minorEastAsia" w:hAnsiTheme="minorHAnsi" w:cstheme="minorBidi"/>
              <w:noProof/>
              <w:sz w:val="22"/>
              <w:szCs w:val="22"/>
              <w:lang w:eastAsia="en-AU"/>
            </w:rPr>
          </w:pPr>
          <w:r w:rsidRPr="00F4698B">
            <w:rPr>
              <w:noProof/>
            </w:rPr>
            <w:t>1.4</w:t>
          </w:r>
          <w:r>
            <w:rPr>
              <w:rFonts w:asciiTheme="minorHAnsi" w:eastAsiaTheme="minorEastAsia" w:hAnsiTheme="minorHAnsi" w:cstheme="minorBidi"/>
              <w:noProof/>
              <w:sz w:val="22"/>
              <w:szCs w:val="22"/>
              <w:lang w:eastAsia="en-AU"/>
            </w:rPr>
            <w:tab/>
          </w:r>
          <w:r w:rsidRPr="00F4698B">
            <w:rPr>
              <w:noProof/>
            </w:rPr>
            <w:t>Overview of current clinical guidance</w:t>
          </w:r>
          <w:r>
            <w:rPr>
              <w:noProof/>
              <w:webHidden/>
            </w:rPr>
            <w:tab/>
            <w:t>40</w:t>
          </w:r>
        </w:p>
        <w:p w14:paraId="55F9563E"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1.4.1</w:t>
          </w:r>
          <w:r>
            <w:rPr>
              <w:rFonts w:asciiTheme="minorHAnsi" w:eastAsiaTheme="minorEastAsia" w:hAnsiTheme="minorHAnsi" w:cstheme="minorBidi"/>
              <w:noProof/>
              <w:sz w:val="22"/>
              <w:szCs w:val="22"/>
              <w:lang w:eastAsia="en-AU"/>
            </w:rPr>
            <w:tab/>
          </w:r>
          <w:r w:rsidRPr="00F4698B">
            <w:rPr>
              <w:noProof/>
            </w:rPr>
            <w:t>Guidelines overview</w:t>
          </w:r>
          <w:r>
            <w:rPr>
              <w:noProof/>
              <w:webHidden/>
            </w:rPr>
            <w:tab/>
            <w:t>40</w:t>
          </w:r>
        </w:p>
        <w:p w14:paraId="596E79E4"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1.4.2</w:t>
          </w:r>
          <w:r>
            <w:rPr>
              <w:rFonts w:asciiTheme="minorHAnsi" w:eastAsiaTheme="minorEastAsia" w:hAnsiTheme="minorHAnsi" w:cstheme="minorBidi"/>
              <w:noProof/>
              <w:sz w:val="22"/>
              <w:szCs w:val="22"/>
              <w:lang w:eastAsia="en-AU"/>
            </w:rPr>
            <w:tab/>
          </w:r>
          <w:r w:rsidRPr="00F4698B">
            <w:rPr>
              <w:noProof/>
            </w:rPr>
            <w:t>PAH treatment algorithm</w:t>
          </w:r>
          <w:r>
            <w:rPr>
              <w:noProof/>
              <w:webHidden/>
            </w:rPr>
            <w:tab/>
            <w:t>41</w:t>
          </w:r>
        </w:p>
        <w:p w14:paraId="7E46F2D8"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1.4.3</w:t>
          </w:r>
          <w:r>
            <w:rPr>
              <w:rFonts w:asciiTheme="minorHAnsi" w:eastAsiaTheme="minorEastAsia" w:hAnsiTheme="minorHAnsi" w:cstheme="minorBidi"/>
              <w:noProof/>
              <w:sz w:val="22"/>
              <w:szCs w:val="22"/>
              <w:lang w:eastAsia="en-AU"/>
            </w:rPr>
            <w:tab/>
          </w:r>
          <w:r w:rsidRPr="00F4698B">
            <w:rPr>
              <w:noProof/>
            </w:rPr>
            <w:t>Diagnostic and monitoring recommendations</w:t>
          </w:r>
          <w:r>
            <w:rPr>
              <w:noProof/>
              <w:webHidden/>
            </w:rPr>
            <w:tab/>
            <w:t>52</w:t>
          </w:r>
        </w:p>
        <w:p w14:paraId="02DF5291"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1.4.4</w:t>
          </w:r>
          <w:r>
            <w:rPr>
              <w:rFonts w:asciiTheme="minorHAnsi" w:eastAsiaTheme="minorEastAsia" w:hAnsiTheme="minorHAnsi" w:cstheme="minorBidi"/>
              <w:noProof/>
              <w:sz w:val="22"/>
              <w:szCs w:val="22"/>
              <w:lang w:eastAsia="en-AU"/>
            </w:rPr>
            <w:tab/>
          </w:r>
          <w:r w:rsidRPr="00F4698B">
            <w:rPr>
              <w:noProof/>
            </w:rPr>
            <w:t>PAH treatment centres</w:t>
          </w:r>
          <w:r>
            <w:rPr>
              <w:noProof/>
              <w:webHidden/>
            </w:rPr>
            <w:tab/>
            <w:t>60</w:t>
          </w:r>
        </w:p>
        <w:p w14:paraId="4C6F2F29" w14:textId="77777777" w:rsidR="005E6812" w:rsidRDefault="005E6812">
          <w:pPr>
            <w:pStyle w:val="TOC2"/>
            <w:rPr>
              <w:rFonts w:asciiTheme="minorHAnsi" w:eastAsiaTheme="minorEastAsia" w:hAnsiTheme="minorHAnsi" w:cstheme="minorBidi"/>
              <w:noProof/>
              <w:sz w:val="22"/>
              <w:szCs w:val="22"/>
              <w:lang w:eastAsia="en-AU"/>
            </w:rPr>
          </w:pPr>
          <w:r w:rsidRPr="00F4698B">
            <w:rPr>
              <w:noProof/>
            </w:rPr>
            <w:t>1.5</w:t>
          </w:r>
          <w:r>
            <w:rPr>
              <w:rFonts w:asciiTheme="minorHAnsi" w:eastAsiaTheme="minorEastAsia" w:hAnsiTheme="minorHAnsi" w:cstheme="minorBidi"/>
              <w:noProof/>
              <w:sz w:val="22"/>
              <w:szCs w:val="22"/>
              <w:lang w:eastAsia="en-AU"/>
            </w:rPr>
            <w:tab/>
          </w:r>
          <w:r w:rsidRPr="00F4698B">
            <w:rPr>
              <w:noProof/>
            </w:rPr>
            <w:t>PBS restrictions and TGA indications</w:t>
          </w:r>
          <w:r>
            <w:rPr>
              <w:noProof/>
              <w:webHidden/>
            </w:rPr>
            <w:tab/>
            <w:t>61</w:t>
          </w:r>
        </w:p>
        <w:p w14:paraId="6071115C"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lastRenderedPageBreak/>
            <w:t>1.5.1</w:t>
          </w:r>
          <w:r>
            <w:rPr>
              <w:rFonts w:asciiTheme="minorHAnsi" w:eastAsiaTheme="minorEastAsia" w:hAnsiTheme="minorHAnsi" w:cstheme="minorBidi"/>
              <w:noProof/>
              <w:sz w:val="22"/>
              <w:szCs w:val="22"/>
              <w:lang w:eastAsia="en-AU"/>
            </w:rPr>
            <w:tab/>
          </w:r>
          <w:r w:rsidRPr="00F4698B">
            <w:rPr>
              <w:noProof/>
            </w:rPr>
            <w:t>TGA indications</w:t>
          </w:r>
          <w:r>
            <w:rPr>
              <w:noProof/>
              <w:webHidden/>
            </w:rPr>
            <w:tab/>
            <w:t>61</w:t>
          </w:r>
        </w:p>
        <w:p w14:paraId="6CB3E29E"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1.5.2</w:t>
          </w:r>
          <w:r>
            <w:rPr>
              <w:rFonts w:asciiTheme="minorHAnsi" w:eastAsiaTheme="minorEastAsia" w:hAnsiTheme="minorHAnsi" w:cstheme="minorBidi"/>
              <w:noProof/>
              <w:sz w:val="22"/>
              <w:szCs w:val="22"/>
              <w:lang w:eastAsia="en-AU"/>
            </w:rPr>
            <w:tab/>
          </w:r>
          <w:r w:rsidRPr="00F4698B">
            <w:rPr>
              <w:noProof/>
            </w:rPr>
            <w:t>PBS prescribing restrictions</w:t>
          </w:r>
          <w:r>
            <w:rPr>
              <w:noProof/>
              <w:webHidden/>
            </w:rPr>
            <w:tab/>
            <w:t>69</w:t>
          </w:r>
        </w:p>
        <w:p w14:paraId="4C09AC54"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1.5.3</w:t>
          </w:r>
          <w:r>
            <w:rPr>
              <w:rFonts w:asciiTheme="minorHAnsi" w:eastAsiaTheme="minorEastAsia" w:hAnsiTheme="minorHAnsi" w:cstheme="minorBidi"/>
              <w:noProof/>
              <w:sz w:val="22"/>
              <w:szCs w:val="22"/>
              <w:lang w:eastAsia="en-AU"/>
            </w:rPr>
            <w:tab/>
          </w:r>
          <w:r w:rsidRPr="00F4698B">
            <w:rPr>
              <w:noProof/>
            </w:rPr>
            <w:t>PAH therapy recommendations</w:t>
          </w:r>
          <w:r>
            <w:rPr>
              <w:noProof/>
              <w:webHidden/>
            </w:rPr>
            <w:tab/>
            <w:t>72</w:t>
          </w:r>
        </w:p>
        <w:p w14:paraId="2A24DFC5"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1.5.4</w:t>
          </w:r>
          <w:r>
            <w:rPr>
              <w:rFonts w:asciiTheme="minorHAnsi" w:eastAsiaTheme="minorEastAsia" w:hAnsiTheme="minorHAnsi" w:cstheme="minorBidi"/>
              <w:noProof/>
              <w:sz w:val="22"/>
              <w:szCs w:val="22"/>
              <w:lang w:eastAsia="en-AU"/>
            </w:rPr>
            <w:tab/>
          </w:r>
          <w:r w:rsidRPr="00F4698B">
            <w:rPr>
              <w:noProof/>
            </w:rPr>
            <w:t>PAH diagnostic and monitoring recommendations</w:t>
          </w:r>
          <w:r>
            <w:rPr>
              <w:noProof/>
              <w:webHidden/>
            </w:rPr>
            <w:tab/>
            <w:t>86</w:t>
          </w:r>
        </w:p>
        <w:p w14:paraId="63A94675"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1.5.5</w:t>
          </w:r>
          <w:r>
            <w:rPr>
              <w:rFonts w:asciiTheme="minorHAnsi" w:eastAsiaTheme="minorEastAsia" w:hAnsiTheme="minorHAnsi" w:cstheme="minorBidi"/>
              <w:noProof/>
              <w:sz w:val="22"/>
              <w:szCs w:val="22"/>
              <w:lang w:eastAsia="en-AU"/>
            </w:rPr>
            <w:tab/>
          </w:r>
          <w:r w:rsidRPr="00F4698B">
            <w:rPr>
              <w:noProof/>
            </w:rPr>
            <w:t>Other issues</w:t>
          </w:r>
          <w:r>
            <w:rPr>
              <w:noProof/>
              <w:webHidden/>
            </w:rPr>
            <w:tab/>
            <w:t>88</w:t>
          </w:r>
        </w:p>
        <w:p w14:paraId="7000D1B0" w14:textId="77777777" w:rsidR="005E6812" w:rsidRDefault="005E6812">
          <w:pPr>
            <w:pStyle w:val="TOC2"/>
            <w:rPr>
              <w:rFonts w:asciiTheme="minorHAnsi" w:eastAsiaTheme="minorEastAsia" w:hAnsiTheme="minorHAnsi" w:cstheme="minorBidi"/>
              <w:noProof/>
              <w:sz w:val="22"/>
              <w:szCs w:val="22"/>
              <w:lang w:eastAsia="en-AU"/>
            </w:rPr>
          </w:pPr>
          <w:r w:rsidRPr="00F4698B">
            <w:rPr>
              <w:noProof/>
            </w:rPr>
            <w:t>1.6</w:t>
          </w:r>
          <w:r>
            <w:rPr>
              <w:rFonts w:asciiTheme="minorHAnsi" w:eastAsiaTheme="minorEastAsia" w:hAnsiTheme="minorHAnsi" w:cstheme="minorBidi"/>
              <w:noProof/>
              <w:sz w:val="22"/>
              <w:szCs w:val="22"/>
              <w:lang w:eastAsia="en-AU"/>
            </w:rPr>
            <w:tab/>
          </w:r>
          <w:r w:rsidRPr="00F4698B">
            <w:rPr>
              <w:noProof/>
            </w:rPr>
            <w:t>Synthesis of findings</w:t>
          </w:r>
          <w:r>
            <w:rPr>
              <w:noProof/>
              <w:webHidden/>
            </w:rPr>
            <w:tab/>
            <w:t>90</w:t>
          </w:r>
        </w:p>
        <w:p w14:paraId="6A794F4F"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1.6.1</w:t>
          </w:r>
          <w:r>
            <w:rPr>
              <w:rFonts w:asciiTheme="minorHAnsi" w:eastAsiaTheme="minorEastAsia" w:hAnsiTheme="minorHAnsi" w:cstheme="minorBidi"/>
              <w:noProof/>
              <w:sz w:val="22"/>
              <w:szCs w:val="22"/>
              <w:lang w:eastAsia="en-AU"/>
            </w:rPr>
            <w:tab/>
          </w:r>
          <w:r w:rsidRPr="00F4698B">
            <w:rPr>
              <w:noProof/>
            </w:rPr>
            <w:t>Guidelines for PAH</w:t>
          </w:r>
          <w:r>
            <w:rPr>
              <w:noProof/>
              <w:webHidden/>
            </w:rPr>
            <w:tab/>
            <w:t>90</w:t>
          </w:r>
        </w:p>
        <w:p w14:paraId="4AE48C00"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1.6.2</w:t>
          </w:r>
          <w:r>
            <w:rPr>
              <w:rFonts w:asciiTheme="minorHAnsi" w:eastAsiaTheme="minorEastAsia" w:hAnsiTheme="minorHAnsi" w:cstheme="minorBidi"/>
              <w:noProof/>
              <w:sz w:val="22"/>
              <w:szCs w:val="22"/>
              <w:lang w:eastAsia="en-AU"/>
            </w:rPr>
            <w:tab/>
          </w:r>
          <w:r w:rsidRPr="00F4698B">
            <w:rPr>
              <w:noProof/>
            </w:rPr>
            <w:t>Alignment of TGA, PBS and guideline requirements</w:t>
          </w:r>
          <w:r>
            <w:rPr>
              <w:noProof/>
              <w:webHidden/>
            </w:rPr>
            <w:tab/>
            <w:t>91</w:t>
          </w:r>
        </w:p>
        <w:p w14:paraId="3CDBB0F8" w14:textId="77777777" w:rsidR="005E6812" w:rsidRDefault="005E6812">
          <w:pPr>
            <w:pStyle w:val="TOC3"/>
            <w:tabs>
              <w:tab w:val="left" w:pos="1840"/>
            </w:tabs>
            <w:rPr>
              <w:rFonts w:asciiTheme="minorHAnsi" w:eastAsiaTheme="minorEastAsia" w:hAnsiTheme="minorHAnsi" w:cstheme="minorBidi"/>
              <w:noProof/>
              <w:sz w:val="22"/>
              <w:szCs w:val="22"/>
              <w:lang w:eastAsia="en-AU"/>
            </w:rPr>
          </w:pPr>
          <w:r w:rsidRPr="00F4698B">
            <w:rPr>
              <w:noProof/>
            </w:rPr>
            <w:t>1.6.3</w:t>
          </w:r>
          <w:r>
            <w:rPr>
              <w:rFonts w:asciiTheme="minorHAnsi" w:eastAsiaTheme="minorEastAsia" w:hAnsiTheme="minorHAnsi" w:cstheme="minorBidi"/>
              <w:noProof/>
              <w:sz w:val="22"/>
              <w:szCs w:val="22"/>
              <w:lang w:eastAsia="en-AU"/>
            </w:rPr>
            <w:tab/>
          </w:r>
          <w:r w:rsidRPr="00F4698B">
            <w:rPr>
              <w:noProof/>
            </w:rPr>
            <w:t>Other Issues</w:t>
          </w:r>
          <w:r>
            <w:rPr>
              <w:noProof/>
              <w:webHidden/>
            </w:rPr>
            <w:tab/>
            <w:t>94</w:t>
          </w:r>
        </w:p>
        <w:p w14:paraId="5320F32F" w14:textId="77777777" w:rsidR="005E6812" w:rsidRDefault="005E6812">
          <w:pPr>
            <w:pStyle w:val="TOC2"/>
            <w:tabs>
              <w:tab w:val="left" w:pos="2084"/>
            </w:tabs>
            <w:rPr>
              <w:rFonts w:asciiTheme="minorHAnsi" w:eastAsiaTheme="minorEastAsia" w:hAnsiTheme="minorHAnsi" w:cstheme="minorBidi"/>
              <w:noProof/>
              <w:sz w:val="22"/>
              <w:szCs w:val="22"/>
              <w:lang w:eastAsia="en-AU"/>
            </w:rPr>
          </w:pPr>
          <w:r w:rsidRPr="00F4698B">
            <w:rPr>
              <w:noProof/>
            </w:rPr>
            <w:t>Appendix 1.A</w:t>
          </w:r>
          <w:r>
            <w:rPr>
              <w:rFonts w:asciiTheme="minorHAnsi" w:eastAsiaTheme="minorEastAsia" w:hAnsiTheme="minorHAnsi" w:cstheme="minorBidi"/>
              <w:noProof/>
              <w:sz w:val="22"/>
              <w:szCs w:val="22"/>
              <w:lang w:eastAsia="en-AU"/>
            </w:rPr>
            <w:tab/>
          </w:r>
          <w:r w:rsidRPr="00F4698B">
            <w:rPr>
              <w:noProof/>
            </w:rPr>
            <w:t>Bibliography</w:t>
          </w:r>
          <w:r>
            <w:rPr>
              <w:noProof/>
              <w:webHidden/>
            </w:rPr>
            <w:tab/>
            <w:t>95</w:t>
          </w:r>
        </w:p>
        <w:p w14:paraId="321E2ACA" w14:textId="77777777" w:rsidR="005E6812" w:rsidRDefault="005E6812">
          <w:pPr>
            <w:pStyle w:val="TOC2"/>
            <w:tabs>
              <w:tab w:val="left" w:pos="2076"/>
            </w:tabs>
            <w:rPr>
              <w:rFonts w:asciiTheme="minorHAnsi" w:eastAsiaTheme="minorEastAsia" w:hAnsiTheme="minorHAnsi" w:cstheme="minorBidi"/>
              <w:noProof/>
              <w:sz w:val="22"/>
              <w:szCs w:val="22"/>
              <w:lang w:eastAsia="en-AU"/>
            </w:rPr>
          </w:pPr>
          <w:r w:rsidRPr="00F4698B">
            <w:rPr>
              <w:noProof/>
            </w:rPr>
            <w:t>Appendix 1.B</w:t>
          </w:r>
          <w:r>
            <w:rPr>
              <w:rFonts w:asciiTheme="minorHAnsi" w:eastAsiaTheme="minorEastAsia" w:hAnsiTheme="minorHAnsi" w:cstheme="minorBidi"/>
              <w:noProof/>
              <w:sz w:val="22"/>
              <w:szCs w:val="22"/>
              <w:lang w:eastAsia="en-AU"/>
            </w:rPr>
            <w:tab/>
          </w:r>
          <w:r w:rsidRPr="00F4698B">
            <w:rPr>
              <w:noProof/>
            </w:rPr>
            <w:t>Further ARTG and PBS information for PAH medicines</w:t>
          </w:r>
          <w:r>
            <w:rPr>
              <w:noProof/>
              <w:webHidden/>
            </w:rPr>
            <w:tab/>
            <w:t>99</w:t>
          </w:r>
        </w:p>
        <w:p w14:paraId="4A5C639F" w14:textId="77777777" w:rsidR="005E6812" w:rsidRDefault="005E6812">
          <w:pPr>
            <w:pStyle w:val="TOC2"/>
            <w:tabs>
              <w:tab w:val="left" w:pos="2073"/>
            </w:tabs>
            <w:rPr>
              <w:rFonts w:asciiTheme="minorHAnsi" w:eastAsiaTheme="minorEastAsia" w:hAnsiTheme="minorHAnsi" w:cstheme="minorBidi"/>
              <w:noProof/>
              <w:sz w:val="22"/>
              <w:szCs w:val="22"/>
              <w:lang w:eastAsia="en-AU"/>
            </w:rPr>
          </w:pPr>
          <w:r w:rsidRPr="00F4698B">
            <w:rPr>
              <w:noProof/>
            </w:rPr>
            <w:t>Appendix 1.C</w:t>
          </w:r>
          <w:r>
            <w:rPr>
              <w:rFonts w:asciiTheme="minorHAnsi" w:eastAsiaTheme="minorEastAsia" w:hAnsiTheme="minorHAnsi" w:cstheme="minorBidi"/>
              <w:noProof/>
              <w:sz w:val="22"/>
              <w:szCs w:val="22"/>
              <w:lang w:eastAsia="en-AU"/>
            </w:rPr>
            <w:tab/>
          </w:r>
          <w:r w:rsidRPr="00F4698B">
            <w:rPr>
              <w:noProof/>
            </w:rPr>
            <w:t>Published treatment and diagnostic algorithms</w:t>
          </w:r>
          <w:r>
            <w:rPr>
              <w:noProof/>
              <w:webHidden/>
            </w:rPr>
            <w:tab/>
            <w:t>115</w:t>
          </w:r>
        </w:p>
        <w:p w14:paraId="5566953D" w14:textId="77777777" w:rsidR="005E6812" w:rsidRDefault="005E6812">
          <w:pPr>
            <w:pStyle w:val="TOC2"/>
            <w:tabs>
              <w:tab w:val="left" w:pos="2093"/>
            </w:tabs>
            <w:rPr>
              <w:rFonts w:asciiTheme="minorHAnsi" w:eastAsiaTheme="minorEastAsia" w:hAnsiTheme="minorHAnsi" w:cstheme="minorBidi"/>
              <w:noProof/>
              <w:sz w:val="22"/>
              <w:szCs w:val="22"/>
              <w:lang w:eastAsia="en-AU"/>
            </w:rPr>
          </w:pPr>
          <w:r w:rsidRPr="00F4698B">
            <w:rPr>
              <w:noProof/>
            </w:rPr>
            <w:t>Appendix 1.D</w:t>
          </w:r>
          <w:r>
            <w:rPr>
              <w:rFonts w:asciiTheme="minorHAnsi" w:eastAsiaTheme="minorEastAsia" w:hAnsiTheme="minorHAnsi" w:cstheme="minorBidi"/>
              <w:noProof/>
              <w:sz w:val="22"/>
              <w:szCs w:val="22"/>
              <w:lang w:eastAsia="en-AU"/>
            </w:rPr>
            <w:tab/>
          </w:r>
          <w:r w:rsidRPr="00F4698B">
            <w:rPr>
              <w:noProof/>
            </w:rPr>
            <w:t>Details of PAH restrictions</w:t>
          </w:r>
          <w:r>
            <w:rPr>
              <w:noProof/>
              <w:webHidden/>
            </w:rPr>
            <w:tab/>
            <w:t>121</w:t>
          </w:r>
        </w:p>
        <w:p w14:paraId="5B783421" w14:textId="77777777" w:rsidR="00F81948" w:rsidRDefault="00E42107" w:rsidP="00F81948"/>
      </w:sdtContent>
    </w:sdt>
    <w:p w14:paraId="2D74B034" w14:textId="77777777" w:rsidR="00B26475" w:rsidRPr="0003313D" w:rsidRDefault="00B26475" w:rsidP="00121658">
      <w:pPr>
        <w:pStyle w:val="Heading1"/>
        <w:numPr>
          <w:ilvl w:val="0"/>
          <w:numId w:val="0"/>
        </w:numPr>
        <w:spacing w:before="0"/>
        <w:jc w:val="left"/>
      </w:pPr>
      <w:bookmarkStart w:id="4" w:name="_Toc38377472"/>
      <w:r w:rsidRPr="0003313D">
        <w:lastRenderedPageBreak/>
        <w:t>List of Tables</w:t>
      </w:r>
      <w:bookmarkEnd w:id="4"/>
    </w:p>
    <w:p w14:paraId="7098890A" w14:textId="77777777" w:rsidR="001D1104" w:rsidRPr="007151BC" w:rsidRDefault="001D1104" w:rsidP="005E4483">
      <w:pPr>
        <w:pStyle w:val="TableofFigures"/>
        <w:tabs>
          <w:tab w:val="right" w:leader="dot" w:pos="9628"/>
        </w:tabs>
        <w:rPr>
          <w:rFonts w:ascii="Calibri" w:hAnsi="Calibri"/>
          <w:b/>
        </w:rPr>
      </w:pPr>
      <w:r w:rsidRPr="007151BC">
        <w:rPr>
          <w:rFonts w:ascii="Calibri" w:hAnsi="Calibri"/>
          <w:b/>
        </w:rPr>
        <w:t>Background</w:t>
      </w:r>
    </w:p>
    <w:p w14:paraId="26CE2FC8"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B.1</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WHO classification of PH and Group 1 PAH disease subtypes</w:t>
      </w:r>
      <w:r w:rsidRPr="001D5385">
        <w:rPr>
          <w:rFonts w:asciiTheme="minorHAnsi" w:hAnsiTheme="minorHAnsi" w:cstheme="minorHAnsi"/>
          <w:noProof/>
          <w:webHidden/>
        </w:rPr>
        <w:tab/>
      </w:r>
      <w:r w:rsidR="005E6812">
        <w:rPr>
          <w:rFonts w:asciiTheme="minorHAnsi" w:hAnsiTheme="minorHAnsi" w:cstheme="minorHAnsi"/>
          <w:noProof/>
          <w:webHidden/>
        </w:rPr>
        <w:t>16</w:t>
      </w:r>
    </w:p>
    <w:p w14:paraId="4F0BDBE7"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B.2</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WHO functional classes for PAH</w:t>
      </w:r>
      <w:r w:rsidRPr="001D5385">
        <w:rPr>
          <w:rFonts w:asciiTheme="minorHAnsi" w:hAnsiTheme="minorHAnsi" w:cstheme="minorHAnsi"/>
          <w:noProof/>
          <w:webHidden/>
        </w:rPr>
        <w:tab/>
      </w:r>
      <w:r w:rsidR="005E6812">
        <w:rPr>
          <w:rFonts w:asciiTheme="minorHAnsi" w:hAnsiTheme="minorHAnsi" w:cstheme="minorHAnsi"/>
          <w:noProof/>
          <w:webHidden/>
        </w:rPr>
        <w:t>17</w:t>
      </w:r>
    </w:p>
    <w:p w14:paraId="15001B5D"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B.3</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PAH medicines TGA registered in Australia</w:t>
      </w:r>
      <w:r w:rsidRPr="001D5385">
        <w:rPr>
          <w:rFonts w:asciiTheme="minorHAnsi" w:hAnsiTheme="minorHAnsi" w:cstheme="minorHAnsi"/>
          <w:noProof/>
          <w:webHidden/>
        </w:rPr>
        <w:tab/>
      </w:r>
      <w:r w:rsidR="005E6812">
        <w:rPr>
          <w:rFonts w:asciiTheme="minorHAnsi" w:hAnsiTheme="minorHAnsi" w:cstheme="minorHAnsi"/>
          <w:noProof/>
          <w:webHidden/>
        </w:rPr>
        <w:t>20</w:t>
      </w:r>
    </w:p>
    <w:p w14:paraId="40268E96"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B.4</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Date of first PBS listing and PBS subsidised indication for PAH medicines</w:t>
      </w:r>
      <w:r w:rsidRPr="001D5385">
        <w:rPr>
          <w:rFonts w:asciiTheme="minorHAnsi" w:hAnsiTheme="minorHAnsi" w:cstheme="minorHAnsi"/>
          <w:noProof/>
          <w:webHidden/>
        </w:rPr>
        <w:tab/>
      </w:r>
      <w:r w:rsidR="005E6812">
        <w:rPr>
          <w:rFonts w:asciiTheme="minorHAnsi" w:hAnsiTheme="minorHAnsi" w:cstheme="minorHAnsi"/>
          <w:noProof/>
          <w:webHidden/>
        </w:rPr>
        <w:t>23</w:t>
      </w:r>
    </w:p>
    <w:p w14:paraId="2238D521"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B.5</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The Economic analyses and equi-effective doses considered by the PBAC in recommending PBS listing of PAH medicines</w:t>
      </w:r>
      <w:r w:rsidRPr="001D5385">
        <w:rPr>
          <w:rFonts w:asciiTheme="minorHAnsi" w:hAnsiTheme="minorHAnsi" w:cstheme="minorHAnsi"/>
          <w:noProof/>
          <w:webHidden/>
        </w:rPr>
        <w:tab/>
      </w:r>
      <w:r w:rsidR="005E6812">
        <w:rPr>
          <w:rFonts w:asciiTheme="minorHAnsi" w:hAnsiTheme="minorHAnsi" w:cstheme="minorHAnsi"/>
          <w:noProof/>
          <w:webHidden/>
        </w:rPr>
        <w:t>24</w:t>
      </w:r>
    </w:p>
    <w:p w14:paraId="79551526"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B.6</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Overview of PBS-listed PAH medicines by PAH type and WHO Functional Class</w:t>
      </w:r>
      <w:r w:rsidRPr="001D5385">
        <w:rPr>
          <w:rFonts w:asciiTheme="minorHAnsi" w:hAnsiTheme="minorHAnsi" w:cstheme="minorHAnsi"/>
          <w:noProof/>
          <w:webHidden/>
        </w:rPr>
        <w:tab/>
      </w:r>
      <w:r w:rsidR="005E6812">
        <w:rPr>
          <w:rFonts w:asciiTheme="minorHAnsi" w:hAnsiTheme="minorHAnsi" w:cstheme="minorHAnsi"/>
          <w:noProof/>
          <w:webHidden/>
        </w:rPr>
        <w:t>26</w:t>
      </w:r>
    </w:p>
    <w:p w14:paraId="50193B8E"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B.7</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PAH Brands Registered in Australia</w:t>
      </w:r>
      <w:r w:rsidRPr="001D5385">
        <w:rPr>
          <w:rFonts w:asciiTheme="minorHAnsi" w:hAnsiTheme="minorHAnsi" w:cstheme="minorHAnsi"/>
          <w:noProof/>
          <w:webHidden/>
        </w:rPr>
        <w:tab/>
      </w:r>
      <w:r w:rsidR="005E6812">
        <w:rPr>
          <w:rFonts w:asciiTheme="minorHAnsi" w:hAnsiTheme="minorHAnsi" w:cstheme="minorHAnsi"/>
          <w:noProof/>
          <w:webHidden/>
        </w:rPr>
        <w:t>99</w:t>
      </w:r>
    </w:p>
    <w:p w14:paraId="730E8E06"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B.8</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History of PBAC Considerations for PAH Medicines</w:t>
      </w:r>
      <w:r w:rsidRPr="001D5385">
        <w:rPr>
          <w:rFonts w:asciiTheme="minorHAnsi" w:hAnsiTheme="minorHAnsi" w:cstheme="minorHAnsi"/>
          <w:noProof/>
          <w:webHidden/>
        </w:rPr>
        <w:tab/>
      </w:r>
      <w:r w:rsidR="005E6812">
        <w:rPr>
          <w:rFonts w:asciiTheme="minorHAnsi" w:hAnsiTheme="minorHAnsi" w:cstheme="minorHAnsi"/>
          <w:noProof/>
          <w:webHidden/>
        </w:rPr>
        <w:t>101</w:t>
      </w:r>
    </w:p>
    <w:p w14:paraId="106B7B69"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B.9</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PAH item numbers, DPMQs, authorities and treatment phases (Prices current for 1 December 2017 Schedule)</w:t>
      </w:r>
      <w:r w:rsidRPr="001D5385">
        <w:rPr>
          <w:rFonts w:asciiTheme="minorHAnsi" w:hAnsiTheme="minorHAnsi" w:cstheme="minorHAnsi"/>
          <w:noProof/>
          <w:webHidden/>
        </w:rPr>
        <w:tab/>
      </w:r>
      <w:r w:rsidR="005E6812">
        <w:rPr>
          <w:rFonts w:asciiTheme="minorHAnsi" w:hAnsiTheme="minorHAnsi" w:cstheme="minorHAnsi"/>
          <w:noProof/>
          <w:webHidden/>
        </w:rPr>
        <w:t>105</w:t>
      </w:r>
    </w:p>
    <w:p w14:paraId="066A2F1C" w14:textId="77777777" w:rsidR="001D5385" w:rsidRPr="007151BC" w:rsidRDefault="006452D3" w:rsidP="00B0148D">
      <w:pPr>
        <w:pStyle w:val="TableofFigures"/>
        <w:tabs>
          <w:tab w:val="right" w:leader="dot" w:pos="9628"/>
        </w:tabs>
        <w:rPr>
          <w:rFonts w:ascii="Calibri" w:hAnsi="Calibri"/>
          <w:noProof/>
        </w:rPr>
      </w:pPr>
      <w:proofErr w:type="spellStart"/>
      <w:r w:rsidRPr="00AC07C0">
        <w:rPr>
          <w:rFonts w:asciiTheme="minorHAnsi" w:hAnsiTheme="minorHAnsi"/>
          <w:b/>
        </w:rPr>
        <w:t>ToR</w:t>
      </w:r>
      <w:proofErr w:type="spellEnd"/>
      <w:r w:rsidR="001D1104" w:rsidRPr="00AC07C0">
        <w:rPr>
          <w:rFonts w:asciiTheme="minorHAnsi" w:hAnsiTheme="minorHAnsi"/>
          <w:b/>
        </w:rPr>
        <w:t xml:space="preserve"> 1</w:t>
      </w:r>
    </w:p>
    <w:p w14:paraId="329DEEFC"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 xml:space="preserve">Table 1.1 </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Summary of PBS-TGA-PAH Guidelines alignment</w:t>
      </w:r>
      <w:r w:rsidRPr="001D5385">
        <w:rPr>
          <w:rFonts w:asciiTheme="minorHAnsi" w:hAnsiTheme="minorHAnsi" w:cstheme="minorHAnsi"/>
          <w:noProof/>
          <w:webHidden/>
        </w:rPr>
        <w:tab/>
      </w:r>
      <w:r w:rsidR="005E6812">
        <w:rPr>
          <w:rFonts w:asciiTheme="minorHAnsi" w:hAnsiTheme="minorHAnsi" w:cstheme="minorHAnsi"/>
          <w:noProof/>
          <w:webHidden/>
        </w:rPr>
        <w:t>31</w:t>
      </w:r>
    </w:p>
    <w:p w14:paraId="6FE5FAA8"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 xml:space="preserve">Table 1.2 </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PIPOH guideline selection criteria</w:t>
      </w:r>
      <w:r w:rsidRPr="001D5385">
        <w:rPr>
          <w:rFonts w:asciiTheme="minorHAnsi" w:hAnsiTheme="minorHAnsi" w:cstheme="minorHAnsi"/>
          <w:noProof/>
          <w:webHidden/>
        </w:rPr>
        <w:tab/>
      </w:r>
      <w:r w:rsidR="005E6812">
        <w:rPr>
          <w:rFonts w:asciiTheme="minorHAnsi" w:hAnsiTheme="minorHAnsi" w:cstheme="minorHAnsi"/>
          <w:noProof/>
          <w:webHidden/>
        </w:rPr>
        <w:t>35</w:t>
      </w:r>
    </w:p>
    <w:p w14:paraId="64CDF950"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 xml:space="preserve">Table 1.3 </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Specialist groups targeted in search strategy</w:t>
      </w:r>
      <w:r w:rsidRPr="001D5385">
        <w:rPr>
          <w:rFonts w:asciiTheme="minorHAnsi" w:hAnsiTheme="minorHAnsi" w:cstheme="minorHAnsi"/>
          <w:noProof/>
          <w:webHidden/>
        </w:rPr>
        <w:tab/>
      </w:r>
      <w:r w:rsidR="005E6812">
        <w:rPr>
          <w:rFonts w:asciiTheme="minorHAnsi" w:hAnsiTheme="minorHAnsi" w:cstheme="minorHAnsi"/>
          <w:noProof/>
          <w:webHidden/>
        </w:rPr>
        <w:t>36</w:t>
      </w:r>
    </w:p>
    <w:p w14:paraId="4CE25CAF"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 xml:space="preserve">Table 1.4 </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Guidelines relevant to this review</w:t>
      </w:r>
      <w:r w:rsidRPr="001D5385">
        <w:rPr>
          <w:rFonts w:asciiTheme="minorHAnsi" w:hAnsiTheme="minorHAnsi" w:cstheme="minorHAnsi"/>
          <w:noProof/>
          <w:webHidden/>
        </w:rPr>
        <w:tab/>
      </w:r>
      <w:r w:rsidR="005E6812">
        <w:rPr>
          <w:rFonts w:asciiTheme="minorHAnsi" w:hAnsiTheme="minorHAnsi" w:cstheme="minorHAnsi"/>
          <w:noProof/>
          <w:webHidden/>
        </w:rPr>
        <w:t>39</w:t>
      </w:r>
    </w:p>
    <w:p w14:paraId="230A919F"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 xml:space="preserve">Table 1.5 </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PAH pharmacotherapy – patient groups receiving monotherapy</w:t>
      </w:r>
      <w:r w:rsidRPr="001D5385">
        <w:rPr>
          <w:rFonts w:asciiTheme="minorHAnsi" w:hAnsiTheme="minorHAnsi" w:cstheme="minorHAnsi"/>
          <w:noProof/>
          <w:webHidden/>
        </w:rPr>
        <w:tab/>
      </w:r>
      <w:r w:rsidR="005E6812">
        <w:rPr>
          <w:rFonts w:asciiTheme="minorHAnsi" w:hAnsiTheme="minorHAnsi" w:cstheme="minorHAnsi"/>
          <w:noProof/>
          <w:webHidden/>
        </w:rPr>
        <w:t>42</w:t>
      </w:r>
    </w:p>
    <w:p w14:paraId="678157C0"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 xml:space="preserve">Table 1.6 </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PAH pharmacotherapy – patient groups receiving combination therapy</w:t>
      </w:r>
      <w:r w:rsidRPr="001D5385">
        <w:rPr>
          <w:rFonts w:asciiTheme="minorHAnsi" w:hAnsiTheme="minorHAnsi" w:cstheme="minorHAnsi"/>
          <w:noProof/>
          <w:webHidden/>
        </w:rPr>
        <w:tab/>
      </w:r>
      <w:r w:rsidR="005E6812">
        <w:rPr>
          <w:rFonts w:asciiTheme="minorHAnsi" w:hAnsiTheme="minorHAnsi" w:cstheme="minorHAnsi"/>
          <w:noProof/>
          <w:webHidden/>
        </w:rPr>
        <w:t>44</w:t>
      </w:r>
    </w:p>
    <w:p w14:paraId="68105C88"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 xml:space="preserve">Table 1.7 </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Guideline recommendations supporting the therapy pathways</w:t>
      </w:r>
      <w:r w:rsidRPr="001D5385">
        <w:rPr>
          <w:rFonts w:asciiTheme="minorHAnsi" w:hAnsiTheme="minorHAnsi" w:cstheme="minorHAnsi"/>
          <w:noProof/>
          <w:webHidden/>
        </w:rPr>
        <w:tab/>
      </w:r>
      <w:r w:rsidR="005E6812">
        <w:rPr>
          <w:rFonts w:asciiTheme="minorHAnsi" w:hAnsiTheme="minorHAnsi" w:cstheme="minorHAnsi"/>
          <w:noProof/>
          <w:webHidden/>
        </w:rPr>
        <w:t>45</w:t>
      </w:r>
    </w:p>
    <w:p w14:paraId="56BAA9F1"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 xml:space="preserve">Table 1.8 </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Guideline recommendations regarding high dose CCBs</w:t>
      </w:r>
      <w:r w:rsidRPr="001D5385">
        <w:rPr>
          <w:rFonts w:asciiTheme="minorHAnsi" w:hAnsiTheme="minorHAnsi" w:cstheme="minorHAnsi"/>
          <w:noProof/>
          <w:webHidden/>
        </w:rPr>
        <w:tab/>
      </w:r>
      <w:r w:rsidR="005E6812">
        <w:rPr>
          <w:rFonts w:asciiTheme="minorHAnsi" w:hAnsiTheme="minorHAnsi" w:cstheme="minorHAnsi"/>
          <w:noProof/>
          <w:webHidden/>
        </w:rPr>
        <w:t>49</w:t>
      </w:r>
    </w:p>
    <w:p w14:paraId="521668E7"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 xml:space="preserve">Table 1.9 </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Guideline diagnostic recommendations for PAH</w:t>
      </w:r>
      <w:r w:rsidRPr="001D5385">
        <w:rPr>
          <w:rFonts w:asciiTheme="minorHAnsi" w:hAnsiTheme="minorHAnsi" w:cstheme="minorHAnsi"/>
          <w:noProof/>
          <w:webHidden/>
        </w:rPr>
        <w:tab/>
      </w:r>
      <w:r w:rsidR="005E6812">
        <w:rPr>
          <w:rFonts w:asciiTheme="minorHAnsi" w:hAnsiTheme="minorHAnsi" w:cstheme="minorHAnsi"/>
          <w:noProof/>
          <w:webHidden/>
        </w:rPr>
        <w:t>53</w:t>
      </w:r>
    </w:p>
    <w:p w14:paraId="40C34467"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1.10</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Monitoring recommendations and other patient assessments for PAH</w:t>
      </w:r>
      <w:r w:rsidRPr="001D5385">
        <w:rPr>
          <w:rFonts w:asciiTheme="minorHAnsi" w:hAnsiTheme="minorHAnsi" w:cstheme="minorHAnsi"/>
          <w:noProof/>
          <w:webHidden/>
        </w:rPr>
        <w:tab/>
      </w:r>
      <w:r w:rsidR="005E6812">
        <w:rPr>
          <w:rFonts w:asciiTheme="minorHAnsi" w:hAnsiTheme="minorHAnsi" w:cstheme="minorHAnsi"/>
          <w:noProof/>
          <w:webHidden/>
        </w:rPr>
        <w:t>55</w:t>
      </w:r>
    </w:p>
    <w:p w14:paraId="1E23FF22"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1.11</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Clinical features of high risk vs low risk PAH patients (</w:t>
      </w:r>
      <w:r w:rsidR="008F6AA4" w:rsidRPr="00F4698B">
        <w:rPr>
          <w:rFonts w:asciiTheme="minorHAnsi" w:hAnsiTheme="minorHAnsi" w:cstheme="minorHAnsi"/>
          <w:noProof/>
        </w:rPr>
        <w:t>2015 ESC/ERS Guidelines</w:t>
      </w:r>
      <w:r w:rsidRPr="00F4698B">
        <w:rPr>
          <w:rFonts w:asciiTheme="minorHAnsi" w:hAnsiTheme="minorHAnsi" w:cstheme="minorHAnsi"/>
          <w:noProof/>
        </w:rPr>
        <w:t>)</w:t>
      </w:r>
      <w:r w:rsidRPr="001D5385">
        <w:rPr>
          <w:rFonts w:asciiTheme="minorHAnsi" w:hAnsiTheme="minorHAnsi" w:cstheme="minorHAnsi"/>
          <w:noProof/>
          <w:webHidden/>
        </w:rPr>
        <w:tab/>
      </w:r>
      <w:r w:rsidR="005E6812">
        <w:rPr>
          <w:rFonts w:asciiTheme="minorHAnsi" w:hAnsiTheme="minorHAnsi" w:cstheme="minorHAnsi"/>
          <w:noProof/>
          <w:webHidden/>
        </w:rPr>
        <w:t>57</w:t>
      </w:r>
    </w:p>
    <w:p w14:paraId="65FF7B6A"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1.12</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Clinical features of high risk PAH patients (USA)</w:t>
      </w:r>
      <w:r w:rsidRPr="001D5385">
        <w:rPr>
          <w:rFonts w:asciiTheme="minorHAnsi" w:hAnsiTheme="minorHAnsi" w:cstheme="minorHAnsi"/>
          <w:noProof/>
          <w:webHidden/>
        </w:rPr>
        <w:tab/>
      </w:r>
      <w:r w:rsidR="005E6812">
        <w:rPr>
          <w:rFonts w:asciiTheme="minorHAnsi" w:hAnsiTheme="minorHAnsi" w:cstheme="minorHAnsi"/>
          <w:noProof/>
          <w:webHidden/>
        </w:rPr>
        <w:t>57</w:t>
      </w:r>
    </w:p>
    <w:p w14:paraId="152E76F7"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1.13</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ESC/ERS suggested assessments and timing for follow-up</w:t>
      </w:r>
      <w:r w:rsidRPr="001D5385">
        <w:rPr>
          <w:rFonts w:asciiTheme="minorHAnsi" w:hAnsiTheme="minorHAnsi" w:cstheme="minorHAnsi"/>
          <w:noProof/>
          <w:webHidden/>
        </w:rPr>
        <w:tab/>
      </w:r>
      <w:r w:rsidR="005E6812">
        <w:rPr>
          <w:rFonts w:asciiTheme="minorHAnsi" w:hAnsiTheme="minorHAnsi" w:cstheme="minorHAnsi"/>
          <w:noProof/>
          <w:webHidden/>
        </w:rPr>
        <w:t>59</w:t>
      </w:r>
    </w:p>
    <w:p w14:paraId="329692F6"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1.14</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Overview of registered indications for PAH medicines</w:t>
      </w:r>
      <w:r w:rsidRPr="001D5385">
        <w:rPr>
          <w:rFonts w:asciiTheme="minorHAnsi" w:hAnsiTheme="minorHAnsi" w:cstheme="minorHAnsi"/>
          <w:noProof/>
          <w:webHidden/>
        </w:rPr>
        <w:tab/>
      </w:r>
      <w:r w:rsidR="005E6812">
        <w:rPr>
          <w:rFonts w:asciiTheme="minorHAnsi" w:hAnsiTheme="minorHAnsi" w:cstheme="minorHAnsi"/>
          <w:noProof/>
          <w:webHidden/>
        </w:rPr>
        <w:t>62</w:t>
      </w:r>
    </w:p>
    <w:p w14:paraId="5590A7CE"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1.15</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PAH medicines – TGA wording of registered indications</w:t>
      </w:r>
      <w:r w:rsidRPr="001D5385">
        <w:rPr>
          <w:rFonts w:asciiTheme="minorHAnsi" w:hAnsiTheme="minorHAnsi" w:cstheme="minorHAnsi"/>
          <w:noProof/>
          <w:webHidden/>
        </w:rPr>
        <w:tab/>
      </w:r>
      <w:r w:rsidR="005E6812">
        <w:rPr>
          <w:rFonts w:asciiTheme="minorHAnsi" w:hAnsiTheme="minorHAnsi" w:cstheme="minorHAnsi"/>
          <w:noProof/>
          <w:webHidden/>
        </w:rPr>
        <w:t>63</w:t>
      </w:r>
    </w:p>
    <w:p w14:paraId="29826BC5"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1.16</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Alignment of ARTG indications with PBS listings (not accounting for WHO FC)</w:t>
      </w:r>
      <w:r w:rsidRPr="001D5385">
        <w:rPr>
          <w:rFonts w:asciiTheme="minorHAnsi" w:hAnsiTheme="minorHAnsi" w:cstheme="minorHAnsi"/>
          <w:noProof/>
          <w:webHidden/>
        </w:rPr>
        <w:tab/>
      </w:r>
      <w:r w:rsidR="005E6812">
        <w:rPr>
          <w:rFonts w:asciiTheme="minorHAnsi" w:hAnsiTheme="minorHAnsi" w:cstheme="minorHAnsi"/>
          <w:noProof/>
          <w:webHidden/>
        </w:rPr>
        <w:t>70</w:t>
      </w:r>
    </w:p>
    <w:p w14:paraId="0B6D278E"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1.17</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Restriction criteria considered in this review</w:t>
      </w:r>
      <w:r w:rsidRPr="001D5385">
        <w:rPr>
          <w:rFonts w:asciiTheme="minorHAnsi" w:hAnsiTheme="minorHAnsi" w:cstheme="minorHAnsi"/>
          <w:noProof/>
          <w:webHidden/>
        </w:rPr>
        <w:tab/>
      </w:r>
      <w:r w:rsidR="005E6812">
        <w:rPr>
          <w:rFonts w:asciiTheme="minorHAnsi" w:hAnsiTheme="minorHAnsi" w:cstheme="minorHAnsi"/>
          <w:noProof/>
          <w:webHidden/>
        </w:rPr>
        <w:t>74</w:t>
      </w:r>
    </w:p>
    <w:p w14:paraId="759334E5"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1.18</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PBS criteria for vasodilator therapy with CCBs</w:t>
      </w:r>
      <w:r w:rsidRPr="001D5385">
        <w:rPr>
          <w:rFonts w:asciiTheme="minorHAnsi" w:hAnsiTheme="minorHAnsi" w:cstheme="minorHAnsi"/>
          <w:noProof/>
          <w:webHidden/>
        </w:rPr>
        <w:tab/>
      </w:r>
      <w:r w:rsidR="005E6812">
        <w:rPr>
          <w:rFonts w:asciiTheme="minorHAnsi" w:hAnsiTheme="minorHAnsi" w:cstheme="minorHAnsi"/>
          <w:noProof/>
          <w:webHidden/>
        </w:rPr>
        <w:t>76</w:t>
      </w:r>
    </w:p>
    <w:p w14:paraId="2B612BE1"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 xml:space="preserve">Table 1.19 </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Restriction criteria for diagnostic tests and monitoring considered in this review</w:t>
      </w:r>
      <w:r w:rsidRPr="001D5385">
        <w:rPr>
          <w:rFonts w:asciiTheme="minorHAnsi" w:hAnsiTheme="minorHAnsi" w:cstheme="minorHAnsi"/>
          <w:noProof/>
          <w:webHidden/>
        </w:rPr>
        <w:tab/>
      </w:r>
      <w:r w:rsidR="005E6812">
        <w:rPr>
          <w:rFonts w:asciiTheme="minorHAnsi" w:hAnsiTheme="minorHAnsi" w:cstheme="minorHAnsi"/>
          <w:noProof/>
          <w:webHidden/>
        </w:rPr>
        <w:t>83</w:t>
      </w:r>
    </w:p>
    <w:p w14:paraId="49DD25CA"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1.20</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PAH Medicines – PI references to use in combination with other PAH medicines</w:t>
      </w:r>
      <w:r w:rsidRPr="001D5385">
        <w:rPr>
          <w:rFonts w:asciiTheme="minorHAnsi" w:hAnsiTheme="minorHAnsi" w:cstheme="minorHAnsi"/>
          <w:noProof/>
          <w:webHidden/>
        </w:rPr>
        <w:tab/>
      </w:r>
      <w:r w:rsidR="005E6812">
        <w:rPr>
          <w:rFonts w:asciiTheme="minorHAnsi" w:hAnsiTheme="minorHAnsi" w:cstheme="minorHAnsi"/>
          <w:noProof/>
          <w:webHidden/>
        </w:rPr>
        <w:t>108</w:t>
      </w:r>
    </w:p>
    <w:p w14:paraId="43FF820F"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1.21</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PAH medicines – paediatric use instructions and warnings</w:t>
      </w:r>
      <w:r w:rsidRPr="001D5385">
        <w:rPr>
          <w:rFonts w:asciiTheme="minorHAnsi" w:hAnsiTheme="minorHAnsi" w:cstheme="minorHAnsi"/>
          <w:noProof/>
          <w:webHidden/>
        </w:rPr>
        <w:tab/>
      </w:r>
      <w:r w:rsidR="005E6812">
        <w:rPr>
          <w:rFonts w:asciiTheme="minorHAnsi" w:hAnsiTheme="minorHAnsi" w:cstheme="minorHAnsi"/>
          <w:noProof/>
          <w:webHidden/>
        </w:rPr>
        <w:t>113</w:t>
      </w:r>
    </w:p>
    <w:p w14:paraId="3C2D64D2"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1.22</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Clinical criteria and prescribing instructions common to all PAH items</w:t>
      </w:r>
      <w:r w:rsidRPr="001D5385">
        <w:rPr>
          <w:rFonts w:asciiTheme="minorHAnsi" w:hAnsiTheme="minorHAnsi" w:cstheme="minorHAnsi"/>
          <w:noProof/>
          <w:webHidden/>
        </w:rPr>
        <w:tab/>
      </w:r>
      <w:r w:rsidR="005E6812">
        <w:rPr>
          <w:rFonts w:asciiTheme="minorHAnsi" w:hAnsiTheme="minorHAnsi" w:cstheme="minorHAnsi"/>
          <w:noProof/>
          <w:webHidden/>
        </w:rPr>
        <w:t>121</w:t>
      </w:r>
    </w:p>
    <w:p w14:paraId="3481B14B"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1.23</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PAH initial treatment: clinical criteria and prescribing instructions</w:t>
      </w:r>
      <w:r w:rsidRPr="001D5385">
        <w:rPr>
          <w:rFonts w:asciiTheme="minorHAnsi" w:hAnsiTheme="minorHAnsi" w:cstheme="minorHAnsi"/>
          <w:noProof/>
          <w:webHidden/>
        </w:rPr>
        <w:tab/>
      </w:r>
      <w:r w:rsidR="005E6812">
        <w:rPr>
          <w:rFonts w:asciiTheme="minorHAnsi" w:hAnsiTheme="minorHAnsi" w:cstheme="minorHAnsi"/>
          <w:noProof/>
          <w:webHidden/>
        </w:rPr>
        <w:t>12</w:t>
      </w:r>
      <w:r w:rsidR="00EA0CBC">
        <w:rPr>
          <w:rFonts w:asciiTheme="minorHAnsi" w:hAnsiTheme="minorHAnsi" w:cstheme="minorHAnsi"/>
          <w:noProof/>
          <w:webHidden/>
        </w:rPr>
        <w:t>2</w:t>
      </w:r>
    </w:p>
    <w:p w14:paraId="6E7B5E63"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1.24</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PAH continuing treatment: clinical criteria and prescribing instructions</w:t>
      </w:r>
      <w:r w:rsidRPr="001D5385">
        <w:rPr>
          <w:rFonts w:asciiTheme="minorHAnsi" w:hAnsiTheme="minorHAnsi" w:cstheme="minorHAnsi"/>
          <w:noProof/>
          <w:webHidden/>
        </w:rPr>
        <w:tab/>
      </w:r>
      <w:r w:rsidR="005E6812">
        <w:rPr>
          <w:rFonts w:asciiTheme="minorHAnsi" w:hAnsiTheme="minorHAnsi" w:cstheme="minorHAnsi"/>
          <w:noProof/>
          <w:webHidden/>
        </w:rPr>
        <w:t>12</w:t>
      </w:r>
      <w:r w:rsidR="00EA0CBC">
        <w:rPr>
          <w:rFonts w:asciiTheme="minorHAnsi" w:hAnsiTheme="minorHAnsi" w:cstheme="minorHAnsi"/>
          <w:noProof/>
          <w:webHidden/>
        </w:rPr>
        <w:t>8</w:t>
      </w:r>
    </w:p>
    <w:p w14:paraId="0DE0FB7F" w14:textId="77777777" w:rsidR="001D5385" w:rsidRPr="001D5385"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Table 1.25</w:t>
      </w:r>
      <w:r w:rsidRPr="001D5385">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Administrative information in PAH items</w:t>
      </w:r>
      <w:r w:rsidRPr="001D5385">
        <w:rPr>
          <w:rFonts w:asciiTheme="minorHAnsi" w:hAnsiTheme="minorHAnsi" w:cstheme="minorHAnsi"/>
          <w:noProof/>
          <w:webHidden/>
        </w:rPr>
        <w:tab/>
      </w:r>
      <w:r w:rsidR="005E6812">
        <w:rPr>
          <w:rFonts w:asciiTheme="minorHAnsi" w:hAnsiTheme="minorHAnsi" w:cstheme="minorHAnsi"/>
          <w:noProof/>
          <w:webHidden/>
        </w:rPr>
        <w:t>13</w:t>
      </w:r>
      <w:r w:rsidR="00EA0CBC">
        <w:rPr>
          <w:rFonts w:asciiTheme="minorHAnsi" w:hAnsiTheme="minorHAnsi" w:cstheme="minorHAnsi"/>
          <w:noProof/>
          <w:webHidden/>
        </w:rPr>
        <w:t>1</w:t>
      </w:r>
    </w:p>
    <w:p w14:paraId="0B1CF09C" w14:textId="77777777" w:rsidR="00B26475" w:rsidRPr="00AC07C0" w:rsidRDefault="00B26475" w:rsidP="00B0148D">
      <w:pPr>
        <w:pStyle w:val="TableofFigures"/>
        <w:tabs>
          <w:tab w:val="right" w:leader="dot" w:pos="9628"/>
        </w:tabs>
        <w:rPr>
          <w:rStyle w:val="Hyperlink"/>
          <w:rFonts w:asciiTheme="minorHAnsi" w:hAnsiTheme="minorHAnsi"/>
          <w:noProof/>
          <w:color w:val="auto"/>
        </w:rPr>
      </w:pPr>
    </w:p>
    <w:p w14:paraId="7047505C" w14:textId="77777777" w:rsidR="00B26475" w:rsidRPr="0003313D" w:rsidRDefault="00B26475" w:rsidP="00121658">
      <w:pPr>
        <w:pStyle w:val="Heading1"/>
        <w:numPr>
          <w:ilvl w:val="0"/>
          <w:numId w:val="0"/>
        </w:numPr>
        <w:spacing w:before="0"/>
        <w:jc w:val="left"/>
      </w:pPr>
      <w:bookmarkStart w:id="5" w:name="_Toc38377473"/>
      <w:r w:rsidRPr="0003313D">
        <w:lastRenderedPageBreak/>
        <w:t>List of Figures</w:t>
      </w:r>
      <w:bookmarkEnd w:id="5"/>
    </w:p>
    <w:p w14:paraId="7AE2C265" w14:textId="77777777" w:rsidR="001D1104" w:rsidRPr="004C66FF" w:rsidRDefault="00C6441A" w:rsidP="005E4483">
      <w:pPr>
        <w:pStyle w:val="TableofFigures"/>
        <w:tabs>
          <w:tab w:val="right" w:leader="dot" w:pos="9628"/>
        </w:tabs>
        <w:spacing w:before="240"/>
        <w:rPr>
          <w:rFonts w:asciiTheme="minorHAnsi" w:hAnsiTheme="minorHAnsi" w:cstheme="minorHAnsi"/>
          <w:b/>
        </w:rPr>
      </w:pPr>
      <w:proofErr w:type="spellStart"/>
      <w:r w:rsidRPr="004C66FF">
        <w:rPr>
          <w:rFonts w:asciiTheme="minorHAnsi" w:hAnsiTheme="minorHAnsi" w:cstheme="minorHAnsi"/>
          <w:b/>
        </w:rPr>
        <w:t>ToR</w:t>
      </w:r>
      <w:proofErr w:type="spellEnd"/>
      <w:r w:rsidRPr="004C66FF">
        <w:rPr>
          <w:rFonts w:asciiTheme="minorHAnsi" w:hAnsiTheme="minorHAnsi" w:cstheme="minorHAnsi"/>
          <w:b/>
        </w:rPr>
        <w:t xml:space="preserve"> 1</w:t>
      </w:r>
    </w:p>
    <w:p w14:paraId="684888F6" w14:textId="77777777" w:rsidR="001D5385" w:rsidRPr="004C66FF"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Figure 1.1</w:t>
      </w:r>
      <w:r w:rsidRPr="004C66FF">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REVEAL risk score calculator</w:t>
      </w:r>
      <w:r w:rsidRPr="004C66FF">
        <w:rPr>
          <w:rFonts w:asciiTheme="minorHAnsi" w:hAnsiTheme="minorHAnsi" w:cstheme="minorHAnsi"/>
          <w:noProof/>
          <w:webHidden/>
        </w:rPr>
        <w:tab/>
      </w:r>
      <w:r w:rsidR="005E6812">
        <w:rPr>
          <w:rFonts w:asciiTheme="minorHAnsi" w:hAnsiTheme="minorHAnsi" w:cstheme="minorHAnsi"/>
          <w:noProof/>
          <w:webHidden/>
        </w:rPr>
        <w:t>58</w:t>
      </w:r>
    </w:p>
    <w:p w14:paraId="41BB3157" w14:textId="77777777" w:rsidR="001D5385" w:rsidRPr="004C66FF"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Figure 1.2</w:t>
      </w:r>
      <w:r w:rsidRPr="004C66FF">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 xml:space="preserve">Treatment algorithm for PAH </w:t>
      </w:r>
      <w:r w:rsidR="008F6AA4" w:rsidRPr="00F4698B">
        <w:rPr>
          <w:rFonts w:asciiTheme="minorHAnsi" w:hAnsiTheme="minorHAnsi" w:cstheme="minorHAnsi"/>
          <w:noProof/>
        </w:rPr>
        <w:t>2015 ESC/ERS Guidelines</w:t>
      </w:r>
      <w:r w:rsidRPr="004C66FF">
        <w:rPr>
          <w:rFonts w:asciiTheme="minorHAnsi" w:hAnsiTheme="minorHAnsi" w:cstheme="minorHAnsi"/>
          <w:noProof/>
          <w:webHidden/>
        </w:rPr>
        <w:tab/>
      </w:r>
      <w:r w:rsidR="005E6812">
        <w:rPr>
          <w:rFonts w:asciiTheme="minorHAnsi" w:hAnsiTheme="minorHAnsi" w:cstheme="minorHAnsi"/>
          <w:noProof/>
          <w:webHidden/>
        </w:rPr>
        <w:t>115</w:t>
      </w:r>
    </w:p>
    <w:p w14:paraId="4560A6A1" w14:textId="77777777" w:rsidR="001D5385" w:rsidRPr="004C66FF"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Figure 1.3</w:t>
      </w:r>
      <w:r w:rsidRPr="004C66FF">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Treatment algorithm from McLaughlin et al (2015)</w:t>
      </w:r>
      <w:r w:rsidRPr="004C66FF">
        <w:rPr>
          <w:rFonts w:asciiTheme="minorHAnsi" w:hAnsiTheme="minorHAnsi" w:cstheme="minorHAnsi"/>
          <w:noProof/>
          <w:webHidden/>
        </w:rPr>
        <w:tab/>
      </w:r>
      <w:r w:rsidR="005E6812">
        <w:rPr>
          <w:rFonts w:asciiTheme="minorHAnsi" w:hAnsiTheme="minorHAnsi" w:cstheme="minorHAnsi"/>
          <w:noProof/>
          <w:webHidden/>
        </w:rPr>
        <w:t>116</w:t>
      </w:r>
    </w:p>
    <w:p w14:paraId="27E54808" w14:textId="77777777" w:rsidR="001D5385" w:rsidRPr="004C66FF"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Figure 1.4</w:t>
      </w:r>
      <w:r w:rsidRPr="004C66FF">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 xml:space="preserve">Diagnostic algorithm for PAH, </w:t>
      </w:r>
      <w:r w:rsidR="008F6AA4" w:rsidRPr="00F4698B">
        <w:rPr>
          <w:rFonts w:asciiTheme="minorHAnsi" w:hAnsiTheme="minorHAnsi" w:cstheme="minorHAnsi"/>
          <w:noProof/>
        </w:rPr>
        <w:t>2015 ESC/ERS Guidelines</w:t>
      </w:r>
      <w:r w:rsidRPr="004C66FF">
        <w:rPr>
          <w:rFonts w:asciiTheme="minorHAnsi" w:hAnsiTheme="minorHAnsi" w:cstheme="minorHAnsi"/>
          <w:noProof/>
          <w:webHidden/>
        </w:rPr>
        <w:tab/>
      </w:r>
      <w:r w:rsidR="005E6812">
        <w:rPr>
          <w:rFonts w:asciiTheme="minorHAnsi" w:hAnsiTheme="minorHAnsi" w:cstheme="minorHAnsi"/>
          <w:noProof/>
          <w:webHidden/>
        </w:rPr>
        <w:t>117</w:t>
      </w:r>
    </w:p>
    <w:p w14:paraId="220910B5" w14:textId="77777777" w:rsidR="001D5385" w:rsidRPr="004C66FF"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Figure 1.5</w:t>
      </w:r>
      <w:r w:rsidRPr="004C66FF">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Diagnostic algorithm for PAH</w:t>
      </w:r>
      <w:r w:rsidRPr="004C66FF">
        <w:rPr>
          <w:rFonts w:asciiTheme="minorHAnsi" w:hAnsiTheme="minorHAnsi" w:cstheme="minorHAnsi"/>
          <w:noProof/>
          <w:webHidden/>
        </w:rPr>
        <w:tab/>
      </w:r>
      <w:r w:rsidR="005E6812">
        <w:rPr>
          <w:rFonts w:asciiTheme="minorHAnsi" w:hAnsiTheme="minorHAnsi" w:cstheme="minorHAnsi"/>
          <w:noProof/>
          <w:webHidden/>
        </w:rPr>
        <w:t>118</w:t>
      </w:r>
    </w:p>
    <w:p w14:paraId="50D2B343" w14:textId="77777777" w:rsidR="001D5385" w:rsidRPr="004C66FF"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Figure 1.6</w:t>
      </w:r>
      <w:r w:rsidRPr="004C66FF">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Treatment agorithm for Paediatric PAH (World Symposium)</w:t>
      </w:r>
      <w:r w:rsidRPr="004C66FF">
        <w:rPr>
          <w:rFonts w:asciiTheme="minorHAnsi" w:hAnsiTheme="minorHAnsi" w:cstheme="minorHAnsi"/>
          <w:noProof/>
          <w:webHidden/>
        </w:rPr>
        <w:tab/>
      </w:r>
      <w:r w:rsidR="005E6812">
        <w:rPr>
          <w:rFonts w:asciiTheme="minorHAnsi" w:hAnsiTheme="minorHAnsi" w:cstheme="minorHAnsi"/>
          <w:noProof/>
          <w:webHidden/>
        </w:rPr>
        <w:t>119</w:t>
      </w:r>
    </w:p>
    <w:p w14:paraId="3E34046E" w14:textId="77777777" w:rsidR="001D5385" w:rsidRPr="004C66FF" w:rsidRDefault="001D5385">
      <w:pPr>
        <w:pStyle w:val="TableofFigures"/>
        <w:tabs>
          <w:tab w:val="right" w:leader="dot" w:pos="9628"/>
        </w:tabs>
        <w:rPr>
          <w:rFonts w:asciiTheme="minorHAnsi" w:eastAsiaTheme="minorEastAsia" w:hAnsiTheme="minorHAnsi" w:cstheme="minorHAnsi"/>
          <w:noProof/>
          <w:sz w:val="22"/>
          <w:szCs w:val="22"/>
          <w:lang w:eastAsia="en-AU"/>
        </w:rPr>
      </w:pPr>
      <w:r w:rsidRPr="00F4698B">
        <w:rPr>
          <w:rFonts w:asciiTheme="minorHAnsi" w:hAnsiTheme="minorHAnsi" w:cstheme="minorHAnsi"/>
          <w:noProof/>
        </w:rPr>
        <w:t>Figure 1.7</w:t>
      </w:r>
      <w:r w:rsidRPr="004C66FF">
        <w:rPr>
          <w:rFonts w:asciiTheme="minorHAnsi" w:eastAsiaTheme="minorEastAsia" w:hAnsiTheme="minorHAnsi" w:cstheme="minorHAnsi"/>
          <w:noProof/>
          <w:sz w:val="22"/>
          <w:szCs w:val="22"/>
          <w:lang w:eastAsia="en-AU"/>
        </w:rPr>
        <w:tab/>
      </w:r>
      <w:r w:rsidRPr="00F4698B">
        <w:rPr>
          <w:rFonts w:asciiTheme="minorHAnsi" w:hAnsiTheme="minorHAnsi" w:cstheme="minorHAnsi"/>
          <w:noProof/>
        </w:rPr>
        <w:t>Diagnostic algorithm for Paediatric PAH</w:t>
      </w:r>
      <w:r w:rsidRPr="004C66FF">
        <w:rPr>
          <w:rFonts w:asciiTheme="minorHAnsi" w:hAnsiTheme="minorHAnsi" w:cstheme="minorHAnsi"/>
          <w:noProof/>
          <w:webHidden/>
        </w:rPr>
        <w:tab/>
      </w:r>
      <w:r w:rsidR="005E6812">
        <w:rPr>
          <w:rFonts w:asciiTheme="minorHAnsi" w:hAnsiTheme="minorHAnsi" w:cstheme="minorHAnsi"/>
          <w:noProof/>
          <w:webHidden/>
        </w:rPr>
        <w:t>120</w:t>
      </w:r>
    </w:p>
    <w:p w14:paraId="6C9AC9CC" w14:textId="77777777" w:rsidR="00E34E46" w:rsidRPr="007151BC" w:rsidRDefault="00E34E46" w:rsidP="003E052A">
      <w:pPr>
        <w:pStyle w:val="TableofFigures"/>
        <w:tabs>
          <w:tab w:val="right" w:leader="dot" w:pos="9628"/>
        </w:tabs>
        <w:rPr>
          <w:rFonts w:ascii="Calibri" w:hAnsi="Calibri"/>
        </w:rPr>
      </w:pPr>
    </w:p>
    <w:p w14:paraId="093C8F26" w14:textId="77777777" w:rsidR="007448CC" w:rsidRDefault="007448CC" w:rsidP="00121658">
      <w:pPr>
        <w:pStyle w:val="Heading1"/>
        <w:numPr>
          <w:ilvl w:val="0"/>
          <w:numId w:val="0"/>
        </w:numPr>
        <w:spacing w:before="0"/>
        <w:jc w:val="left"/>
      </w:pPr>
      <w:bookmarkStart w:id="6" w:name="_Toc480371853"/>
      <w:bookmarkStart w:id="7" w:name="_Toc486514186"/>
      <w:bookmarkStart w:id="8" w:name="_Toc38377474"/>
      <w:r>
        <w:lastRenderedPageBreak/>
        <w:t>Abbreviations</w:t>
      </w:r>
      <w:bookmarkEnd w:id="6"/>
      <w:bookmarkEnd w:id="7"/>
      <w:bookmarkEnd w:id="8"/>
    </w:p>
    <w:tbl>
      <w:tblPr>
        <w:tblW w:w="4946"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Caption w:val="Abbreviations"/>
      </w:tblPr>
      <w:tblGrid>
        <w:gridCol w:w="2183"/>
        <w:gridCol w:w="7341"/>
      </w:tblGrid>
      <w:tr w:rsidR="006C0DFB" w:rsidRPr="004C66FF" w14:paraId="46915DFE" w14:textId="77777777" w:rsidTr="006C0DFB">
        <w:trPr>
          <w:trHeight w:val="170"/>
        </w:trPr>
        <w:tc>
          <w:tcPr>
            <w:tcW w:w="1146" w:type="pct"/>
            <w:tcBorders>
              <w:bottom w:val="nil"/>
            </w:tcBorders>
            <w:shd w:val="clear" w:color="auto" w:fill="BFBFBF" w:themeFill="background1" w:themeFillShade="BF"/>
            <w:vAlign w:val="bottom"/>
          </w:tcPr>
          <w:p w14:paraId="734C57FA" w14:textId="77777777" w:rsidR="006C0DFB" w:rsidRPr="004C66FF" w:rsidRDefault="006C0DFB" w:rsidP="004C66FF">
            <w:pPr>
              <w:spacing w:beforeLines="20" w:before="48" w:afterLines="20" w:after="48"/>
              <w:rPr>
                <w:rFonts w:cs="Arial"/>
                <w:b/>
                <w:color w:val="000000"/>
              </w:rPr>
            </w:pPr>
            <w:r w:rsidRPr="004C66FF">
              <w:rPr>
                <w:rFonts w:cs="Arial"/>
                <w:b/>
                <w:color w:val="000000"/>
              </w:rPr>
              <w:t>Abbreviation</w:t>
            </w:r>
          </w:p>
        </w:tc>
        <w:tc>
          <w:tcPr>
            <w:tcW w:w="3854" w:type="pct"/>
            <w:tcBorders>
              <w:bottom w:val="nil"/>
            </w:tcBorders>
            <w:shd w:val="clear" w:color="auto" w:fill="BFBFBF" w:themeFill="background1" w:themeFillShade="BF"/>
            <w:vAlign w:val="bottom"/>
          </w:tcPr>
          <w:p w14:paraId="52D81458" w14:textId="77777777" w:rsidR="006C0DFB" w:rsidRPr="004C66FF" w:rsidRDefault="006C0DFB" w:rsidP="004C66FF">
            <w:pPr>
              <w:spacing w:beforeLines="20" w:before="48" w:afterLines="20" w:after="48"/>
              <w:rPr>
                <w:rFonts w:cs="Arial"/>
                <w:b/>
                <w:color w:val="000000"/>
              </w:rPr>
            </w:pPr>
            <w:r w:rsidRPr="004C66FF">
              <w:rPr>
                <w:rFonts w:cs="Arial"/>
                <w:b/>
                <w:color w:val="000000"/>
              </w:rPr>
              <w:t>Full Name / Wording</w:t>
            </w:r>
          </w:p>
        </w:tc>
      </w:tr>
      <w:tr w:rsidR="0003499D" w:rsidRPr="004C66FF" w14:paraId="59CE2470" w14:textId="77777777" w:rsidTr="006C0DFB">
        <w:trPr>
          <w:trHeight w:val="170"/>
        </w:trPr>
        <w:tc>
          <w:tcPr>
            <w:tcW w:w="1146" w:type="pct"/>
            <w:tcBorders>
              <w:top w:val="nil"/>
              <w:left w:val="nil"/>
              <w:bottom w:val="nil"/>
              <w:right w:val="nil"/>
            </w:tcBorders>
            <w:shd w:val="clear" w:color="auto" w:fill="auto"/>
            <w:vAlign w:val="bottom"/>
          </w:tcPr>
          <w:p w14:paraId="51CFB3F0" w14:textId="77777777" w:rsidR="0003499D" w:rsidRPr="004C66FF" w:rsidRDefault="0003499D" w:rsidP="004C66FF">
            <w:pPr>
              <w:spacing w:beforeLines="20" w:before="48" w:afterLines="20" w:after="48"/>
              <w:rPr>
                <w:rFonts w:cs="Arial"/>
                <w:color w:val="000000"/>
              </w:rPr>
            </w:pPr>
            <w:r w:rsidRPr="004C66FF">
              <w:rPr>
                <w:rFonts w:cs="Arial"/>
                <w:color w:val="000000"/>
              </w:rPr>
              <w:t>6MWT</w:t>
            </w:r>
          </w:p>
        </w:tc>
        <w:tc>
          <w:tcPr>
            <w:tcW w:w="3854" w:type="pct"/>
            <w:tcBorders>
              <w:top w:val="nil"/>
              <w:left w:val="nil"/>
              <w:bottom w:val="nil"/>
              <w:right w:val="nil"/>
            </w:tcBorders>
            <w:shd w:val="clear" w:color="auto" w:fill="auto"/>
            <w:vAlign w:val="bottom"/>
          </w:tcPr>
          <w:p w14:paraId="2836CFC9" w14:textId="77777777" w:rsidR="0003499D" w:rsidRPr="004C66FF" w:rsidRDefault="005077A8" w:rsidP="004C66FF">
            <w:pPr>
              <w:spacing w:beforeLines="20" w:before="48" w:afterLines="20" w:after="48"/>
              <w:rPr>
                <w:rFonts w:cs="Arial"/>
                <w:color w:val="000000"/>
              </w:rPr>
            </w:pPr>
            <w:r w:rsidRPr="004C66FF">
              <w:rPr>
                <w:rFonts w:cs="Arial"/>
                <w:color w:val="000000"/>
              </w:rPr>
              <w:t>6</w:t>
            </w:r>
            <w:r w:rsidR="00711867" w:rsidRPr="004C66FF">
              <w:rPr>
                <w:rFonts w:cs="Arial"/>
                <w:color w:val="000000"/>
              </w:rPr>
              <w:t xml:space="preserve"> minute w</w:t>
            </w:r>
            <w:r w:rsidR="0003499D" w:rsidRPr="004C66FF">
              <w:rPr>
                <w:rFonts w:cs="Arial"/>
                <w:color w:val="000000"/>
              </w:rPr>
              <w:t xml:space="preserve">alk </w:t>
            </w:r>
            <w:r w:rsidR="00711867" w:rsidRPr="004C66FF">
              <w:rPr>
                <w:rFonts w:cs="Arial"/>
                <w:color w:val="000000"/>
              </w:rPr>
              <w:t>t</w:t>
            </w:r>
            <w:r w:rsidR="0003499D" w:rsidRPr="004C66FF">
              <w:rPr>
                <w:rFonts w:cs="Arial"/>
                <w:color w:val="000000"/>
              </w:rPr>
              <w:t>est</w:t>
            </w:r>
          </w:p>
        </w:tc>
      </w:tr>
      <w:tr w:rsidR="0003499D" w:rsidRPr="004C66FF" w14:paraId="5948F2D2" w14:textId="77777777" w:rsidTr="006C0DFB">
        <w:trPr>
          <w:trHeight w:val="288"/>
        </w:trPr>
        <w:tc>
          <w:tcPr>
            <w:tcW w:w="1146" w:type="pct"/>
            <w:tcBorders>
              <w:top w:val="nil"/>
              <w:left w:val="nil"/>
              <w:bottom w:val="nil"/>
              <w:right w:val="nil"/>
            </w:tcBorders>
            <w:shd w:val="clear" w:color="auto" w:fill="auto"/>
            <w:vAlign w:val="bottom"/>
          </w:tcPr>
          <w:p w14:paraId="5458D565" w14:textId="77777777" w:rsidR="0003499D" w:rsidRPr="004C66FF" w:rsidRDefault="0003499D" w:rsidP="004C66FF">
            <w:pPr>
              <w:spacing w:beforeLines="20" w:before="48" w:afterLines="20" w:after="48"/>
              <w:rPr>
                <w:rFonts w:cs="Arial"/>
                <w:color w:val="000000"/>
              </w:rPr>
            </w:pPr>
            <w:r w:rsidRPr="004C66FF">
              <w:rPr>
                <w:rFonts w:cs="Arial"/>
                <w:color w:val="000000"/>
              </w:rPr>
              <w:t>6MWD</w:t>
            </w:r>
          </w:p>
        </w:tc>
        <w:tc>
          <w:tcPr>
            <w:tcW w:w="3854" w:type="pct"/>
            <w:tcBorders>
              <w:top w:val="nil"/>
              <w:left w:val="nil"/>
              <w:bottom w:val="nil"/>
              <w:right w:val="nil"/>
            </w:tcBorders>
            <w:shd w:val="clear" w:color="auto" w:fill="auto"/>
            <w:vAlign w:val="bottom"/>
          </w:tcPr>
          <w:p w14:paraId="6EFF756E" w14:textId="77777777" w:rsidR="0003499D" w:rsidRPr="004C66FF" w:rsidRDefault="00711867" w:rsidP="004C66FF">
            <w:pPr>
              <w:spacing w:beforeLines="20" w:before="48" w:afterLines="20" w:after="48"/>
              <w:rPr>
                <w:rFonts w:cs="Arial"/>
                <w:color w:val="000000"/>
              </w:rPr>
            </w:pPr>
            <w:r w:rsidRPr="004C66FF">
              <w:rPr>
                <w:rFonts w:cs="Arial"/>
                <w:color w:val="000000"/>
              </w:rPr>
              <w:t>Six minute w</w:t>
            </w:r>
            <w:r w:rsidR="0003499D" w:rsidRPr="004C66FF">
              <w:rPr>
                <w:rFonts w:cs="Arial"/>
                <w:color w:val="000000"/>
              </w:rPr>
              <w:t xml:space="preserve">alk </w:t>
            </w:r>
            <w:r w:rsidRPr="004C66FF">
              <w:rPr>
                <w:rFonts w:cs="Arial"/>
                <w:color w:val="000000"/>
              </w:rPr>
              <w:t>d</w:t>
            </w:r>
            <w:r w:rsidR="0003499D" w:rsidRPr="004C66FF">
              <w:rPr>
                <w:rFonts w:cs="Arial"/>
                <w:color w:val="000000"/>
              </w:rPr>
              <w:t>istance</w:t>
            </w:r>
          </w:p>
        </w:tc>
      </w:tr>
      <w:tr w:rsidR="0003499D" w:rsidRPr="004C66FF" w14:paraId="63242B54" w14:textId="77777777" w:rsidTr="006C0DFB">
        <w:trPr>
          <w:trHeight w:val="170"/>
        </w:trPr>
        <w:tc>
          <w:tcPr>
            <w:tcW w:w="1146" w:type="pct"/>
            <w:tcBorders>
              <w:top w:val="nil"/>
              <w:left w:val="nil"/>
              <w:bottom w:val="nil"/>
              <w:right w:val="nil"/>
            </w:tcBorders>
            <w:shd w:val="clear" w:color="auto" w:fill="auto"/>
            <w:vAlign w:val="bottom"/>
          </w:tcPr>
          <w:p w14:paraId="5E9857DA" w14:textId="77777777" w:rsidR="0003499D" w:rsidRPr="004C66FF" w:rsidRDefault="0003499D" w:rsidP="004C66FF">
            <w:pPr>
              <w:spacing w:beforeLines="20" w:before="48" w:afterLines="20" w:after="48"/>
              <w:rPr>
                <w:rFonts w:cs="Arial"/>
                <w:color w:val="000000"/>
              </w:rPr>
            </w:pPr>
            <w:r w:rsidRPr="004C66FF">
              <w:rPr>
                <w:rFonts w:cs="Arial"/>
                <w:color w:val="000000"/>
              </w:rPr>
              <w:t>ACC</w:t>
            </w:r>
          </w:p>
        </w:tc>
        <w:tc>
          <w:tcPr>
            <w:tcW w:w="3854" w:type="pct"/>
            <w:tcBorders>
              <w:top w:val="nil"/>
              <w:left w:val="nil"/>
              <w:bottom w:val="nil"/>
              <w:right w:val="nil"/>
            </w:tcBorders>
            <w:shd w:val="clear" w:color="auto" w:fill="auto"/>
            <w:vAlign w:val="bottom"/>
          </w:tcPr>
          <w:p w14:paraId="156F1FD0" w14:textId="77777777" w:rsidR="0003499D" w:rsidRPr="004C66FF" w:rsidRDefault="0003499D" w:rsidP="004C66FF">
            <w:pPr>
              <w:spacing w:beforeLines="20" w:before="48" w:afterLines="20" w:after="48"/>
              <w:rPr>
                <w:rFonts w:cs="Arial"/>
                <w:color w:val="000000"/>
              </w:rPr>
            </w:pPr>
            <w:r w:rsidRPr="004C66FF">
              <w:rPr>
                <w:rFonts w:cs="Arial"/>
                <w:color w:val="000000"/>
              </w:rPr>
              <w:t xml:space="preserve">American College of Cardiology </w:t>
            </w:r>
          </w:p>
        </w:tc>
      </w:tr>
      <w:tr w:rsidR="00542508" w:rsidRPr="004C66FF" w14:paraId="1FAE8F04" w14:textId="77777777" w:rsidTr="006C0DFB">
        <w:trPr>
          <w:trHeight w:val="170"/>
        </w:trPr>
        <w:tc>
          <w:tcPr>
            <w:tcW w:w="1146" w:type="pct"/>
            <w:tcBorders>
              <w:top w:val="nil"/>
              <w:left w:val="nil"/>
              <w:bottom w:val="nil"/>
              <w:right w:val="nil"/>
            </w:tcBorders>
            <w:shd w:val="clear" w:color="auto" w:fill="auto"/>
            <w:vAlign w:val="bottom"/>
          </w:tcPr>
          <w:p w14:paraId="7D9F1B44" w14:textId="77777777" w:rsidR="00542508" w:rsidRPr="004C66FF" w:rsidRDefault="00542508" w:rsidP="004C66FF">
            <w:pPr>
              <w:spacing w:beforeLines="20" w:before="48" w:afterLines="20" w:after="48"/>
              <w:rPr>
                <w:rFonts w:cs="Arial"/>
                <w:color w:val="000000"/>
              </w:rPr>
            </w:pPr>
            <w:r w:rsidRPr="004C66FF">
              <w:rPr>
                <w:rFonts w:cs="Arial"/>
                <w:color w:val="000000"/>
              </w:rPr>
              <w:t>ARTG</w:t>
            </w:r>
          </w:p>
        </w:tc>
        <w:tc>
          <w:tcPr>
            <w:tcW w:w="3854" w:type="pct"/>
            <w:tcBorders>
              <w:top w:val="nil"/>
              <w:left w:val="nil"/>
              <w:bottom w:val="nil"/>
              <w:right w:val="nil"/>
            </w:tcBorders>
            <w:shd w:val="clear" w:color="auto" w:fill="auto"/>
            <w:vAlign w:val="bottom"/>
          </w:tcPr>
          <w:p w14:paraId="5BE5F32B" w14:textId="77777777" w:rsidR="00542508" w:rsidRPr="004C66FF" w:rsidRDefault="00542508" w:rsidP="004C66FF">
            <w:pPr>
              <w:spacing w:beforeLines="20" w:before="48" w:afterLines="20" w:after="48"/>
              <w:rPr>
                <w:rFonts w:cs="Arial"/>
                <w:color w:val="000000"/>
              </w:rPr>
            </w:pPr>
            <w:r w:rsidRPr="004C66FF">
              <w:rPr>
                <w:rFonts w:cs="Arial"/>
                <w:color w:val="000000"/>
              </w:rPr>
              <w:t>Australian Register of Therapeutic Goods</w:t>
            </w:r>
          </w:p>
        </w:tc>
      </w:tr>
      <w:tr w:rsidR="0003499D" w:rsidRPr="004C66FF" w14:paraId="7E8DDE93" w14:textId="77777777" w:rsidTr="006C0DFB">
        <w:trPr>
          <w:trHeight w:val="170"/>
        </w:trPr>
        <w:tc>
          <w:tcPr>
            <w:tcW w:w="1146" w:type="pct"/>
            <w:tcBorders>
              <w:top w:val="nil"/>
              <w:left w:val="nil"/>
              <w:bottom w:val="nil"/>
              <w:right w:val="nil"/>
            </w:tcBorders>
            <w:shd w:val="clear" w:color="auto" w:fill="auto"/>
            <w:vAlign w:val="bottom"/>
          </w:tcPr>
          <w:p w14:paraId="06B1507E" w14:textId="77777777" w:rsidR="0003499D" w:rsidRPr="004C66FF" w:rsidRDefault="0003499D" w:rsidP="004C66FF">
            <w:pPr>
              <w:spacing w:beforeLines="20" w:before="48" w:afterLines="20" w:after="48"/>
              <w:rPr>
                <w:rFonts w:cs="Arial"/>
                <w:color w:val="000000"/>
              </w:rPr>
            </w:pPr>
            <w:r w:rsidRPr="004C66FF">
              <w:rPr>
                <w:rFonts w:cs="Arial"/>
                <w:color w:val="000000"/>
              </w:rPr>
              <w:t>ATC</w:t>
            </w:r>
          </w:p>
        </w:tc>
        <w:tc>
          <w:tcPr>
            <w:tcW w:w="3854" w:type="pct"/>
            <w:tcBorders>
              <w:top w:val="nil"/>
              <w:left w:val="nil"/>
              <w:bottom w:val="nil"/>
              <w:right w:val="nil"/>
            </w:tcBorders>
            <w:shd w:val="clear" w:color="auto" w:fill="auto"/>
            <w:vAlign w:val="bottom"/>
          </w:tcPr>
          <w:p w14:paraId="5B69A28D" w14:textId="77777777" w:rsidR="0003499D" w:rsidRPr="004C66FF" w:rsidRDefault="0003499D" w:rsidP="004C66FF">
            <w:pPr>
              <w:spacing w:beforeLines="20" w:before="48" w:afterLines="20" w:after="48"/>
              <w:rPr>
                <w:rFonts w:cs="Arial"/>
                <w:color w:val="000000"/>
              </w:rPr>
            </w:pPr>
            <w:r w:rsidRPr="004C66FF">
              <w:rPr>
                <w:rFonts w:cs="Arial"/>
                <w:color w:val="000000"/>
              </w:rPr>
              <w:t>Anatomical Therapeutic Chemical (code)</w:t>
            </w:r>
          </w:p>
        </w:tc>
      </w:tr>
      <w:tr w:rsidR="0003499D" w:rsidRPr="004C66FF" w14:paraId="1C758E8A" w14:textId="77777777" w:rsidTr="006C0DFB">
        <w:trPr>
          <w:trHeight w:val="170"/>
        </w:trPr>
        <w:tc>
          <w:tcPr>
            <w:tcW w:w="1146" w:type="pct"/>
            <w:tcBorders>
              <w:top w:val="nil"/>
              <w:left w:val="nil"/>
              <w:bottom w:val="nil"/>
              <w:right w:val="nil"/>
            </w:tcBorders>
            <w:shd w:val="clear" w:color="auto" w:fill="auto"/>
            <w:vAlign w:val="bottom"/>
          </w:tcPr>
          <w:p w14:paraId="23A0A810" w14:textId="77777777" w:rsidR="0003499D" w:rsidRPr="004C66FF" w:rsidRDefault="0003499D" w:rsidP="004C66FF">
            <w:pPr>
              <w:spacing w:beforeLines="20" w:before="48" w:afterLines="20" w:after="48"/>
              <w:rPr>
                <w:rFonts w:cs="Arial"/>
                <w:color w:val="000000"/>
              </w:rPr>
            </w:pPr>
            <w:proofErr w:type="spellStart"/>
            <w:r w:rsidRPr="004C66FF">
              <w:rPr>
                <w:rFonts w:cs="Arial"/>
                <w:color w:val="000000"/>
              </w:rPr>
              <w:t>AusPAR</w:t>
            </w:r>
            <w:proofErr w:type="spellEnd"/>
          </w:p>
        </w:tc>
        <w:tc>
          <w:tcPr>
            <w:tcW w:w="3854" w:type="pct"/>
            <w:tcBorders>
              <w:top w:val="nil"/>
              <w:left w:val="nil"/>
              <w:bottom w:val="nil"/>
              <w:right w:val="nil"/>
            </w:tcBorders>
            <w:shd w:val="clear" w:color="auto" w:fill="auto"/>
            <w:vAlign w:val="bottom"/>
          </w:tcPr>
          <w:p w14:paraId="655C2EA0" w14:textId="77777777" w:rsidR="0003499D" w:rsidRPr="004C66FF" w:rsidRDefault="0027496F" w:rsidP="004C66FF">
            <w:pPr>
              <w:spacing w:beforeLines="20" w:before="48" w:afterLines="20" w:after="48"/>
              <w:rPr>
                <w:rFonts w:cs="Arial"/>
                <w:color w:val="000000"/>
              </w:rPr>
            </w:pPr>
            <w:r w:rsidRPr="004C66FF">
              <w:rPr>
                <w:rFonts w:cs="Arial"/>
                <w:color w:val="000000"/>
              </w:rPr>
              <w:t>Australian public assessment r</w:t>
            </w:r>
            <w:r w:rsidR="0003499D" w:rsidRPr="004C66FF">
              <w:rPr>
                <w:rFonts w:cs="Arial"/>
                <w:color w:val="000000"/>
              </w:rPr>
              <w:t>eport</w:t>
            </w:r>
          </w:p>
        </w:tc>
      </w:tr>
      <w:tr w:rsidR="0003499D" w:rsidRPr="004C66FF" w14:paraId="4C0601CB" w14:textId="77777777" w:rsidTr="006C0DFB">
        <w:trPr>
          <w:trHeight w:val="170"/>
        </w:trPr>
        <w:tc>
          <w:tcPr>
            <w:tcW w:w="1146" w:type="pct"/>
            <w:tcBorders>
              <w:top w:val="nil"/>
              <w:left w:val="nil"/>
              <w:bottom w:val="nil"/>
              <w:right w:val="nil"/>
            </w:tcBorders>
            <w:shd w:val="clear" w:color="auto" w:fill="auto"/>
            <w:vAlign w:val="bottom"/>
          </w:tcPr>
          <w:p w14:paraId="64E9F283" w14:textId="77777777" w:rsidR="0003499D" w:rsidRPr="004C66FF" w:rsidRDefault="0003499D" w:rsidP="004C66FF">
            <w:pPr>
              <w:spacing w:beforeLines="20" w:before="48" w:afterLines="20" w:after="48"/>
              <w:rPr>
                <w:rFonts w:cs="Arial"/>
                <w:color w:val="000000"/>
              </w:rPr>
            </w:pPr>
            <w:r w:rsidRPr="004C66FF">
              <w:rPr>
                <w:rFonts w:cs="Arial"/>
                <w:color w:val="000000"/>
              </w:rPr>
              <w:t>BNP</w:t>
            </w:r>
          </w:p>
        </w:tc>
        <w:tc>
          <w:tcPr>
            <w:tcW w:w="3854" w:type="pct"/>
            <w:tcBorders>
              <w:top w:val="nil"/>
              <w:left w:val="nil"/>
              <w:bottom w:val="nil"/>
              <w:right w:val="nil"/>
            </w:tcBorders>
            <w:shd w:val="clear" w:color="auto" w:fill="auto"/>
            <w:vAlign w:val="bottom"/>
          </w:tcPr>
          <w:p w14:paraId="7E097622" w14:textId="77777777" w:rsidR="0003499D" w:rsidRPr="004C66FF" w:rsidRDefault="00711867" w:rsidP="004C66FF">
            <w:pPr>
              <w:spacing w:beforeLines="20" w:before="48" w:afterLines="20" w:after="48"/>
              <w:rPr>
                <w:rFonts w:cs="Arial"/>
                <w:color w:val="000000"/>
              </w:rPr>
            </w:pPr>
            <w:r w:rsidRPr="004C66FF">
              <w:rPr>
                <w:rFonts w:cs="Arial"/>
                <w:color w:val="000000"/>
              </w:rPr>
              <w:t>B-type natriuretic p</w:t>
            </w:r>
            <w:r w:rsidR="0003499D" w:rsidRPr="004C66FF">
              <w:rPr>
                <w:rFonts w:cs="Arial"/>
                <w:color w:val="000000"/>
              </w:rPr>
              <w:t>eptide</w:t>
            </w:r>
          </w:p>
        </w:tc>
      </w:tr>
      <w:tr w:rsidR="0003499D" w:rsidRPr="004C66FF" w14:paraId="36F164AE" w14:textId="77777777" w:rsidTr="006C0DFB">
        <w:trPr>
          <w:trHeight w:val="170"/>
        </w:trPr>
        <w:tc>
          <w:tcPr>
            <w:tcW w:w="1146" w:type="pct"/>
            <w:tcBorders>
              <w:top w:val="nil"/>
              <w:left w:val="nil"/>
              <w:bottom w:val="nil"/>
              <w:right w:val="nil"/>
            </w:tcBorders>
            <w:shd w:val="clear" w:color="auto" w:fill="auto"/>
            <w:vAlign w:val="bottom"/>
          </w:tcPr>
          <w:p w14:paraId="1D7FA3F0" w14:textId="77777777" w:rsidR="0003499D" w:rsidRPr="004C66FF" w:rsidRDefault="0003499D" w:rsidP="004C66FF">
            <w:pPr>
              <w:spacing w:beforeLines="20" w:before="48" w:afterLines="20" w:after="48"/>
              <w:rPr>
                <w:rFonts w:cs="Arial"/>
                <w:color w:val="000000"/>
              </w:rPr>
            </w:pPr>
            <w:r w:rsidRPr="004C66FF">
              <w:rPr>
                <w:rFonts w:cs="Arial"/>
                <w:color w:val="000000"/>
              </w:rPr>
              <w:t>CADTH</w:t>
            </w:r>
          </w:p>
        </w:tc>
        <w:tc>
          <w:tcPr>
            <w:tcW w:w="3854" w:type="pct"/>
            <w:tcBorders>
              <w:top w:val="nil"/>
              <w:left w:val="nil"/>
              <w:bottom w:val="nil"/>
              <w:right w:val="nil"/>
            </w:tcBorders>
            <w:shd w:val="clear" w:color="auto" w:fill="auto"/>
            <w:vAlign w:val="bottom"/>
          </w:tcPr>
          <w:p w14:paraId="44C0E3D6" w14:textId="77777777" w:rsidR="0003499D" w:rsidRPr="004C66FF" w:rsidRDefault="0003499D" w:rsidP="004C66FF">
            <w:pPr>
              <w:spacing w:beforeLines="20" w:before="48" w:afterLines="20" w:after="48"/>
              <w:rPr>
                <w:rFonts w:cs="Arial"/>
                <w:color w:val="000000"/>
              </w:rPr>
            </w:pPr>
            <w:r w:rsidRPr="004C66FF">
              <w:rPr>
                <w:rFonts w:cs="Arial"/>
                <w:color w:val="000000"/>
              </w:rPr>
              <w:t>Canadian Agency for Drugs and Technologies in Health</w:t>
            </w:r>
          </w:p>
        </w:tc>
      </w:tr>
      <w:tr w:rsidR="0003499D" w:rsidRPr="004C66FF" w14:paraId="17105631" w14:textId="77777777" w:rsidTr="006C0DFB">
        <w:trPr>
          <w:trHeight w:val="170"/>
        </w:trPr>
        <w:tc>
          <w:tcPr>
            <w:tcW w:w="1146" w:type="pct"/>
            <w:tcBorders>
              <w:top w:val="nil"/>
              <w:left w:val="nil"/>
              <w:bottom w:val="nil"/>
              <w:right w:val="nil"/>
            </w:tcBorders>
            <w:shd w:val="clear" w:color="auto" w:fill="auto"/>
            <w:vAlign w:val="bottom"/>
          </w:tcPr>
          <w:p w14:paraId="65B03C2D" w14:textId="77777777" w:rsidR="0003499D" w:rsidRPr="004C66FF" w:rsidRDefault="0003499D" w:rsidP="004C66FF">
            <w:pPr>
              <w:spacing w:beforeLines="20" w:before="48" w:afterLines="20" w:after="48"/>
              <w:rPr>
                <w:rFonts w:cs="Arial"/>
                <w:color w:val="000000"/>
              </w:rPr>
            </w:pPr>
            <w:r w:rsidRPr="004C66FF">
              <w:rPr>
                <w:rFonts w:cs="Arial"/>
                <w:color w:val="000000"/>
              </w:rPr>
              <w:t>CATAG</w:t>
            </w:r>
          </w:p>
        </w:tc>
        <w:tc>
          <w:tcPr>
            <w:tcW w:w="3854" w:type="pct"/>
            <w:tcBorders>
              <w:top w:val="nil"/>
              <w:left w:val="nil"/>
              <w:bottom w:val="nil"/>
              <w:right w:val="nil"/>
            </w:tcBorders>
            <w:shd w:val="clear" w:color="auto" w:fill="auto"/>
            <w:vAlign w:val="bottom"/>
          </w:tcPr>
          <w:p w14:paraId="350189CD" w14:textId="77777777" w:rsidR="0003499D" w:rsidRPr="004C66FF" w:rsidRDefault="0003499D" w:rsidP="004C66FF">
            <w:pPr>
              <w:spacing w:beforeLines="20" w:before="48" w:afterLines="20" w:after="48"/>
              <w:rPr>
                <w:rFonts w:cs="Arial"/>
                <w:color w:val="000000"/>
              </w:rPr>
            </w:pPr>
            <w:r w:rsidRPr="004C66FF">
              <w:rPr>
                <w:rFonts w:cs="Arial"/>
                <w:color w:val="000000"/>
              </w:rPr>
              <w:t>Council of Australian Therapeutics Advisory Groups</w:t>
            </w:r>
          </w:p>
        </w:tc>
      </w:tr>
      <w:tr w:rsidR="0003499D" w:rsidRPr="004C66FF" w14:paraId="132CBD20" w14:textId="77777777" w:rsidTr="006C0DFB">
        <w:trPr>
          <w:trHeight w:val="170"/>
        </w:trPr>
        <w:tc>
          <w:tcPr>
            <w:tcW w:w="1146" w:type="pct"/>
            <w:tcBorders>
              <w:top w:val="nil"/>
              <w:left w:val="nil"/>
              <w:bottom w:val="nil"/>
              <w:right w:val="nil"/>
            </w:tcBorders>
            <w:shd w:val="clear" w:color="auto" w:fill="auto"/>
            <w:vAlign w:val="bottom"/>
          </w:tcPr>
          <w:p w14:paraId="68C74BAC" w14:textId="77777777" w:rsidR="0003499D" w:rsidRPr="004C66FF" w:rsidRDefault="0003499D" w:rsidP="004C66FF">
            <w:pPr>
              <w:spacing w:beforeLines="20" w:before="48" w:afterLines="20" w:after="48"/>
              <w:rPr>
                <w:rFonts w:cs="Arial"/>
                <w:color w:val="000000"/>
              </w:rPr>
            </w:pPr>
            <w:r w:rsidRPr="004C66FF">
              <w:rPr>
                <w:rFonts w:cs="Arial"/>
                <w:color w:val="000000"/>
              </w:rPr>
              <w:t>CCB</w:t>
            </w:r>
          </w:p>
        </w:tc>
        <w:tc>
          <w:tcPr>
            <w:tcW w:w="3854" w:type="pct"/>
            <w:tcBorders>
              <w:top w:val="nil"/>
              <w:left w:val="nil"/>
              <w:bottom w:val="nil"/>
              <w:right w:val="nil"/>
            </w:tcBorders>
            <w:shd w:val="clear" w:color="auto" w:fill="auto"/>
            <w:vAlign w:val="bottom"/>
          </w:tcPr>
          <w:p w14:paraId="40AEF654" w14:textId="77777777" w:rsidR="0003499D" w:rsidRPr="004C66FF" w:rsidRDefault="00711867" w:rsidP="004C66FF">
            <w:pPr>
              <w:spacing w:beforeLines="20" w:before="48" w:afterLines="20" w:after="48"/>
              <w:rPr>
                <w:rFonts w:cs="Arial"/>
                <w:color w:val="000000"/>
              </w:rPr>
            </w:pPr>
            <w:r w:rsidRPr="004C66FF">
              <w:rPr>
                <w:rFonts w:cs="Arial"/>
                <w:color w:val="000000"/>
              </w:rPr>
              <w:t>Calcium channel b</w:t>
            </w:r>
            <w:r w:rsidR="0003499D" w:rsidRPr="004C66FF">
              <w:rPr>
                <w:rFonts w:cs="Arial"/>
                <w:color w:val="000000"/>
              </w:rPr>
              <w:t>locker</w:t>
            </w:r>
          </w:p>
        </w:tc>
      </w:tr>
      <w:tr w:rsidR="00AF191D" w:rsidRPr="004C66FF" w14:paraId="19B54CBE" w14:textId="77777777" w:rsidTr="006C0DFB">
        <w:trPr>
          <w:trHeight w:val="170"/>
        </w:trPr>
        <w:tc>
          <w:tcPr>
            <w:tcW w:w="1146" w:type="pct"/>
            <w:tcBorders>
              <w:top w:val="nil"/>
              <w:left w:val="nil"/>
              <w:bottom w:val="nil"/>
              <w:right w:val="nil"/>
            </w:tcBorders>
            <w:shd w:val="clear" w:color="auto" w:fill="auto"/>
            <w:vAlign w:val="bottom"/>
          </w:tcPr>
          <w:p w14:paraId="3660287A" w14:textId="77777777" w:rsidR="00AF191D" w:rsidRPr="004C66FF" w:rsidRDefault="00AF191D" w:rsidP="004C66FF">
            <w:pPr>
              <w:spacing w:beforeLines="20" w:before="48" w:afterLines="20" w:after="48"/>
              <w:rPr>
                <w:rFonts w:cs="Arial"/>
                <w:color w:val="000000"/>
              </w:rPr>
            </w:pPr>
            <w:r w:rsidRPr="004C66FF">
              <w:rPr>
                <w:rFonts w:cs="Arial"/>
                <w:color w:val="000000"/>
              </w:rPr>
              <w:t>CI</w:t>
            </w:r>
          </w:p>
        </w:tc>
        <w:tc>
          <w:tcPr>
            <w:tcW w:w="3854" w:type="pct"/>
            <w:tcBorders>
              <w:top w:val="nil"/>
              <w:left w:val="nil"/>
              <w:bottom w:val="nil"/>
              <w:right w:val="nil"/>
            </w:tcBorders>
            <w:shd w:val="clear" w:color="auto" w:fill="auto"/>
            <w:vAlign w:val="bottom"/>
          </w:tcPr>
          <w:p w14:paraId="21FD9E79" w14:textId="77777777" w:rsidR="00AF191D" w:rsidRPr="004C66FF" w:rsidRDefault="00AF191D" w:rsidP="004C66FF">
            <w:pPr>
              <w:spacing w:beforeLines="20" w:before="48" w:afterLines="20" w:after="48"/>
              <w:rPr>
                <w:rFonts w:cs="Arial"/>
                <w:color w:val="000000"/>
              </w:rPr>
            </w:pPr>
            <w:r w:rsidRPr="004C66FF">
              <w:rPr>
                <w:rFonts w:cs="Arial"/>
                <w:color w:val="000000"/>
              </w:rPr>
              <w:t>C</w:t>
            </w:r>
            <w:r w:rsidR="00711867" w:rsidRPr="004C66FF">
              <w:rPr>
                <w:rFonts w:cs="Arial"/>
                <w:color w:val="000000"/>
              </w:rPr>
              <w:t>ardiac i</w:t>
            </w:r>
            <w:r w:rsidRPr="004C66FF">
              <w:rPr>
                <w:rFonts w:cs="Arial"/>
                <w:color w:val="000000"/>
              </w:rPr>
              <w:t>ndex</w:t>
            </w:r>
          </w:p>
        </w:tc>
      </w:tr>
      <w:tr w:rsidR="00AF191D" w:rsidRPr="004C66FF" w14:paraId="177F7B9C" w14:textId="77777777" w:rsidTr="006C0DFB">
        <w:trPr>
          <w:trHeight w:val="170"/>
        </w:trPr>
        <w:tc>
          <w:tcPr>
            <w:tcW w:w="1146" w:type="pct"/>
            <w:tcBorders>
              <w:top w:val="nil"/>
              <w:left w:val="nil"/>
              <w:bottom w:val="nil"/>
              <w:right w:val="nil"/>
            </w:tcBorders>
            <w:shd w:val="clear" w:color="auto" w:fill="auto"/>
            <w:vAlign w:val="bottom"/>
          </w:tcPr>
          <w:p w14:paraId="5B4DE51F" w14:textId="77777777" w:rsidR="00AF191D" w:rsidRPr="004C66FF" w:rsidRDefault="00AF191D" w:rsidP="004C66FF">
            <w:pPr>
              <w:spacing w:beforeLines="20" w:before="48" w:afterLines="20" w:after="48"/>
              <w:rPr>
                <w:rFonts w:cs="Arial"/>
                <w:color w:val="000000"/>
              </w:rPr>
            </w:pPr>
            <w:r w:rsidRPr="004C66FF">
              <w:rPr>
                <w:rFonts w:cs="Arial"/>
                <w:color w:val="000000"/>
              </w:rPr>
              <w:t>CO</w:t>
            </w:r>
          </w:p>
        </w:tc>
        <w:tc>
          <w:tcPr>
            <w:tcW w:w="3854" w:type="pct"/>
            <w:tcBorders>
              <w:top w:val="nil"/>
              <w:left w:val="nil"/>
              <w:bottom w:val="nil"/>
              <w:right w:val="nil"/>
            </w:tcBorders>
            <w:shd w:val="clear" w:color="auto" w:fill="auto"/>
            <w:vAlign w:val="bottom"/>
          </w:tcPr>
          <w:p w14:paraId="565BB6C5" w14:textId="77777777" w:rsidR="00AF191D" w:rsidRPr="004C66FF" w:rsidRDefault="00711867" w:rsidP="004C66FF">
            <w:pPr>
              <w:spacing w:beforeLines="20" w:before="48" w:afterLines="20" w:after="48"/>
              <w:rPr>
                <w:rFonts w:cs="Arial"/>
                <w:color w:val="000000"/>
              </w:rPr>
            </w:pPr>
            <w:r w:rsidRPr="004C66FF">
              <w:rPr>
                <w:rFonts w:cs="Arial"/>
                <w:color w:val="000000"/>
              </w:rPr>
              <w:t>Cardiac o</w:t>
            </w:r>
            <w:r w:rsidR="00AF191D" w:rsidRPr="004C66FF">
              <w:rPr>
                <w:rFonts w:cs="Arial"/>
                <w:color w:val="000000"/>
              </w:rPr>
              <w:t>utput</w:t>
            </w:r>
          </w:p>
        </w:tc>
      </w:tr>
      <w:tr w:rsidR="00AF191D" w:rsidRPr="004C66FF" w14:paraId="533469C4" w14:textId="77777777" w:rsidTr="006C0DFB">
        <w:trPr>
          <w:trHeight w:val="170"/>
        </w:trPr>
        <w:tc>
          <w:tcPr>
            <w:tcW w:w="1146" w:type="pct"/>
            <w:tcBorders>
              <w:top w:val="nil"/>
              <w:left w:val="nil"/>
              <w:bottom w:val="nil"/>
              <w:right w:val="nil"/>
            </w:tcBorders>
            <w:shd w:val="clear" w:color="auto" w:fill="auto"/>
            <w:vAlign w:val="bottom"/>
          </w:tcPr>
          <w:p w14:paraId="10B5D38F" w14:textId="77777777" w:rsidR="00AF191D" w:rsidRPr="004C66FF" w:rsidRDefault="00AF191D" w:rsidP="004C66FF">
            <w:pPr>
              <w:spacing w:beforeLines="20" w:before="48" w:afterLines="20" w:after="48"/>
              <w:rPr>
                <w:rFonts w:cs="Arial"/>
                <w:color w:val="000000"/>
              </w:rPr>
            </w:pPr>
            <w:r w:rsidRPr="004C66FF">
              <w:rPr>
                <w:rFonts w:cs="Arial"/>
                <w:color w:val="000000"/>
              </w:rPr>
              <w:t>CPET</w:t>
            </w:r>
          </w:p>
        </w:tc>
        <w:tc>
          <w:tcPr>
            <w:tcW w:w="3854" w:type="pct"/>
            <w:tcBorders>
              <w:top w:val="nil"/>
              <w:left w:val="nil"/>
              <w:bottom w:val="nil"/>
              <w:right w:val="nil"/>
            </w:tcBorders>
            <w:shd w:val="clear" w:color="auto" w:fill="auto"/>
            <w:vAlign w:val="bottom"/>
          </w:tcPr>
          <w:p w14:paraId="2A81DE28" w14:textId="77777777" w:rsidR="00AF191D" w:rsidRPr="004C66FF" w:rsidRDefault="00711867" w:rsidP="004C66FF">
            <w:pPr>
              <w:spacing w:beforeLines="20" w:before="48" w:afterLines="20" w:after="48"/>
              <w:rPr>
                <w:rFonts w:cs="Arial"/>
                <w:color w:val="000000"/>
              </w:rPr>
            </w:pPr>
            <w:r w:rsidRPr="004C66FF">
              <w:rPr>
                <w:rFonts w:cs="Arial"/>
                <w:color w:val="000000"/>
              </w:rPr>
              <w:t>Cardiopulmonary exercise t</w:t>
            </w:r>
            <w:r w:rsidR="00AF191D" w:rsidRPr="004C66FF">
              <w:rPr>
                <w:rFonts w:cs="Arial"/>
                <w:color w:val="000000"/>
              </w:rPr>
              <w:t>esting</w:t>
            </w:r>
          </w:p>
        </w:tc>
      </w:tr>
      <w:tr w:rsidR="00AF191D" w:rsidRPr="004C66FF" w14:paraId="0A40C3B3" w14:textId="77777777" w:rsidTr="006C0DFB">
        <w:trPr>
          <w:trHeight w:val="170"/>
        </w:trPr>
        <w:tc>
          <w:tcPr>
            <w:tcW w:w="1146" w:type="pct"/>
            <w:tcBorders>
              <w:top w:val="nil"/>
              <w:left w:val="nil"/>
              <w:bottom w:val="nil"/>
              <w:right w:val="nil"/>
            </w:tcBorders>
            <w:shd w:val="clear" w:color="auto" w:fill="auto"/>
            <w:vAlign w:val="bottom"/>
          </w:tcPr>
          <w:p w14:paraId="1CCA57C0" w14:textId="77777777" w:rsidR="00AF191D" w:rsidRPr="004C66FF" w:rsidRDefault="00AF191D" w:rsidP="004C66FF">
            <w:pPr>
              <w:spacing w:beforeLines="20" w:before="48" w:afterLines="20" w:after="48"/>
              <w:rPr>
                <w:rFonts w:cs="Arial"/>
                <w:color w:val="000000"/>
              </w:rPr>
            </w:pPr>
            <w:r w:rsidRPr="004C66FF">
              <w:rPr>
                <w:rFonts w:cs="Arial"/>
                <w:color w:val="000000"/>
              </w:rPr>
              <w:t>CTEPH</w:t>
            </w:r>
          </w:p>
        </w:tc>
        <w:tc>
          <w:tcPr>
            <w:tcW w:w="3854" w:type="pct"/>
            <w:tcBorders>
              <w:top w:val="nil"/>
              <w:left w:val="nil"/>
              <w:bottom w:val="nil"/>
              <w:right w:val="nil"/>
            </w:tcBorders>
            <w:shd w:val="clear" w:color="auto" w:fill="auto"/>
            <w:vAlign w:val="bottom"/>
          </w:tcPr>
          <w:p w14:paraId="19952889" w14:textId="77777777" w:rsidR="00AF191D" w:rsidRPr="004C66FF" w:rsidRDefault="00AF191D" w:rsidP="004C66FF">
            <w:pPr>
              <w:spacing w:beforeLines="20" w:before="48" w:afterLines="20" w:after="48"/>
              <w:rPr>
                <w:rFonts w:cs="Arial"/>
                <w:color w:val="000000"/>
              </w:rPr>
            </w:pPr>
            <w:r w:rsidRPr="004C66FF">
              <w:rPr>
                <w:rFonts w:cs="Arial"/>
                <w:color w:val="000000"/>
              </w:rPr>
              <w:t>Chronic thromboembolic pulmonary hypertension</w:t>
            </w:r>
          </w:p>
        </w:tc>
      </w:tr>
      <w:tr w:rsidR="00AF191D" w:rsidRPr="004C66FF" w14:paraId="16B12520" w14:textId="77777777" w:rsidTr="006C0DFB">
        <w:trPr>
          <w:trHeight w:val="170"/>
        </w:trPr>
        <w:tc>
          <w:tcPr>
            <w:tcW w:w="1146" w:type="pct"/>
            <w:tcBorders>
              <w:top w:val="nil"/>
              <w:left w:val="nil"/>
              <w:bottom w:val="nil"/>
              <w:right w:val="nil"/>
            </w:tcBorders>
            <w:shd w:val="clear" w:color="auto" w:fill="auto"/>
            <w:vAlign w:val="bottom"/>
          </w:tcPr>
          <w:p w14:paraId="71A058C8" w14:textId="77777777" w:rsidR="00AF191D" w:rsidRPr="004C66FF" w:rsidRDefault="00AF191D" w:rsidP="004C66FF">
            <w:pPr>
              <w:spacing w:beforeLines="20" w:before="48" w:afterLines="20" w:after="48"/>
              <w:rPr>
                <w:rFonts w:cs="Arial"/>
                <w:color w:val="000000"/>
              </w:rPr>
            </w:pPr>
            <w:r w:rsidRPr="004C66FF">
              <w:rPr>
                <w:rFonts w:cs="Arial"/>
                <w:color w:val="000000"/>
              </w:rPr>
              <w:t>DPMQ</w:t>
            </w:r>
          </w:p>
        </w:tc>
        <w:tc>
          <w:tcPr>
            <w:tcW w:w="3854" w:type="pct"/>
            <w:tcBorders>
              <w:top w:val="nil"/>
              <w:left w:val="nil"/>
              <w:bottom w:val="nil"/>
              <w:right w:val="nil"/>
            </w:tcBorders>
            <w:shd w:val="clear" w:color="auto" w:fill="auto"/>
            <w:vAlign w:val="bottom"/>
          </w:tcPr>
          <w:p w14:paraId="2F7AD7AF" w14:textId="77777777" w:rsidR="00AF191D" w:rsidRPr="004C66FF" w:rsidRDefault="0027496F" w:rsidP="004C66FF">
            <w:pPr>
              <w:spacing w:beforeLines="20" w:before="48" w:afterLines="20" w:after="48"/>
              <w:rPr>
                <w:rFonts w:cs="Arial"/>
                <w:color w:val="000000"/>
              </w:rPr>
            </w:pPr>
            <w:r w:rsidRPr="004C66FF">
              <w:rPr>
                <w:rFonts w:cs="Arial"/>
                <w:color w:val="000000"/>
              </w:rPr>
              <w:t xml:space="preserve">Dispensed price </w:t>
            </w:r>
            <w:r w:rsidR="008D3756" w:rsidRPr="004C66FF">
              <w:rPr>
                <w:rFonts w:cs="Arial"/>
                <w:color w:val="000000"/>
              </w:rPr>
              <w:t xml:space="preserve">for </w:t>
            </w:r>
            <w:r w:rsidRPr="004C66FF">
              <w:rPr>
                <w:rFonts w:cs="Arial"/>
                <w:color w:val="000000"/>
              </w:rPr>
              <w:t>maximum q</w:t>
            </w:r>
            <w:r w:rsidR="00AF191D" w:rsidRPr="004C66FF">
              <w:rPr>
                <w:rFonts w:cs="Arial"/>
                <w:color w:val="000000"/>
              </w:rPr>
              <w:t>uantity</w:t>
            </w:r>
          </w:p>
        </w:tc>
      </w:tr>
      <w:tr w:rsidR="00AF191D" w:rsidRPr="004C66FF" w14:paraId="544D1A87" w14:textId="77777777" w:rsidTr="006C0DFB">
        <w:trPr>
          <w:trHeight w:val="170"/>
        </w:trPr>
        <w:tc>
          <w:tcPr>
            <w:tcW w:w="1146" w:type="pct"/>
            <w:tcBorders>
              <w:top w:val="nil"/>
              <w:left w:val="nil"/>
              <w:bottom w:val="nil"/>
              <w:right w:val="nil"/>
            </w:tcBorders>
            <w:shd w:val="clear" w:color="auto" w:fill="auto"/>
            <w:vAlign w:val="bottom"/>
          </w:tcPr>
          <w:p w14:paraId="24E9FA38" w14:textId="77777777" w:rsidR="00AF191D" w:rsidRPr="004C66FF" w:rsidRDefault="00AF191D" w:rsidP="004C66FF">
            <w:pPr>
              <w:spacing w:beforeLines="20" w:before="48" w:afterLines="20" w:after="48"/>
              <w:rPr>
                <w:rFonts w:cs="Arial"/>
                <w:color w:val="000000"/>
              </w:rPr>
            </w:pPr>
            <w:proofErr w:type="spellStart"/>
            <w:r w:rsidRPr="004C66FF">
              <w:rPr>
                <w:rFonts w:cs="Arial"/>
                <w:color w:val="000000"/>
              </w:rPr>
              <w:t>DLco</w:t>
            </w:r>
            <w:proofErr w:type="spellEnd"/>
          </w:p>
        </w:tc>
        <w:tc>
          <w:tcPr>
            <w:tcW w:w="3854" w:type="pct"/>
            <w:tcBorders>
              <w:top w:val="nil"/>
              <w:left w:val="nil"/>
              <w:bottom w:val="nil"/>
              <w:right w:val="nil"/>
            </w:tcBorders>
            <w:shd w:val="clear" w:color="auto" w:fill="auto"/>
            <w:vAlign w:val="bottom"/>
          </w:tcPr>
          <w:p w14:paraId="3F30F5A9" w14:textId="77777777" w:rsidR="00AF191D" w:rsidRPr="004C66FF" w:rsidRDefault="00AF191D" w:rsidP="004C66FF">
            <w:pPr>
              <w:spacing w:beforeLines="20" w:before="48" w:afterLines="20" w:after="48"/>
              <w:rPr>
                <w:rFonts w:cs="Arial"/>
                <w:color w:val="000000"/>
              </w:rPr>
            </w:pPr>
            <w:r w:rsidRPr="004C66FF">
              <w:rPr>
                <w:rFonts w:cs="Arial"/>
                <w:color w:val="000000"/>
              </w:rPr>
              <w:t>Diffusing capacity of lung for carbon monoxide</w:t>
            </w:r>
          </w:p>
        </w:tc>
      </w:tr>
      <w:tr w:rsidR="00AF191D" w:rsidRPr="004C66FF" w14:paraId="4FDB9D72" w14:textId="77777777" w:rsidTr="006C0DFB">
        <w:trPr>
          <w:trHeight w:val="170"/>
        </w:trPr>
        <w:tc>
          <w:tcPr>
            <w:tcW w:w="1146" w:type="pct"/>
            <w:tcBorders>
              <w:top w:val="nil"/>
              <w:left w:val="nil"/>
              <w:bottom w:val="nil"/>
              <w:right w:val="nil"/>
            </w:tcBorders>
            <w:shd w:val="clear" w:color="auto" w:fill="auto"/>
            <w:vAlign w:val="bottom"/>
          </w:tcPr>
          <w:p w14:paraId="2CFF877C" w14:textId="77777777" w:rsidR="00AF191D" w:rsidRPr="004C66FF" w:rsidRDefault="00AF191D" w:rsidP="004C66FF">
            <w:pPr>
              <w:spacing w:beforeLines="20" w:before="48" w:afterLines="20" w:after="48"/>
              <w:rPr>
                <w:rFonts w:cs="Arial"/>
                <w:color w:val="000000"/>
              </w:rPr>
            </w:pPr>
            <w:r w:rsidRPr="004C66FF">
              <w:rPr>
                <w:rFonts w:cs="Arial"/>
                <w:color w:val="000000"/>
              </w:rPr>
              <w:t>DTC</w:t>
            </w:r>
          </w:p>
        </w:tc>
        <w:tc>
          <w:tcPr>
            <w:tcW w:w="3854" w:type="pct"/>
            <w:tcBorders>
              <w:top w:val="nil"/>
              <w:left w:val="nil"/>
              <w:bottom w:val="nil"/>
              <w:right w:val="nil"/>
            </w:tcBorders>
            <w:shd w:val="clear" w:color="auto" w:fill="auto"/>
            <w:vAlign w:val="bottom"/>
          </w:tcPr>
          <w:p w14:paraId="61FD5CBD" w14:textId="77777777" w:rsidR="00AF191D" w:rsidRPr="004C66FF" w:rsidRDefault="00AF191D" w:rsidP="004C66FF">
            <w:pPr>
              <w:spacing w:beforeLines="20" w:before="48" w:afterLines="20" w:after="48"/>
              <w:rPr>
                <w:rFonts w:cs="Arial"/>
                <w:color w:val="000000"/>
              </w:rPr>
            </w:pPr>
            <w:r w:rsidRPr="004C66FF">
              <w:rPr>
                <w:rFonts w:cs="Arial"/>
                <w:color w:val="000000"/>
              </w:rPr>
              <w:t xml:space="preserve">Hospital </w:t>
            </w:r>
            <w:r w:rsidR="008D3756" w:rsidRPr="004C66FF">
              <w:rPr>
                <w:rFonts w:cs="Arial"/>
                <w:color w:val="000000"/>
              </w:rPr>
              <w:t xml:space="preserve">drugs </w:t>
            </w:r>
            <w:r w:rsidRPr="004C66FF">
              <w:rPr>
                <w:rFonts w:cs="Arial"/>
                <w:color w:val="000000"/>
              </w:rPr>
              <w:t xml:space="preserve">and </w:t>
            </w:r>
            <w:r w:rsidR="008D3756" w:rsidRPr="004C66FF">
              <w:rPr>
                <w:rFonts w:cs="Arial"/>
                <w:color w:val="000000"/>
              </w:rPr>
              <w:t>therapeutics c</w:t>
            </w:r>
            <w:r w:rsidRPr="004C66FF">
              <w:rPr>
                <w:rFonts w:cs="Arial"/>
                <w:color w:val="000000"/>
              </w:rPr>
              <w:t>ommittee</w:t>
            </w:r>
          </w:p>
        </w:tc>
      </w:tr>
      <w:tr w:rsidR="00AF191D" w:rsidRPr="004C66FF" w14:paraId="7FC7E37B" w14:textId="77777777" w:rsidTr="006C0DFB">
        <w:trPr>
          <w:trHeight w:val="170"/>
        </w:trPr>
        <w:tc>
          <w:tcPr>
            <w:tcW w:w="1146" w:type="pct"/>
            <w:tcBorders>
              <w:top w:val="nil"/>
              <w:left w:val="nil"/>
              <w:bottom w:val="nil"/>
              <w:right w:val="nil"/>
            </w:tcBorders>
            <w:shd w:val="clear" w:color="auto" w:fill="auto"/>
            <w:vAlign w:val="bottom"/>
          </w:tcPr>
          <w:p w14:paraId="3733EFA3" w14:textId="77777777" w:rsidR="00AF191D" w:rsidRPr="004C66FF" w:rsidRDefault="00AF191D" w:rsidP="004C66FF">
            <w:pPr>
              <w:spacing w:beforeLines="20" w:before="48" w:afterLines="20" w:after="48"/>
              <w:rPr>
                <w:rFonts w:cs="Arial"/>
                <w:color w:val="000000"/>
              </w:rPr>
            </w:pPr>
            <w:r w:rsidRPr="004C66FF">
              <w:rPr>
                <w:rFonts w:cs="Arial"/>
                <w:color w:val="000000"/>
              </w:rPr>
              <w:t>DUSC</w:t>
            </w:r>
          </w:p>
        </w:tc>
        <w:tc>
          <w:tcPr>
            <w:tcW w:w="3854" w:type="pct"/>
            <w:tcBorders>
              <w:top w:val="nil"/>
              <w:left w:val="nil"/>
              <w:bottom w:val="nil"/>
              <w:right w:val="nil"/>
            </w:tcBorders>
            <w:shd w:val="clear" w:color="auto" w:fill="auto"/>
            <w:vAlign w:val="bottom"/>
          </w:tcPr>
          <w:p w14:paraId="5E7D1628" w14:textId="77777777" w:rsidR="00AF191D" w:rsidRPr="004C66FF" w:rsidRDefault="00AF191D" w:rsidP="004C66FF">
            <w:pPr>
              <w:spacing w:beforeLines="20" w:before="48" w:afterLines="20" w:after="48"/>
              <w:rPr>
                <w:rFonts w:cs="Arial"/>
                <w:color w:val="000000"/>
              </w:rPr>
            </w:pPr>
            <w:r w:rsidRPr="004C66FF">
              <w:rPr>
                <w:rFonts w:cs="Arial"/>
                <w:color w:val="000000"/>
              </w:rPr>
              <w:t>Drug Utilisation Sub</w:t>
            </w:r>
            <w:r w:rsidR="008D3756" w:rsidRPr="004C66FF">
              <w:rPr>
                <w:rFonts w:cs="Arial"/>
                <w:color w:val="000000"/>
              </w:rPr>
              <w:t xml:space="preserve"> </w:t>
            </w:r>
            <w:r w:rsidRPr="004C66FF">
              <w:rPr>
                <w:rFonts w:cs="Arial"/>
                <w:color w:val="000000"/>
              </w:rPr>
              <w:t>Committee</w:t>
            </w:r>
          </w:p>
        </w:tc>
      </w:tr>
      <w:tr w:rsidR="00AF191D" w:rsidRPr="004C66FF" w14:paraId="5A0956CF" w14:textId="77777777" w:rsidTr="006C0DFB">
        <w:trPr>
          <w:trHeight w:val="170"/>
        </w:trPr>
        <w:tc>
          <w:tcPr>
            <w:tcW w:w="1146" w:type="pct"/>
            <w:tcBorders>
              <w:top w:val="nil"/>
              <w:left w:val="nil"/>
              <w:bottom w:val="nil"/>
              <w:right w:val="nil"/>
            </w:tcBorders>
            <w:shd w:val="clear" w:color="auto" w:fill="auto"/>
            <w:vAlign w:val="bottom"/>
          </w:tcPr>
          <w:p w14:paraId="326ED58D" w14:textId="77777777" w:rsidR="00AF191D" w:rsidRPr="004C66FF" w:rsidRDefault="00AF191D" w:rsidP="004C66FF">
            <w:pPr>
              <w:spacing w:beforeLines="20" w:before="48" w:afterLines="20" w:after="48"/>
              <w:rPr>
                <w:rFonts w:cs="Arial"/>
                <w:color w:val="000000"/>
              </w:rPr>
            </w:pPr>
            <w:r w:rsidRPr="004C66FF">
              <w:rPr>
                <w:rFonts w:cs="Arial"/>
                <w:color w:val="000000"/>
              </w:rPr>
              <w:t>EMA</w:t>
            </w:r>
          </w:p>
        </w:tc>
        <w:tc>
          <w:tcPr>
            <w:tcW w:w="3854" w:type="pct"/>
            <w:tcBorders>
              <w:top w:val="nil"/>
              <w:left w:val="nil"/>
              <w:bottom w:val="nil"/>
              <w:right w:val="nil"/>
            </w:tcBorders>
            <w:shd w:val="clear" w:color="auto" w:fill="auto"/>
            <w:vAlign w:val="bottom"/>
          </w:tcPr>
          <w:p w14:paraId="61036367" w14:textId="77777777" w:rsidR="00AF191D" w:rsidRPr="004C66FF" w:rsidRDefault="00AF191D" w:rsidP="004C66FF">
            <w:pPr>
              <w:spacing w:beforeLines="20" w:before="48" w:afterLines="20" w:after="48"/>
              <w:rPr>
                <w:rFonts w:cs="Arial"/>
                <w:color w:val="000000"/>
              </w:rPr>
            </w:pPr>
            <w:r w:rsidRPr="004C66FF">
              <w:rPr>
                <w:rFonts w:cs="Arial"/>
                <w:color w:val="000000"/>
              </w:rPr>
              <w:t>European Medicines Agency</w:t>
            </w:r>
          </w:p>
        </w:tc>
      </w:tr>
      <w:tr w:rsidR="00AF191D" w:rsidRPr="004C66FF" w14:paraId="41AF59EC" w14:textId="77777777" w:rsidTr="006C0DFB">
        <w:trPr>
          <w:trHeight w:val="170"/>
        </w:trPr>
        <w:tc>
          <w:tcPr>
            <w:tcW w:w="1146" w:type="pct"/>
            <w:tcBorders>
              <w:top w:val="nil"/>
              <w:left w:val="nil"/>
              <w:bottom w:val="nil"/>
              <w:right w:val="nil"/>
            </w:tcBorders>
            <w:shd w:val="clear" w:color="auto" w:fill="auto"/>
            <w:vAlign w:val="bottom"/>
          </w:tcPr>
          <w:p w14:paraId="33542EB9" w14:textId="77777777" w:rsidR="00AF191D" w:rsidRPr="004C66FF" w:rsidRDefault="00AF191D" w:rsidP="004C66FF">
            <w:pPr>
              <w:spacing w:beforeLines="20" w:before="48" w:afterLines="20" w:after="48"/>
              <w:rPr>
                <w:rFonts w:cs="Arial"/>
                <w:color w:val="000000"/>
              </w:rPr>
            </w:pPr>
            <w:r w:rsidRPr="004C66FF">
              <w:rPr>
                <w:rFonts w:cs="Arial"/>
                <w:color w:val="000000"/>
              </w:rPr>
              <w:t>EPAR</w:t>
            </w:r>
          </w:p>
        </w:tc>
        <w:tc>
          <w:tcPr>
            <w:tcW w:w="3854" w:type="pct"/>
            <w:tcBorders>
              <w:top w:val="nil"/>
              <w:left w:val="nil"/>
              <w:bottom w:val="nil"/>
              <w:right w:val="nil"/>
            </w:tcBorders>
            <w:shd w:val="clear" w:color="auto" w:fill="auto"/>
            <w:vAlign w:val="bottom"/>
          </w:tcPr>
          <w:p w14:paraId="3F913BC9" w14:textId="77777777" w:rsidR="00AF191D" w:rsidRPr="004C66FF" w:rsidRDefault="0027496F" w:rsidP="004C66FF">
            <w:pPr>
              <w:spacing w:beforeLines="20" w:before="48" w:afterLines="20" w:after="48"/>
              <w:rPr>
                <w:rFonts w:cs="Arial"/>
                <w:color w:val="000000"/>
              </w:rPr>
            </w:pPr>
            <w:r w:rsidRPr="004C66FF">
              <w:rPr>
                <w:rFonts w:cs="Arial"/>
                <w:color w:val="000000"/>
              </w:rPr>
              <w:t>European public assessment r</w:t>
            </w:r>
            <w:r w:rsidR="00AF191D" w:rsidRPr="004C66FF">
              <w:rPr>
                <w:rFonts w:cs="Arial"/>
                <w:color w:val="000000"/>
              </w:rPr>
              <w:t>eport</w:t>
            </w:r>
          </w:p>
        </w:tc>
      </w:tr>
      <w:tr w:rsidR="00AF191D" w:rsidRPr="004C66FF" w14:paraId="2C9FDD42" w14:textId="77777777" w:rsidTr="006C0DFB">
        <w:trPr>
          <w:trHeight w:val="170"/>
        </w:trPr>
        <w:tc>
          <w:tcPr>
            <w:tcW w:w="1146" w:type="pct"/>
            <w:tcBorders>
              <w:top w:val="nil"/>
              <w:left w:val="nil"/>
              <w:bottom w:val="nil"/>
              <w:right w:val="nil"/>
            </w:tcBorders>
            <w:shd w:val="clear" w:color="auto" w:fill="auto"/>
            <w:vAlign w:val="bottom"/>
          </w:tcPr>
          <w:p w14:paraId="7F198CA5" w14:textId="77777777" w:rsidR="00AF191D" w:rsidRPr="004C66FF" w:rsidRDefault="00AF191D" w:rsidP="004C66FF">
            <w:pPr>
              <w:spacing w:beforeLines="20" w:before="48" w:afterLines="20" w:after="48"/>
              <w:rPr>
                <w:rFonts w:cs="Arial"/>
                <w:color w:val="000000"/>
              </w:rPr>
            </w:pPr>
            <w:r w:rsidRPr="004C66FF">
              <w:rPr>
                <w:rFonts w:cs="Arial"/>
                <w:color w:val="000000"/>
              </w:rPr>
              <w:t>ERA</w:t>
            </w:r>
          </w:p>
        </w:tc>
        <w:tc>
          <w:tcPr>
            <w:tcW w:w="3854" w:type="pct"/>
            <w:tcBorders>
              <w:top w:val="nil"/>
              <w:left w:val="nil"/>
              <w:bottom w:val="nil"/>
              <w:right w:val="nil"/>
            </w:tcBorders>
            <w:shd w:val="clear" w:color="auto" w:fill="auto"/>
            <w:vAlign w:val="bottom"/>
          </w:tcPr>
          <w:p w14:paraId="123594F3" w14:textId="77777777" w:rsidR="00AF191D" w:rsidRPr="004C66FF" w:rsidRDefault="0027496F" w:rsidP="004C66FF">
            <w:pPr>
              <w:spacing w:beforeLines="20" w:before="48" w:afterLines="20" w:after="48"/>
              <w:rPr>
                <w:rFonts w:cs="Arial"/>
                <w:color w:val="000000"/>
              </w:rPr>
            </w:pPr>
            <w:r w:rsidRPr="004C66FF">
              <w:rPr>
                <w:rFonts w:cs="Arial"/>
                <w:color w:val="000000"/>
              </w:rPr>
              <w:t>Endothelin receptor a</w:t>
            </w:r>
            <w:r w:rsidR="00AF191D" w:rsidRPr="004C66FF">
              <w:rPr>
                <w:rFonts w:cs="Arial"/>
                <w:color w:val="000000"/>
              </w:rPr>
              <w:t>ntagonist</w:t>
            </w:r>
          </w:p>
        </w:tc>
      </w:tr>
      <w:tr w:rsidR="00AF191D" w:rsidRPr="004C66FF" w14:paraId="75DBA033" w14:textId="77777777" w:rsidTr="006C0DFB">
        <w:trPr>
          <w:trHeight w:val="170"/>
        </w:trPr>
        <w:tc>
          <w:tcPr>
            <w:tcW w:w="1146" w:type="pct"/>
            <w:tcBorders>
              <w:top w:val="nil"/>
              <w:left w:val="nil"/>
              <w:bottom w:val="nil"/>
              <w:right w:val="nil"/>
            </w:tcBorders>
            <w:shd w:val="clear" w:color="auto" w:fill="auto"/>
            <w:vAlign w:val="bottom"/>
          </w:tcPr>
          <w:p w14:paraId="0BF8028C" w14:textId="77777777" w:rsidR="00AF191D" w:rsidRPr="004C66FF" w:rsidRDefault="00AF191D" w:rsidP="004C66FF">
            <w:pPr>
              <w:spacing w:beforeLines="20" w:before="48" w:afterLines="20" w:after="48"/>
              <w:rPr>
                <w:rFonts w:cs="Arial"/>
                <w:color w:val="000000"/>
              </w:rPr>
            </w:pPr>
            <w:r w:rsidRPr="004C66FF">
              <w:rPr>
                <w:rFonts w:cs="Arial"/>
                <w:color w:val="000000"/>
              </w:rPr>
              <w:t>ERS</w:t>
            </w:r>
          </w:p>
        </w:tc>
        <w:tc>
          <w:tcPr>
            <w:tcW w:w="3854" w:type="pct"/>
            <w:tcBorders>
              <w:top w:val="nil"/>
              <w:left w:val="nil"/>
              <w:bottom w:val="nil"/>
              <w:right w:val="nil"/>
            </w:tcBorders>
            <w:shd w:val="clear" w:color="auto" w:fill="auto"/>
            <w:vAlign w:val="bottom"/>
          </w:tcPr>
          <w:p w14:paraId="448678F8" w14:textId="77777777" w:rsidR="00AF191D" w:rsidRPr="004C66FF" w:rsidRDefault="00AF191D" w:rsidP="004C66FF">
            <w:pPr>
              <w:spacing w:beforeLines="20" w:before="48" w:afterLines="20" w:after="48"/>
              <w:rPr>
                <w:rFonts w:cs="Arial"/>
                <w:color w:val="000000"/>
              </w:rPr>
            </w:pPr>
            <w:r w:rsidRPr="004C66FF">
              <w:rPr>
                <w:rFonts w:cs="Arial"/>
                <w:color w:val="000000"/>
              </w:rPr>
              <w:t>European Respiratory Society</w:t>
            </w:r>
          </w:p>
        </w:tc>
      </w:tr>
      <w:tr w:rsidR="00AF191D" w:rsidRPr="004C66FF" w14:paraId="2B47BAB3" w14:textId="77777777" w:rsidTr="006C0DFB">
        <w:trPr>
          <w:trHeight w:val="170"/>
        </w:trPr>
        <w:tc>
          <w:tcPr>
            <w:tcW w:w="1146" w:type="pct"/>
            <w:tcBorders>
              <w:top w:val="nil"/>
              <w:left w:val="nil"/>
              <w:bottom w:val="nil"/>
              <w:right w:val="nil"/>
            </w:tcBorders>
            <w:shd w:val="clear" w:color="auto" w:fill="auto"/>
            <w:vAlign w:val="bottom"/>
          </w:tcPr>
          <w:p w14:paraId="059DCA21" w14:textId="77777777" w:rsidR="00AF191D" w:rsidRPr="004C66FF" w:rsidRDefault="00AF191D" w:rsidP="004C66FF">
            <w:pPr>
              <w:spacing w:beforeLines="20" w:before="48" w:afterLines="20" w:after="48"/>
              <w:rPr>
                <w:rFonts w:cs="Arial"/>
                <w:color w:val="000000"/>
              </w:rPr>
            </w:pPr>
            <w:r w:rsidRPr="004C66FF">
              <w:rPr>
                <w:rFonts w:cs="Arial"/>
                <w:color w:val="000000"/>
              </w:rPr>
              <w:t>ESC</w:t>
            </w:r>
          </w:p>
        </w:tc>
        <w:tc>
          <w:tcPr>
            <w:tcW w:w="3854" w:type="pct"/>
            <w:tcBorders>
              <w:top w:val="nil"/>
              <w:left w:val="nil"/>
              <w:bottom w:val="nil"/>
              <w:right w:val="nil"/>
            </w:tcBorders>
            <w:shd w:val="clear" w:color="auto" w:fill="auto"/>
            <w:vAlign w:val="bottom"/>
          </w:tcPr>
          <w:p w14:paraId="1160025F" w14:textId="77777777" w:rsidR="00AF191D" w:rsidRPr="004C66FF" w:rsidRDefault="00AF191D" w:rsidP="004C66FF">
            <w:pPr>
              <w:spacing w:beforeLines="20" w:before="48" w:afterLines="20" w:after="48"/>
              <w:rPr>
                <w:rFonts w:cs="Arial"/>
                <w:color w:val="000000"/>
              </w:rPr>
            </w:pPr>
            <w:r w:rsidRPr="004C66FF">
              <w:rPr>
                <w:rFonts w:cs="Arial"/>
                <w:color w:val="000000"/>
              </w:rPr>
              <w:t>European Society of Cardiology</w:t>
            </w:r>
          </w:p>
        </w:tc>
      </w:tr>
      <w:tr w:rsidR="00AF191D" w:rsidRPr="004C66FF" w14:paraId="026212C3" w14:textId="77777777" w:rsidTr="006C0DFB">
        <w:trPr>
          <w:trHeight w:val="170"/>
        </w:trPr>
        <w:tc>
          <w:tcPr>
            <w:tcW w:w="1146" w:type="pct"/>
            <w:tcBorders>
              <w:top w:val="nil"/>
              <w:left w:val="nil"/>
              <w:bottom w:val="nil"/>
              <w:right w:val="nil"/>
            </w:tcBorders>
            <w:shd w:val="clear" w:color="auto" w:fill="auto"/>
            <w:vAlign w:val="bottom"/>
          </w:tcPr>
          <w:p w14:paraId="79D223BD" w14:textId="77777777" w:rsidR="00AF191D" w:rsidRPr="004C66FF" w:rsidRDefault="00AF191D" w:rsidP="004C66FF">
            <w:pPr>
              <w:spacing w:beforeLines="20" w:before="48" w:afterLines="20" w:after="48"/>
              <w:rPr>
                <w:rFonts w:cs="Arial"/>
                <w:color w:val="000000"/>
              </w:rPr>
            </w:pPr>
            <w:r w:rsidRPr="004C66FF">
              <w:rPr>
                <w:rFonts w:cs="Arial"/>
                <w:color w:val="000000"/>
              </w:rPr>
              <w:t>FC</w:t>
            </w:r>
          </w:p>
        </w:tc>
        <w:tc>
          <w:tcPr>
            <w:tcW w:w="3854" w:type="pct"/>
            <w:tcBorders>
              <w:top w:val="nil"/>
              <w:left w:val="nil"/>
              <w:bottom w:val="nil"/>
              <w:right w:val="nil"/>
            </w:tcBorders>
            <w:shd w:val="clear" w:color="auto" w:fill="auto"/>
            <w:vAlign w:val="bottom"/>
          </w:tcPr>
          <w:p w14:paraId="0DB20B24" w14:textId="77777777" w:rsidR="00AF191D" w:rsidRPr="004C66FF" w:rsidRDefault="00AF191D" w:rsidP="004C66FF">
            <w:pPr>
              <w:spacing w:beforeLines="20" w:before="48" w:afterLines="20" w:after="48"/>
              <w:rPr>
                <w:rFonts w:cs="Arial"/>
                <w:color w:val="000000"/>
              </w:rPr>
            </w:pPr>
            <w:r w:rsidRPr="004C66FF">
              <w:rPr>
                <w:rFonts w:cs="Arial"/>
                <w:color w:val="000000"/>
              </w:rPr>
              <w:t xml:space="preserve">Functional </w:t>
            </w:r>
            <w:r w:rsidR="0027496F" w:rsidRPr="004C66FF">
              <w:rPr>
                <w:rFonts w:cs="Arial"/>
                <w:color w:val="000000"/>
              </w:rPr>
              <w:t>c</w:t>
            </w:r>
            <w:r w:rsidRPr="004C66FF">
              <w:rPr>
                <w:rFonts w:cs="Arial"/>
                <w:color w:val="000000"/>
              </w:rPr>
              <w:t>lass</w:t>
            </w:r>
          </w:p>
        </w:tc>
      </w:tr>
      <w:tr w:rsidR="00AF191D" w:rsidRPr="004C66FF" w14:paraId="4374AB64" w14:textId="77777777" w:rsidTr="006C0DFB">
        <w:trPr>
          <w:trHeight w:val="170"/>
        </w:trPr>
        <w:tc>
          <w:tcPr>
            <w:tcW w:w="1146" w:type="pct"/>
            <w:tcBorders>
              <w:top w:val="nil"/>
              <w:left w:val="nil"/>
              <w:bottom w:val="nil"/>
              <w:right w:val="nil"/>
            </w:tcBorders>
            <w:shd w:val="clear" w:color="auto" w:fill="auto"/>
            <w:vAlign w:val="bottom"/>
          </w:tcPr>
          <w:p w14:paraId="07767C8A" w14:textId="77777777" w:rsidR="00AF191D" w:rsidRPr="004C66FF" w:rsidRDefault="00AF191D" w:rsidP="004C66FF">
            <w:pPr>
              <w:spacing w:beforeLines="20" w:before="48" w:afterLines="20" w:after="48"/>
              <w:rPr>
                <w:rFonts w:cs="Arial"/>
                <w:color w:val="000000"/>
              </w:rPr>
            </w:pPr>
            <w:r w:rsidRPr="004C66FF">
              <w:rPr>
                <w:rFonts w:cs="Arial"/>
                <w:color w:val="000000"/>
              </w:rPr>
              <w:t>FDA</w:t>
            </w:r>
          </w:p>
        </w:tc>
        <w:tc>
          <w:tcPr>
            <w:tcW w:w="3854" w:type="pct"/>
            <w:tcBorders>
              <w:top w:val="nil"/>
              <w:left w:val="nil"/>
              <w:bottom w:val="nil"/>
              <w:right w:val="nil"/>
            </w:tcBorders>
            <w:shd w:val="clear" w:color="auto" w:fill="auto"/>
            <w:vAlign w:val="bottom"/>
          </w:tcPr>
          <w:p w14:paraId="6794685D" w14:textId="77777777" w:rsidR="00AF191D" w:rsidRPr="004C66FF" w:rsidRDefault="00AF191D" w:rsidP="004C66FF">
            <w:pPr>
              <w:spacing w:beforeLines="20" w:before="48" w:afterLines="20" w:after="48"/>
              <w:rPr>
                <w:rFonts w:cs="Arial"/>
                <w:color w:val="000000"/>
              </w:rPr>
            </w:pPr>
            <w:r w:rsidRPr="004C66FF">
              <w:rPr>
                <w:rFonts w:cs="Arial"/>
                <w:color w:val="000000"/>
              </w:rPr>
              <w:t>United States Food and Drug Administration</w:t>
            </w:r>
          </w:p>
        </w:tc>
      </w:tr>
      <w:tr w:rsidR="00AF191D" w:rsidRPr="004C66FF" w14:paraId="34E0E7D2" w14:textId="77777777" w:rsidTr="006C0DFB">
        <w:trPr>
          <w:trHeight w:val="170"/>
        </w:trPr>
        <w:tc>
          <w:tcPr>
            <w:tcW w:w="1146" w:type="pct"/>
            <w:tcBorders>
              <w:top w:val="nil"/>
              <w:left w:val="nil"/>
              <w:bottom w:val="nil"/>
              <w:right w:val="nil"/>
            </w:tcBorders>
            <w:shd w:val="clear" w:color="auto" w:fill="auto"/>
            <w:vAlign w:val="bottom"/>
          </w:tcPr>
          <w:p w14:paraId="6DDFF04B" w14:textId="77777777" w:rsidR="00AF191D" w:rsidRPr="004C66FF" w:rsidRDefault="00AF191D" w:rsidP="004C66FF">
            <w:pPr>
              <w:spacing w:beforeLines="20" w:before="48" w:afterLines="20" w:after="48"/>
              <w:rPr>
                <w:rFonts w:cs="Arial"/>
                <w:color w:val="000000"/>
              </w:rPr>
            </w:pPr>
            <w:r w:rsidRPr="004C66FF">
              <w:rPr>
                <w:rFonts w:cs="Arial"/>
                <w:color w:val="000000"/>
              </w:rPr>
              <w:t>GP</w:t>
            </w:r>
          </w:p>
        </w:tc>
        <w:tc>
          <w:tcPr>
            <w:tcW w:w="3854" w:type="pct"/>
            <w:tcBorders>
              <w:top w:val="nil"/>
              <w:left w:val="nil"/>
              <w:bottom w:val="nil"/>
              <w:right w:val="nil"/>
            </w:tcBorders>
            <w:shd w:val="clear" w:color="auto" w:fill="auto"/>
            <w:vAlign w:val="bottom"/>
          </w:tcPr>
          <w:p w14:paraId="43126CB3" w14:textId="77777777" w:rsidR="00AF191D" w:rsidRPr="004C66FF" w:rsidRDefault="0027496F" w:rsidP="004C66FF">
            <w:pPr>
              <w:spacing w:beforeLines="20" w:before="48" w:afterLines="20" w:after="48"/>
              <w:rPr>
                <w:rFonts w:cs="Arial"/>
                <w:color w:val="000000"/>
              </w:rPr>
            </w:pPr>
            <w:r w:rsidRPr="004C66FF">
              <w:rPr>
                <w:rFonts w:cs="Arial"/>
                <w:color w:val="000000"/>
              </w:rPr>
              <w:t>General p</w:t>
            </w:r>
            <w:r w:rsidR="00AF191D" w:rsidRPr="004C66FF">
              <w:rPr>
                <w:rFonts w:cs="Arial"/>
                <w:color w:val="000000"/>
              </w:rPr>
              <w:t>ractitioner</w:t>
            </w:r>
          </w:p>
        </w:tc>
      </w:tr>
      <w:tr w:rsidR="00AF191D" w:rsidRPr="004C66FF" w14:paraId="3D4CD519" w14:textId="77777777" w:rsidTr="006C0DFB">
        <w:trPr>
          <w:trHeight w:val="170"/>
        </w:trPr>
        <w:tc>
          <w:tcPr>
            <w:tcW w:w="1146" w:type="pct"/>
            <w:tcBorders>
              <w:top w:val="nil"/>
              <w:left w:val="nil"/>
              <w:bottom w:val="nil"/>
              <w:right w:val="nil"/>
            </w:tcBorders>
            <w:shd w:val="clear" w:color="auto" w:fill="auto"/>
            <w:vAlign w:val="bottom"/>
          </w:tcPr>
          <w:p w14:paraId="332A2022" w14:textId="77777777" w:rsidR="00AF191D" w:rsidRPr="004C66FF" w:rsidRDefault="00AF191D" w:rsidP="004C66FF">
            <w:pPr>
              <w:spacing w:beforeLines="20" w:before="48" w:afterLines="20" w:after="48"/>
              <w:rPr>
                <w:rFonts w:cs="Arial"/>
                <w:color w:val="000000"/>
              </w:rPr>
            </w:pPr>
            <w:r w:rsidRPr="004C66FF">
              <w:rPr>
                <w:rFonts w:cs="Arial"/>
                <w:color w:val="000000"/>
              </w:rPr>
              <w:t>HPAH</w:t>
            </w:r>
          </w:p>
        </w:tc>
        <w:tc>
          <w:tcPr>
            <w:tcW w:w="3854" w:type="pct"/>
            <w:tcBorders>
              <w:top w:val="nil"/>
              <w:left w:val="nil"/>
              <w:bottom w:val="nil"/>
              <w:right w:val="nil"/>
            </w:tcBorders>
            <w:shd w:val="clear" w:color="auto" w:fill="auto"/>
            <w:vAlign w:val="bottom"/>
          </w:tcPr>
          <w:p w14:paraId="721F7EB5" w14:textId="77777777" w:rsidR="00AF191D" w:rsidRPr="004C66FF" w:rsidRDefault="00AF191D" w:rsidP="004C66FF">
            <w:pPr>
              <w:spacing w:beforeLines="20" w:before="48" w:afterLines="20" w:after="48"/>
              <w:rPr>
                <w:rFonts w:cs="Arial"/>
                <w:color w:val="000000"/>
              </w:rPr>
            </w:pPr>
            <w:r w:rsidRPr="004C66FF">
              <w:rPr>
                <w:rFonts w:cs="Arial"/>
                <w:color w:val="000000"/>
              </w:rPr>
              <w:t>Heritable pulmonary arterial hypertension</w:t>
            </w:r>
          </w:p>
        </w:tc>
      </w:tr>
      <w:tr w:rsidR="00DC652D" w:rsidRPr="004C66FF" w14:paraId="17BE778C" w14:textId="77777777" w:rsidTr="006C0DFB">
        <w:trPr>
          <w:trHeight w:val="170"/>
        </w:trPr>
        <w:tc>
          <w:tcPr>
            <w:tcW w:w="1146" w:type="pct"/>
            <w:tcBorders>
              <w:top w:val="nil"/>
              <w:left w:val="nil"/>
              <w:bottom w:val="nil"/>
              <w:right w:val="nil"/>
            </w:tcBorders>
            <w:shd w:val="clear" w:color="auto" w:fill="auto"/>
            <w:vAlign w:val="bottom"/>
          </w:tcPr>
          <w:p w14:paraId="4797F6EC" w14:textId="77777777" w:rsidR="00DC652D" w:rsidRPr="004C66FF" w:rsidRDefault="00DC652D" w:rsidP="004C66FF">
            <w:pPr>
              <w:spacing w:beforeLines="20" w:before="48" w:afterLines="20" w:after="48"/>
              <w:rPr>
                <w:rFonts w:cs="Arial"/>
                <w:color w:val="000000"/>
              </w:rPr>
            </w:pPr>
            <w:r>
              <w:rPr>
                <w:rFonts w:cs="Arial"/>
                <w:color w:val="000000"/>
              </w:rPr>
              <w:t>ICER</w:t>
            </w:r>
          </w:p>
        </w:tc>
        <w:tc>
          <w:tcPr>
            <w:tcW w:w="3854" w:type="pct"/>
            <w:tcBorders>
              <w:top w:val="nil"/>
              <w:left w:val="nil"/>
              <w:bottom w:val="nil"/>
              <w:right w:val="nil"/>
            </w:tcBorders>
            <w:shd w:val="clear" w:color="auto" w:fill="auto"/>
            <w:vAlign w:val="bottom"/>
          </w:tcPr>
          <w:p w14:paraId="2BE8A995" w14:textId="77777777" w:rsidR="00DC652D" w:rsidRPr="004C66FF" w:rsidRDefault="00DC652D" w:rsidP="004C66FF">
            <w:pPr>
              <w:spacing w:beforeLines="20" w:before="48" w:afterLines="20" w:after="48"/>
              <w:rPr>
                <w:rFonts w:cs="Arial"/>
                <w:color w:val="000000"/>
              </w:rPr>
            </w:pPr>
            <w:r>
              <w:rPr>
                <w:rFonts w:cs="Arial"/>
                <w:color w:val="000000"/>
              </w:rPr>
              <w:t>I</w:t>
            </w:r>
            <w:r w:rsidRPr="00DC652D">
              <w:rPr>
                <w:rFonts w:cs="Arial"/>
                <w:color w:val="000000"/>
              </w:rPr>
              <w:t>ncremental cost-effectiveness ratio</w:t>
            </w:r>
          </w:p>
        </w:tc>
      </w:tr>
      <w:tr w:rsidR="00AF191D" w:rsidRPr="004C66FF" w14:paraId="3B05303C" w14:textId="77777777" w:rsidTr="006C0DFB">
        <w:trPr>
          <w:trHeight w:val="170"/>
        </w:trPr>
        <w:tc>
          <w:tcPr>
            <w:tcW w:w="1146" w:type="pct"/>
            <w:tcBorders>
              <w:top w:val="nil"/>
              <w:left w:val="nil"/>
              <w:bottom w:val="nil"/>
              <w:right w:val="nil"/>
            </w:tcBorders>
            <w:shd w:val="clear" w:color="auto" w:fill="auto"/>
            <w:vAlign w:val="bottom"/>
          </w:tcPr>
          <w:p w14:paraId="00FCF51A" w14:textId="77777777" w:rsidR="00AF191D" w:rsidRPr="004C66FF" w:rsidRDefault="00AF191D" w:rsidP="004C66FF">
            <w:pPr>
              <w:spacing w:beforeLines="20" w:before="48" w:afterLines="20" w:after="48"/>
              <w:rPr>
                <w:rFonts w:cs="Arial"/>
                <w:color w:val="000000"/>
              </w:rPr>
            </w:pPr>
            <w:r w:rsidRPr="004C66FF">
              <w:rPr>
                <w:rFonts w:cs="Arial"/>
                <w:color w:val="000000"/>
              </w:rPr>
              <w:t>IPAH</w:t>
            </w:r>
          </w:p>
        </w:tc>
        <w:tc>
          <w:tcPr>
            <w:tcW w:w="3854" w:type="pct"/>
            <w:tcBorders>
              <w:top w:val="nil"/>
              <w:left w:val="nil"/>
              <w:bottom w:val="nil"/>
              <w:right w:val="nil"/>
            </w:tcBorders>
            <w:shd w:val="clear" w:color="auto" w:fill="auto"/>
            <w:vAlign w:val="bottom"/>
          </w:tcPr>
          <w:p w14:paraId="0353A59D" w14:textId="77777777" w:rsidR="00AF191D" w:rsidRPr="004C66FF" w:rsidRDefault="0027496F" w:rsidP="004C66FF">
            <w:pPr>
              <w:spacing w:beforeLines="20" w:before="48" w:afterLines="20" w:after="48"/>
              <w:rPr>
                <w:rFonts w:cs="Arial"/>
                <w:color w:val="000000"/>
              </w:rPr>
            </w:pPr>
            <w:r w:rsidRPr="004C66FF">
              <w:rPr>
                <w:rFonts w:cs="Arial"/>
                <w:color w:val="000000"/>
              </w:rPr>
              <w:t>Idiopathic pulmonary arterial h</w:t>
            </w:r>
            <w:r w:rsidR="00AF191D" w:rsidRPr="004C66FF">
              <w:rPr>
                <w:rFonts w:cs="Arial"/>
                <w:color w:val="000000"/>
              </w:rPr>
              <w:t>ypertension</w:t>
            </w:r>
          </w:p>
        </w:tc>
      </w:tr>
      <w:tr w:rsidR="00AF191D" w:rsidRPr="004C66FF" w14:paraId="73CD9FC9" w14:textId="77777777" w:rsidTr="006C0DFB">
        <w:trPr>
          <w:trHeight w:val="170"/>
        </w:trPr>
        <w:tc>
          <w:tcPr>
            <w:tcW w:w="1146" w:type="pct"/>
            <w:tcBorders>
              <w:top w:val="nil"/>
              <w:left w:val="nil"/>
              <w:bottom w:val="nil"/>
              <w:right w:val="nil"/>
            </w:tcBorders>
            <w:shd w:val="clear" w:color="auto" w:fill="auto"/>
            <w:vAlign w:val="bottom"/>
          </w:tcPr>
          <w:p w14:paraId="5118359D" w14:textId="77777777" w:rsidR="00AF191D" w:rsidRPr="004C66FF" w:rsidRDefault="00AF191D" w:rsidP="004C66FF">
            <w:pPr>
              <w:spacing w:beforeLines="20" w:before="48" w:afterLines="20" w:after="48"/>
              <w:rPr>
                <w:rFonts w:cs="Arial"/>
                <w:color w:val="000000"/>
              </w:rPr>
            </w:pPr>
            <w:r w:rsidRPr="004C66FF">
              <w:rPr>
                <w:rFonts w:cs="Arial"/>
                <w:color w:val="000000"/>
              </w:rPr>
              <w:t>IV</w:t>
            </w:r>
          </w:p>
        </w:tc>
        <w:tc>
          <w:tcPr>
            <w:tcW w:w="3854" w:type="pct"/>
            <w:tcBorders>
              <w:top w:val="nil"/>
              <w:left w:val="nil"/>
              <w:bottom w:val="nil"/>
              <w:right w:val="nil"/>
            </w:tcBorders>
            <w:shd w:val="clear" w:color="auto" w:fill="auto"/>
            <w:vAlign w:val="bottom"/>
          </w:tcPr>
          <w:p w14:paraId="28CDA207" w14:textId="77777777" w:rsidR="00AF191D" w:rsidRPr="004C66FF" w:rsidRDefault="00AF191D" w:rsidP="004C66FF">
            <w:pPr>
              <w:spacing w:beforeLines="20" w:before="48" w:afterLines="20" w:after="48"/>
              <w:rPr>
                <w:rFonts w:cs="Arial"/>
                <w:color w:val="000000"/>
              </w:rPr>
            </w:pPr>
            <w:r w:rsidRPr="004C66FF">
              <w:rPr>
                <w:rFonts w:cs="Arial"/>
                <w:color w:val="000000"/>
              </w:rPr>
              <w:t>Intravenous</w:t>
            </w:r>
          </w:p>
        </w:tc>
      </w:tr>
      <w:tr w:rsidR="00AF191D" w:rsidRPr="004C66FF" w14:paraId="659B252E" w14:textId="77777777" w:rsidTr="006C0DFB">
        <w:trPr>
          <w:trHeight w:val="170"/>
        </w:trPr>
        <w:tc>
          <w:tcPr>
            <w:tcW w:w="1146" w:type="pct"/>
            <w:tcBorders>
              <w:top w:val="nil"/>
              <w:left w:val="nil"/>
              <w:bottom w:val="nil"/>
              <w:right w:val="nil"/>
            </w:tcBorders>
            <w:shd w:val="clear" w:color="auto" w:fill="auto"/>
            <w:vAlign w:val="bottom"/>
          </w:tcPr>
          <w:p w14:paraId="3277D988" w14:textId="77777777" w:rsidR="00AF191D" w:rsidRPr="004C66FF" w:rsidRDefault="00AF191D" w:rsidP="004C66FF">
            <w:pPr>
              <w:spacing w:beforeLines="20" w:before="48" w:afterLines="20" w:after="48"/>
              <w:rPr>
                <w:rFonts w:cs="Arial"/>
                <w:color w:val="000000"/>
              </w:rPr>
            </w:pPr>
            <w:r w:rsidRPr="004C66FF">
              <w:rPr>
                <w:rFonts w:cs="Arial"/>
                <w:color w:val="000000"/>
              </w:rPr>
              <w:lastRenderedPageBreak/>
              <w:t>LVF</w:t>
            </w:r>
          </w:p>
        </w:tc>
        <w:tc>
          <w:tcPr>
            <w:tcW w:w="3854" w:type="pct"/>
            <w:tcBorders>
              <w:top w:val="nil"/>
              <w:left w:val="nil"/>
              <w:bottom w:val="nil"/>
              <w:right w:val="nil"/>
            </w:tcBorders>
            <w:shd w:val="clear" w:color="auto" w:fill="auto"/>
            <w:vAlign w:val="bottom"/>
          </w:tcPr>
          <w:p w14:paraId="3AE10575" w14:textId="77777777" w:rsidR="00AF191D" w:rsidRPr="004C66FF" w:rsidRDefault="00AF191D" w:rsidP="004C66FF">
            <w:pPr>
              <w:spacing w:beforeLines="20" w:before="48" w:afterLines="20" w:after="48"/>
              <w:rPr>
                <w:rFonts w:cs="Arial"/>
                <w:color w:val="000000"/>
              </w:rPr>
            </w:pPr>
            <w:r w:rsidRPr="004C66FF">
              <w:rPr>
                <w:rFonts w:cs="Arial"/>
                <w:color w:val="000000"/>
              </w:rPr>
              <w:t>Left ventricular function</w:t>
            </w:r>
          </w:p>
        </w:tc>
      </w:tr>
      <w:tr w:rsidR="00AF191D" w:rsidRPr="004C66FF" w14:paraId="1482C600" w14:textId="77777777" w:rsidTr="006C0DFB">
        <w:trPr>
          <w:trHeight w:val="170"/>
        </w:trPr>
        <w:tc>
          <w:tcPr>
            <w:tcW w:w="1146" w:type="pct"/>
            <w:tcBorders>
              <w:top w:val="nil"/>
              <w:left w:val="nil"/>
              <w:bottom w:val="nil"/>
              <w:right w:val="nil"/>
            </w:tcBorders>
            <w:shd w:val="clear" w:color="auto" w:fill="auto"/>
            <w:vAlign w:val="bottom"/>
          </w:tcPr>
          <w:p w14:paraId="0BEE4116" w14:textId="77777777" w:rsidR="00AF191D" w:rsidRPr="004C66FF" w:rsidRDefault="00AF191D" w:rsidP="004C66FF">
            <w:pPr>
              <w:spacing w:beforeLines="20" w:before="48" w:afterLines="20" w:after="48"/>
              <w:rPr>
                <w:rFonts w:cs="Arial"/>
                <w:color w:val="000000"/>
              </w:rPr>
            </w:pPr>
            <w:r w:rsidRPr="004C66FF">
              <w:rPr>
                <w:rFonts w:cs="Arial"/>
                <w:color w:val="000000"/>
              </w:rPr>
              <w:t>mPAP</w:t>
            </w:r>
          </w:p>
        </w:tc>
        <w:tc>
          <w:tcPr>
            <w:tcW w:w="3854" w:type="pct"/>
            <w:tcBorders>
              <w:top w:val="nil"/>
              <w:left w:val="nil"/>
              <w:bottom w:val="nil"/>
              <w:right w:val="nil"/>
            </w:tcBorders>
            <w:shd w:val="clear" w:color="auto" w:fill="auto"/>
            <w:vAlign w:val="bottom"/>
          </w:tcPr>
          <w:p w14:paraId="4E43A7A2" w14:textId="77777777" w:rsidR="00AF191D" w:rsidRPr="004C66FF" w:rsidRDefault="0027496F" w:rsidP="004C66FF">
            <w:pPr>
              <w:spacing w:beforeLines="20" w:before="48" w:afterLines="20" w:after="48"/>
              <w:rPr>
                <w:rFonts w:cs="Arial"/>
                <w:color w:val="000000"/>
              </w:rPr>
            </w:pPr>
            <w:r w:rsidRPr="004C66FF">
              <w:rPr>
                <w:rFonts w:cs="Arial"/>
                <w:color w:val="000000"/>
              </w:rPr>
              <w:t>Mean p</w:t>
            </w:r>
            <w:r w:rsidR="00AF191D" w:rsidRPr="004C66FF">
              <w:rPr>
                <w:rFonts w:cs="Arial"/>
                <w:color w:val="000000"/>
              </w:rPr>
              <w:t xml:space="preserve">ulmonary </w:t>
            </w:r>
            <w:r w:rsidRPr="004C66FF">
              <w:rPr>
                <w:rFonts w:cs="Arial"/>
                <w:color w:val="000000"/>
              </w:rPr>
              <w:t>arterial p</w:t>
            </w:r>
            <w:r w:rsidR="00AF191D" w:rsidRPr="004C66FF">
              <w:rPr>
                <w:rFonts w:cs="Arial"/>
                <w:color w:val="000000"/>
              </w:rPr>
              <w:t>ressure</w:t>
            </w:r>
          </w:p>
        </w:tc>
      </w:tr>
      <w:tr w:rsidR="00AF191D" w:rsidRPr="004C66FF" w14:paraId="2018AEB9" w14:textId="77777777" w:rsidTr="006C0DFB">
        <w:trPr>
          <w:trHeight w:val="170"/>
        </w:trPr>
        <w:tc>
          <w:tcPr>
            <w:tcW w:w="1146" w:type="pct"/>
            <w:tcBorders>
              <w:top w:val="nil"/>
              <w:left w:val="nil"/>
              <w:bottom w:val="nil"/>
              <w:right w:val="nil"/>
            </w:tcBorders>
            <w:shd w:val="clear" w:color="auto" w:fill="auto"/>
            <w:vAlign w:val="bottom"/>
          </w:tcPr>
          <w:p w14:paraId="77F2A0CC" w14:textId="77777777" w:rsidR="00AF191D" w:rsidRPr="004C66FF" w:rsidRDefault="00AF191D" w:rsidP="004C66FF">
            <w:pPr>
              <w:spacing w:beforeLines="20" w:before="48" w:afterLines="20" w:after="48"/>
              <w:rPr>
                <w:rFonts w:cs="Arial"/>
                <w:color w:val="000000"/>
              </w:rPr>
            </w:pPr>
            <w:r w:rsidRPr="004C66FF">
              <w:rPr>
                <w:rFonts w:cs="Arial"/>
                <w:color w:val="000000"/>
              </w:rPr>
              <w:t>mRAP</w:t>
            </w:r>
          </w:p>
        </w:tc>
        <w:tc>
          <w:tcPr>
            <w:tcW w:w="3854" w:type="pct"/>
            <w:tcBorders>
              <w:top w:val="nil"/>
              <w:left w:val="nil"/>
              <w:bottom w:val="nil"/>
              <w:right w:val="nil"/>
            </w:tcBorders>
            <w:shd w:val="clear" w:color="auto" w:fill="auto"/>
            <w:vAlign w:val="bottom"/>
          </w:tcPr>
          <w:p w14:paraId="320FB828" w14:textId="77777777" w:rsidR="00AF191D" w:rsidRPr="004C66FF" w:rsidRDefault="0027496F" w:rsidP="004C66FF">
            <w:pPr>
              <w:spacing w:beforeLines="20" w:before="48" w:afterLines="20" w:after="48"/>
              <w:rPr>
                <w:rFonts w:cs="Arial"/>
                <w:color w:val="000000"/>
              </w:rPr>
            </w:pPr>
            <w:r w:rsidRPr="004C66FF">
              <w:rPr>
                <w:rFonts w:cs="Arial"/>
                <w:color w:val="000000"/>
              </w:rPr>
              <w:t>Mean right a</w:t>
            </w:r>
            <w:r w:rsidR="00AF191D" w:rsidRPr="004C66FF">
              <w:rPr>
                <w:rFonts w:cs="Arial"/>
                <w:color w:val="000000"/>
              </w:rPr>
              <w:t>tr</w:t>
            </w:r>
            <w:r w:rsidRPr="004C66FF">
              <w:rPr>
                <w:rFonts w:cs="Arial"/>
                <w:color w:val="000000"/>
              </w:rPr>
              <w:t>ial p</w:t>
            </w:r>
            <w:r w:rsidR="00AF191D" w:rsidRPr="004C66FF">
              <w:rPr>
                <w:rFonts w:cs="Arial"/>
                <w:color w:val="000000"/>
              </w:rPr>
              <w:t>ressure</w:t>
            </w:r>
          </w:p>
        </w:tc>
      </w:tr>
      <w:tr w:rsidR="00AF191D" w:rsidRPr="004C66FF" w14:paraId="4A310112" w14:textId="77777777" w:rsidTr="006C0DFB">
        <w:trPr>
          <w:trHeight w:val="170"/>
        </w:trPr>
        <w:tc>
          <w:tcPr>
            <w:tcW w:w="1146" w:type="pct"/>
            <w:tcBorders>
              <w:top w:val="nil"/>
              <w:left w:val="nil"/>
              <w:bottom w:val="nil"/>
              <w:right w:val="nil"/>
            </w:tcBorders>
            <w:shd w:val="clear" w:color="auto" w:fill="auto"/>
            <w:vAlign w:val="bottom"/>
          </w:tcPr>
          <w:p w14:paraId="6DF3C107" w14:textId="77777777" w:rsidR="00AF191D" w:rsidRPr="004C66FF" w:rsidRDefault="00AF191D" w:rsidP="004C66FF">
            <w:pPr>
              <w:spacing w:beforeLines="20" w:before="48" w:afterLines="20" w:after="48"/>
              <w:rPr>
                <w:rFonts w:cs="Arial"/>
                <w:color w:val="000000"/>
              </w:rPr>
            </w:pPr>
            <w:r w:rsidRPr="004C66FF">
              <w:rPr>
                <w:rFonts w:cs="Arial"/>
                <w:color w:val="000000"/>
              </w:rPr>
              <w:t>MRI</w:t>
            </w:r>
          </w:p>
        </w:tc>
        <w:tc>
          <w:tcPr>
            <w:tcW w:w="3854" w:type="pct"/>
            <w:tcBorders>
              <w:top w:val="nil"/>
              <w:left w:val="nil"/>
              <w:bottom w:val="nil"/>
              <w:right w:val="nil"/>
            </w:tcBorders>
            <w:shd w:val="clear" w:color="auto" w:fill="auto"/>
            <w:vAlign w:val="bottom"/>
          </w:tcPr>
          <w:p w14:paraId="3B4110DF" w14:textId="77777777" w:rsidR="00AF191D" w:rsidRPr="004C66FF" w:rsidRDefault="00F24DA7" w:rsidP="004C66FF">
            <w:pPr>
              <w:spacing w:beforeLines="20" w:before="48" w:afterLines="20" w:after="48"/>
              <w:rPr>
                <w:rFonts w:cs="Arial"/>
                <w:color w:val="000000"/>
              </w:rPr>
            </w:pPr>
            <w:r w:rsidRPr="004C66FF">
              <w:rPr>
                <w:rFonts w:cs="Arial"/>
                <w:color w:val="000000"/>
              </w:rPr>
              <w:t>Magnetic resonance imaging</w:t>
            </w:r>
          </w:p>
        </w:tc>
      </w:tr>
      <w:tr w:rsidR="00AF191D" w:rsidRPr="004C66FF" w14:paraId="22683E54" w14:textId="77777777" w:rsidTr="006C0DFB">
        <w:trPr>
          <w:trHeight w:val="170"/>
        </w:trPr>
        <w:tc>
          <w:tcPr>
            <w:tcW w:w="1146" w:type="pct"/>
            <w:tcBorders>
              <w:top w:val="nil"/>
              <w:left w:val="nil"/>
              <w:bottom w:val="nil"/>
              <w:right w:val="nil"/>
            </w:tcBorders>
            <w:shd w:val="clear" w:color="auto" w:fill="auto"/>
            <w:vAlign w:val="bottom"/>
          </w:tcPr>
          <w:p w14:paraId="5502E302" w14:textId="77777777" w:rsidR="00AF191D" w:rsidRPr="004C66FF" w:rsidRDefault="00AF191D" w:rsidP="004C66FF">
            <w:pPr>
              <w:spacing w:beforeLines="20" w:before="48" w:afterLines="20" w:after="48"/>
              <w:rPr>
                <w:rFonts w:cs="Arial"/>
                <w:color w:val="000000"/>
              </w:rPr>
            </w:pPr>
            <w:r w:rsidRPr="004C66FF">
              <w:rPr>
                <w:rFonts w:cs="Arial"/>
                <w:color w:val="000000"/>
              </w:rPr>
              <w:t>MTD</w:t>
            </w:r>
          </w:p>
        </w:tc>
        <w:tc>
          <w:tcPr>
            <w:tcW w:w="3854" w:type="pct"/>
            <w:tcBorders>
              <w:top w:val="nil"/>
              <w:left w:val="nil"/>
              <w:bottom w:val="nil"/>
              <w:right w:val="nil"/>
            </w:tcBorders>
            <w:shd w:val="clear" w:color="auto" w:fill="auto"/>
            <w:vAlign w:val="bottom"/>
          </w:tcPr>
          <w:p w14:paraId="6ACBAAE7" w14:textId="77777777" w:rsidR="00AF191D" w:rsidRPr="004C66FF" w:rsidRDefault="00F24DA7" w:rsidP="004C66FF">
            <w:pPr>
              <w:spacing w:beforeLines="20" w:before="48" w:afterLines="20" w:after="48"/>
              <w:rPr>
                <w:rFonts w:cs="Arial"/>
                <w:color w:val="000000"/>
              </w:rPr>
            </w:pPr>
            <w:r w:rsidRPr="004C66FF">
              <w:rPr>
                <w:rFonts w:cs="Arial"/>
                <w:color w:val="000000"/>
              </w:rPr>
              <w:t>Maximum tolerable dose</w:t>
            </w:r>
          </w:p>
        </w:tc>
      </w:tr>
      <w:tr w:rsidR="00AF191D" w:rsidRPr="004C66FF" w14:paraId="6B6B08C1" w14:textId="77777777" w:rsidTr="006C0DFB">
        <w:trPr>
          <w:trHeight w:val="170"/>
        </w:trPr>
        <w:tc>
          <w:tcPr>
            <w:tcW w:w="1146" w:type="pct"/>
            <w:tcBorders>
              <w:top w:val="nil"/>
              <w:left w:val="nil"/>
              <w:bottom w:val="nil"/>
              <w:right w:val="nil"/>
            </w:tcBorders>
            <w:shd w:val="clear" w:color="auto" w:fill="auto"/>
            <w:vAlign w:val="bottom"/>
          </w:tcPr>
          <w:p w14:paraId="142BF143" w14:textId="77777777" w:rsidR="00AF191D" w:rsidRPr="004C66FF" w:rsidRDefault="00AF191D" w:rsidP="004C66FF">
            <w:pPr>
              <w:spacing w:beforeLines="20" w:before="48" w:afterLines="20" w:after="48"/>
              <w:rPr>
                <w:rFonts w:cs="Arial"/>
                <w:color w:val="000000"/>
              </w:rPr>
            </w:pPr>
            <w:r w:rsidRPr="004C66FF">
              <w:rPr>
                <w:rFonts w:cs="Arial"/>
                <w:color w:val="000000"/>
              </w:rPr>
              <w:t>NHS</w:t>
            </w:r>
          </w:p>
        </w:tc>
        <w:tc>
          <w:tcPr>
            <w:tcW w:w="3854" w:type="pct"/>
            <w:tcBorders>
              <w:top w:val="nil"/>
              <w:left w:val="nil"/>
              <w:bottom w:val="nil"/>
              <w:right w:val="nil"/>
            </w:tcBorders>
            <w:shd w:val="clear" w:color="auto" w:fill="auto"/>
            <w:vAlign w:val="bottom"/>
          </w:tcPr>
          <w:p w14:paraId="74D35B86" w14:textId="77777777" w:rsidR="00AF191D" w:rsidRPr="004C66FF" w:rsidRDefault="00AF191D" w:rsidP="004C66FF">
            <w:pPr>
              <w:spacing w:beforeLines="20" w:before="48" w:afterLines="20" w:after="48"/>
              <w:rPr>
                <w:rFonts w:cs="Arial"/>
                <w:color w:val="000000"/>
              </w:rPr>
            </w:pPr>
            <w:r w:rsidRPr="004C66FF">
              <w:rPr>
                <w:rFonts w:cs="Arial"/>
                <w:color w:val="000000"/>
              </w:rPr>
              <w:t>National Health Service (United Kingdom)</w:t>
            </w:r>
          </w:p>
        </w:tc>
      </w:tr>
      <w:tr w:rsidR="00AF191D" w:rsidRPr="004C66FF" w14:paraId="12F35F61" w14:textId="77777777" w:rsidTr="006C0DFB">
        <w:trPr>
          <w:trHeight w:val="170"/>
        </w:trPr>
        <w:tc>
          <w:tcPr>
            <w:tcW w:w="1146" w:type="pct"/>
            <w:tcBorders>
              <w:top w:val="nil"/>
              <w:left w:val="nil"/>
              <w:bottom w:val="nil"/>
              <w:right w:val="nil"/>
            </w:tcBorders>
            <w:shd w:val="clear" w:color="auto" w:fill="auto"/>
            <w:vAlign w:val="bottom"/>
          </w:tcPr>
          <w:p w14:paraId="043BD5AB" w14:textId="77777777" w:rsidR="00AF191D" w:rsidRPr="004C66FF" w:rsidRDefault="00AF191D" w:rsidP="004C66FF">
            <w:pPr>
              <w:spacing w:beforeLines="20" w:before="48" w:afterLines="20" w:after="48"/>
              <w:rPr>
                <w:rFonts w:cs="Arial"/>
                <w:color w:val="000000"/>
              </w:rPr>
            </w:pPr>
            <w:r w:rsidRPr="004C66FF">
              <w:rPr>
                <w:rFonts w:cs="Arial"/>
                <w:color w:val="000000"/>
              </w:rPr>
              <w:t>NICE</w:t>
            </w:r>
          </w:p>
        </w:tc>
        <w:tc>
          <w:tcPr>
            <w:tcW w:w="3854" w:type="pct"/>
            <w:tcBorders>
              <w:top w:val="nil"/>
              <w:left w:val="nil"/>
              <w:bottom w:val="nil"/>
              <w:right w:val="nil"/>
            </w:tcBorders>
            <w:shd w:val="clear" w:color="auto" w:fill="auto"/>
            <w:vAlign w:val="bottom"/>
          </w:tcPr>
          <w:p w14:paraId="0680B6D9" w14:textId="77777777" w:rsidR="00AF191D" w:rsidRPr="004C66FF" w:rsidRDefault="00AF191D" w:rsidP="004C66FF">
            <w:pPr>
              <w:spacing w:beforeLines="20" w:before="48" w:afterLines="20" w:after="48"/>
              <w:rPr>
                <w:rFonts w:cs="Arial"/>
                <w:color w:val="000000"/>
              </w:rPr>
            </w:pPr>
            <w:r w:rsidRPr="004C66FF">
              <w:rPr>
                <w:rFonts w:cs="Arial"/>
                <w:color w:val="000000"/>
              </w:rPr>
              <w:t>National Institute for Health and Care Excellence</w:t>
            </w:r>
          </w:p>
        </w:tc>
      </w:tr>
      <w:tr w:rsidR="00AF191D" w:rsidRPr="004C66FF" w14:paraId="368A8BAE" w14:textId="77777777" w:rsidTr="006C0DFB">
        <w:trPr>
          <w:trHeight w:val="170"/>
        </w:trPr>
        <w:tc>
          <w:tcPr>
            <w:tcW w:w="1146" w:type="pct"/>
            <w:tcBorders>
              <w:top w:val="nil"/>
              <w:left w:val="nil"/>
              <w:bottom w:val="nil"/>
              <w:right w:val="nil"/>
            </w:tcBorders>
            <w:shd w:val="clear" w:color="auto" w:fill="auto"/>
            <w:vAlign w:val="bottom"/>
          </w:tcPr>
          <w:p w14:paraId="1D9EB6BA" w14:textId="77777777" w:rsidR="00AF191D" w:rsidRPr="004C66FF" w:rsidRDefault="00AF191D" w:rsidP="004C66FF">
            <w:pPr>
              <w:spacing w:beforeLines="20" w:before="48" w:afterLines="20" w:after="48"/>
              <w:rPr>
                <w:rFonts w:cs="Arial"/>
                <w:color w:val="000000"/>
              </w:rPr>
            </w:pPr>
            <w:r w:rsidRPr="004C66FF">
              <w:rPr>
                <w:rFonts w:cs="Arial"/>
                <w:color w:val="000000"/>
              </w:rPr>
              <w:t>NT-</w:t>
            </w:r>
            <w:proofErr w:type="spellStart"/>
            <w:r w:rsidRPr="004C66FF">
              <w:rPr>
                <w:rFonts w:cs="Arial"/>
                <w:color w:val="000000"/>
              </w:rPr>
              <w:t>proBNP</w:t>
            </w:r>
            <w:proofErr w:type="spellEnd"/>
          </w:p>
        </w:tc>
        <w:tc>
          <w:tcPr>
            <w:tcW w:w="3854" w:type="pct"/>
            <w:tcBorders>
              <w:top w:val="nil"/>
              <w:left w:val="nil"/>
              <w:bottom w:val="nil"/>
              <w:right w:val="nil"/>
            </w:tcBorders>
            <w:shd w:val="clear" w:color="auto" w:fill="auto"/>
            <w:vAlign w:val="bottom"/>
          </w:tcPr>
          <w:p w14:paraId="6CD4B0AB" w14:textId="77777777" w:rsidR="00AF191D" w:rsidRPr="004C66FF" w:rsidRDefault="00AF191D" w:rsidP="004C66FF">
            <w:pPr>
              <w:spacing w:beforeLines="20" w:before="48" w:afterLines="20" w:after="48"/>
              <w:rPr>
                <w:rFonts w:cs="Arial"/>
                <w:color w:val="000000"/>
              </w:rPr>
            </w:pPr>
            <w:r w:rsidRPr="004C66FF">
              <w:rPr>
                <w:rFonts w:cs="Arial"/>
                <w:color w:val="000000"/>
              </w:rPr>
              <w:t xml:space="preserve">N-terminal pro-B-type </w:t>
            </w:r>
            <w:r w:rsidR="00F24DA7" w:rsidRPr="004C66FF">
              <w:rPr>
                <w:rFonts w:cs="Arial"/>
                <w:color w:val="000000"/>
              </w:rPr>
              <w:t>natriuretic peptide</w:t>
            </w:r>
          </w:p>
        </w:tc>
      </w:tr>
      <w:tr w:rsidR="00AF191D" w:rsidRPr="004C66FF" w14:paraId="21D6E28B" w14:textId="77777777" w:rsidTr="006C0DFB">
        <w:trPr>
          <w:trHeight w:val="170"/>
        </w:trPr>
        <w:tc>
          <w:tcPr>
            <w:tcW w:w="1146" w:type="pct"/>
            <w:tcBorders>
              <w:top w:val="nil"/>
              <w:left w:val="nil"/>
              <w:bottom w:val="nil"/>
              <w:right w:val="nil"/>
            </w:tcBorders>
            <w:shd w:val="clear" w:color="auto" w:fill="auto"/>
            <w:vAlign w:val="bottom"/>
          </w:tcPr>
          <w:p w14:paraId="7C1D59EA" w14:textId="77777777" w:rsidR="00AF191D" w:rsidRPr="004C66FF" w:rsidRDefault="00AF191D" w:rsidP="004C66FF">
            <w:pPr>
              <w:spacing w:beforeLines="20" w:before="48" w:afterLines="20" w:after="48"/>
              <w:rPr>
                <w:rFonts w:cs="Arial"/>
                <w:color w:val="000000"/>
              </w:rPr>
            </w:pPr>
            <w:r w:rsidRPr="004C66FF">
              <w:rPr>
                <w:rFonts w:cs="Arial"/>
                <w:color w:val="000000"/>
              </w:rPr>
              <w:t>NYHA</w:t>
            </w:r>
          </w:p>
        </w:tc>
        <w:tc>
          <w:tcPr>
            <w:tcW w:w="3854" w:type="pct"/>
            <w:tcBorders>
              <w:top w:val="nil"/>
              <w:left w:val="nil"/>
              <w:bottom w:val="nil"/>
              <w:right w:val="nil"/>
            </w:tcBorders>
            <w:shd w:val="clear" w:color="auto" w:fill="auto"/>
            <w:vAlign w:val="bottom"/>
          </w:tcPr>
          <w:p w14:paraId="0D0F5FB2" w14:textId="77777777" w:rsidR="00AF191D" w:rsidRPr="004C66FF" w:rsidRDefault="00AF191D" w:rsidP="004C66FF">
            <w:pPr>
              <w:spacing w:beforeLines="20" w:before="48" w:afterLines="20" w:after="48"/>
              <w:rPr>
                <w:rFonts w:cs="Arial"/>
                <w:color w:val="000000"/>
              </w:rPr>
            </w:pPr>
            <w:r w:rsidRPr="004C66FF">
              <w:rPr>
                <w:rFonts w:cs="Arial"/>
                <w:color w:val="000000"/>
              </w:rPr>
              <w:t>New York Heart Association</w:t>
            </w:r>
          </w:p>
        </w:tc>
      </w:tr>
      <w:tr w:rsidR="00AF191D" w:rsidRPr="004C66FF" w14:paraId="2D1D49AF" w14:textId="77777777" w:rsidTr="006C0DFB">
        <w:trPr>
          <w:trHeight w:val="170"/>
        </w:trPr>
        <w:tc>
          <w:tcPr>
            <w:tcW w:w="1146" w:type="pct"/>
            <w:tcBorders>
              <w:top w:val="nil"/>
              <w:left w:val="nil"/>
              <w:bottom w:val="nil"/>
              <w:right w:val="nil"/>
            </w:tcBorders>
            <w:shd w:val="clear" w:color="auto" w:fill="auto"/>
            <w:vAlign w:val="bottom"/>
          </w:tcPr>
          <w:p w14:paraId="4BBDAEC9" w14:textId="77777777" w:rsidR="00AF191D" w:rsidRPr="004C66FF" w:rsidRDefault="00AF191D" w:rsidP="004C66FF">
            <w:pPr>
              <w:spacing w:beforeLines="20" w:before="48" w:afterLines="20" w:after="48"/>
              <w:rPr>
                <w:rFonts w:cs="Arial"/>
                <w:color w:val="000000"/>
              </w:rPr>
            </w:pPr>
            <w:r w:rsidRPr="004C66FF">
              <w:rPr>
                <w:rFonts w:cs="Arial"/>
                <w:color w:val="000000"/>
              </w:rPr>
              <w:t>PAH</w:t>
            </w:r>
          </w:p>
        </w:tc>
        <w:tc>
          <w:tcPr>
            <w:tcW w:w="3854" w:type="pct"/>
            <w:tcBorders>
              <w:top w:val="nil"/>
              <w:left w:val="nil"/>
              <w:bottom w:val="nil"/>
              <w:right w:val="nil"/>
            </w:tcBorders>
            <w:shd w:val="clear" w:color="auto" w:fill="auto"/>
            <w:vAlign w:val="bottom"/>
          </w:tcPr>
          <w:p w14:paraId="46E72904" w14:textId="77777777" w:rsidR="00AF191D" w:rsidRPr="004C66FF" w:rsidRDefault="00AF191D" w:rsidP="004C66FF">
            <w:pPr>
              <w:spacing w:beforeLines="20" w:before="48" w:afterLines="20" w:after="48"/>
              <w:rPr>
                <w:rFonts w:cs="Arial"/>
                <w:color w:val="000000"/>
              </w:rPr>
            </w:pPr>
            <w:r w:rsidRPr="004C66FF">
              <w:rPr>
                <w:rFonts w:cs="Arial"/>
                <w:color w:val="000000"/>
              </w:rPr>
              <w:t xml:space="preserve">Pulmonary </w:t>
            </w:r>
            <w:r w:rsidR="00F24DA7" w:rsidRPr="004C66FF">
              <w:rPr>
                <w:rFonts w:cs="Arial"/>
                <w:color w:val="000000"/>
              </w:rPr>
              <w:t>arterial hypertension</w:t>
            </w:r>
          </w:p>
        </w:tc>
      </w:tr>
      <w:tr w:rsidR="00AF191D" w:rsidRPr="004C66FF" w14:paraId="6B6A7586" w14:textId="77777777" w:rsidTr="006C0DFB">
        <w:trPr>
          <w:trHeight w:val="170"/>
        </w:trPr>
        <w:tc>
          <w:tcPr>
            <w:tcW w:w="1146" w:type="pct"/>
            <w:tcBorders>
              <w:top w:val="nil"/>
              <w:left w:val="nil"/>
              <w:bottom w:val="nil"/>
              <w:right w:val="nil"/>
            </w:tcBorders>
            <w:shd w:val="clear" w:color="auto" w:fill="auto"/>
            <w:vAlign w:val="bottom"/>
          </w:tcPr>
          <w:p w14:paraId="57A08023" w14:textId="77777777" w:rsidR="00AF191D" w:rsidRPr="004C66FF" w:rsidRDefault="00AF191D" w:rsidP="004C66FF">
            <w:pPr>
              <w:spacing w:beforeLines="20" w:before="48" w:afterLines="20" w:after="48"/>
              <w:rPr>
                <w:rFonts w:cs="Arial"/>
                <w:color w:val="000000"/>
              </w:rPr>
            </w:pPr>
            <w:r w:rsidRPr="004C66FF">
              <w:rPr>
                <w:rFonts w:cs="Arial"/>
                <w:color w:val="000000"/>
              </w:rPr>
              <w:t>PAH-CHD</w:t>
            </w:r>
          </w:p>
        </w:tc>
        <w:tc>
          <w:tcPr>
            <w:tcW w:w="3854" w:type="pct"/>
            <w:tcBorders>
              <w:top w:val="nil"/>
              <w:left w:val="nil"/>
              <w:bottom w:val="nil"/>
              <w:right w:val="nil"/>
            </w:tcBorders>
            <w:shd w:val="clear" w:color="auto" w:fill="auto"/>
            <w:vAlign w:val="bottom"/>
          </w:tcPr>
          <w:p w14:paraId="43609615" w14:textId="77777777" w:rsidR="00AF191D" w:rsidRPr="004C66FF" w:rsidRDefault="00F24DA7" w:rsidP="004C66FF">
            <w:pPr>
              <w:spacing w:beforeLines="20" w:before="48" w:afterLines="20" w:after="48"/>
              <w:rPr>
                <w:rFonts w:cs="Arial"/>
                <w:color w:val="000000"/>
              </w:rPr>
            </w:pPr>
            <w:r w:rsidRPr="004C66FF">
              <w:rPr>
                <w:rFonts w:cs="Arial"/>
                <w:color w:val="000000"/>
              </w:rPr>
              <w:t>PAH</w:t>
            </w:r>
            <w:r w:rsidR="00AF191D" w:rsidRPr="004C66FF">
              <w:rPr>
                <w:rFonts w:cs="Arial"/>
                <w:color w:val="000000"/>
              </w:rPr>
              <w:t xml:space="preserve"> associated with </w:t>
            </w:r>
            <w:r w:rsidRPr="004C66FF">
              <w:rPr>
                <w:rFonts w:cs="Arial"/>
                <w:color w:val="000000"/>
              </w:rPr>
              <w:t>congenital heart disease</w:t>
            </w:r>
          </w:p>
        </w:tc>
      </w:tr>
      <w:tr w:rsidR="00AF191D" w:rsidRPr="004C66FF" w14:paraId="4D963986" w14:textId="77777777" w:rsidTr="006C0DFB">
        <w:trPr>
          <w:trHeight w:val="170"/>
        </w:trPr>
        <w:tc>
          <w:tcPr>
            <w:tcW w:w="1146" w:type="pct"/>
            <w:tcBorders>
              <w:top w:val="nil"/>
              <w:left w:val="nil"/>
              <w:bottom w:val="nil"/>
              <w:right w:val="nil"/>
            </w:tcBorders>
            <w:shd w:val="clear" w:color="auto" w:fill="auto"/>
            <w:vAlign w:val="bottom"/>
          </w:tcPr>
          <w:p w14:paraId="6E2B83F9" w14:textId="77777777" w:rsidR="00AF191D" w:rsidRPr="004C66FF" w:rsidRDefault="00AF191D" w:rsidP="004C66FF">
            <w:pPr>
              <w:spacing w:beforeLines="20" w:before="48" w:afterLines="20" w:after="48"/>
              <w:rPr>
                <w:rFonts w:cs="Arial"/>
                <w:color w:val="000000"/>
              </w:rPr>
            </w:pPr>
            <w:r w:rsidRPr="004C66FF">
              <w:rPr>
                <w:rFonts w:cs="Arial"/>
                <w:color w:val="000000"/>
              </w:rPr>
              <w:t>PAH-CTD</w:t>
            </w:r>
          </w:p>
        </w:tc>
        <w:tc>
          <w:tcPr>
            <w:tcW w:w="3854" w:type="pct"/>
            <w:tcBorders>
              <w:top w:val="nil"/>
              <w:left w:val="nil"/>
              <w:bottom w:val="nil"/>
              <w:right w:val="nil"/>
            </w:tcBorders>
            <w:shd w:val="clear" w:color="auto" w:fill="auto"/>
            <w:vAlign w:val="bottom"/>
          </w:tcPr>
          <w:p w14:paraId="1672CFAF" w14:textId="77777777" w:rsidR="00AF191D" w:rsidRPr="004C66FF" w:rsidRDefault="00F24DA7" w:rsidP="004C66FF">
            <w:pPr>
              <w:spacing w:beforeLines="20" w:before="48" w:afterLines="20" w:after="48"/>
              <w:rPr>
                <w:rFonts w:cs="Arial"/>
                <w:color w:val="000000"/>
              </w:rPr>
            </w:pPr>
            <w:r w:rsidRPr="004C66FF">
              <w:rPr>
                <w:rFonts w:cs="Arial"/>
                <w:color w:val="000000"/>
              </w:rPr>
              <w:t>PAH</w:t>
            </w:r>
            <w:r w:rsidR="00AF191D" w:rsidRPr="004C66FF">
              <w:rPr>
                <w:rFonts w:cs="Arial"/>
                <w:color w:val="000000"/>
              </w:rPr>
              <w:t xml:space="preserve"> associated with </w:t>
            </w:r>
            <w:r w:rsidRPr="004C66FF">
              <w:rPr>
                <w:rFonts w:cs="Arial"/>
                <w:color w:val="000000"/>
              </w:rPr>
              <w:t>connective tissue disease</w:t>
            </w:r>
          </w:p>
        </w:tc>
      </w:tr>
      <w:tr w:rsidR="00AF191D" w:rsidRPr="004C66FF" w14:paraId="0B3788CC" w14:textId="77777777" w:rsidTr="006C0DFB">
        <w:trPr>
          <w:trHeight w:val="170"/>
        </w:trPr>
        <w:tc>
          <w:tcPr>
            <w:tcW w:w="1146" w:type="pct"/>
            <w:tcBorders>
              <w:top w:val="nil"/>
              <w:left w:val="nil"/>
              <w:bottom w:val="nil"/>
              <w:right w:val="nil"/>
            </w:tcBorders>
            <w:shd w:val="clear" w:color="auto" w:fill="auto"/>
          </w:tcPr>
          <w:p w14:paraId="1729B86D" w14:textId="77777777" w:rsidR="00AF191D" w:rsidRPr="004C66FF" w:rsidRDefault="00AF191D" w:rsidP="004C66FF">
            <w:pPr>
              <w:spacing w:beforeLines="20" w:before="48" w:afterLines="20" w:after="48"/>
              <w:rPr>
                <w:rFonts w:cs="Arial"/>
                <w:color w:val="000000"/>
              </w:rPr>
            </w:pPr>
            <w:r w:rsidRPr="004C66FF">
              <w:rPr>
                <w:rFonts w:cs="Arial"/>
                <w:color w:val="000000"/>
              </w:rPr>
              <w:t>PAH-HIV</w:t>
            </w:r>
          </w:p>
        </w:tc>
        <w:tc>
          <w:tcPr>
            <w:tcW w:w="3854" w:type="pct"/>
            <w:tcBorders>
              <w:top w:val="nil"/>
              <w:left w:val="nil"/>
              <w:bottom w:val="nil"/>
              <w:right w:val="nil"/>
            </w:tcBorders>
            <w:shd w:val="clear" w:color="auto" w:fill="auto"/>
            <w:vAlign w:val="bottom"/>
          </w:tcPr>
          <w:p w14:paraId="3694F2E8" w14:textId="77777777" w:rsidR="00AF191D" w:rsidRPr="004C66FF" w:rsidRDefault="00F24DA7" w:rsidP="004C66FF">
            <w:pPr>
              <w:spacing w:beforeLines="20" w:before="48" w:afterLines="20" w:after="48"/>
              <w:rPr>
                <w:rFonts w:cs="Arial"/>
                <w:color w:val="000000"/>
              </w:rPr>
            </w:pPr>
            <w:r w:rsidRPr="004C66FF">
              <w:rPr>
                <w:rFonts w:cs="Arial"/>
                <w:color w:val="000000"/>
              </w:rPr>
              <w:t>PAH</w:t>
            </w:r>
            <w:r w:rsidR="00AF191D" w:rsidRPr="004C66FF">
              <w:rPr>
                <w:rFonts w:cs="Arial"/>
                <w:color w:val="000000"/>
              </w:rPr>
              <w:t xml:space="preserve"> associated wi</w:t>
            </w:r>
            <w:r w:rsidRPr="004C66FF">
              <w:rPr>
                <w:rFonts w:cs="Arial"/>
                <w:color w:val="000000"/>
              </w:rPr>
              <w:t>th human immunodeficiency virus</w:t>
            </w:r>
          </w:p>
        </w:tc>
      </w:tr>
      <w:tr w:rsidR="00AF191D" w:rsidRPr="004C66FF" w14:paraId="33D6EE2E" w14:textId="77777777" w:rsidTr="006C0DFB">
        <w:trPr>
          <w:trHeight w:val="170"/>
        </w:trPr>
        <w:tc>
          <w:tcPr>
            <w:tcW w:w="1146" w:type="pct"/>
            <w:tcBorders>
              <w:top w:val="nil"/>
              <w:left w:val="nil"/>
              <w:bottom w:val="nil"/>
              <w:right w:val="nil"/>
            </w:tcBorders>
            <w:shd w:val="clear" w:color="auto" w:fill="auto"/>
          </w:tcPr>
          <w:p w14:paraId="6C87BDC4" w14:textId="77777777" w:rsidR="00AF191D" w:rsidRPr="004C66FF" w:rsidRDefault="00AF191D" w:rsidP="004C66FF">
            <w:pPr>
              <w:spacing w:beforeLines="20" w:before="48" w:afterLines="20" w:after="48"/>
              <w:rPr>
                <w:rFonts w:cs="Arial"/>
                <w:color w:val="000000"/>
              </w:rPr>
            </w:pPr>
            <w:r w:rsidRPr="004C66FF">
              <w:rPr>
                <w:rFonts w:cs="Arial"/>
                <w:color w:val="000000"/>
              </w:rPr>
              <w:t>PAH-PH</w:t>
            </w:r>
          </w:p>
        </w:tc>
        <w:tc>
          <w:tcPr>
            <w:tcW w:w="3854" w:type="pct"/>
            <w:tcBorders>
              <w:top w:val="nil"/>
              <w:left w:val="nil"/>
              <w:bottom w:val="nil"/>
              <w:right w:val="nil"/>
            </w:tcBorders>
            <w:shd w:val="clear" w:color="auto" w:fill="auto"/>
            <w:vAlign w:val="bottom"/>
          </w:tcPr>
          <w:p w14:paraId="2E88093B" w14:textId="77777777" w:rsidR="00AF191D" w:rsidRPr="004C66FF" w:rsidRDefault="00F24DA7" w:rsidP="004C66FF">
            <w:pPr>
              <w:spacing w:beforeLines="20" w:before="48" w:afterLines="20" w:after="48"/>
              <w:rPr>
                <w:rFonts w:cs="Arial"/>
                <w:color w:val="000000"/>
              </w:rPr>
            </w:pPr>
            <w:r w:rsidRPr="004C66FF">
              <w:rPr>
                <w:rFonts w:cs="Arial"/>
                <w:color w:val="000000"/>
              </w:rPr>
              <w:t>PAH</w:t>
            </w:r>
            <w:r w:rsidR="00AF191D" w:rsidRPr="004C66FF">
              <w:rPr>
                <w:rFonts w:cs="Arial"/>
                <w:color w:val="000000"/>
              </w:rPr>
              <w:t xml:space="preserve"> associated with portal hypertension</w:t>
            </w:r>
          </w:p>
        </w:tc>
      </w:tr>
      <w:tr w:rsidR="00AF191D" w:rsidRPr="004C66FF" w14:paraId="2946E512" w14:textId="77777777" w:rsidTr="006C0DFB">
        <w:trPr>
          <w:trHeight w:val="170"/>
        </w:trPr>
        <w:tc>
          <w:tcPr>
            <w:tcW w:w="1146" w:type="pct"/>
            <w:tcBorders>
              <w:top w:val="nil"/>
              <w:left w:val="nil"/>
              <w:bottom w:val="nil"/>
              <w:right w:val="nil"/>
            </w:tcBorders>
            <w:shd w:val="clear" w:color="auto" w:fill="auto"/>
          </w:tcPr>
          <w:p w14:paraId="577C3B11" w14:textId="77777777" w:rsidR="00AF191D" w:rsidRPr="004C66FF" w:rsidRDefault="00AF191D" w:rsidP="004C66FF">
            <w:pPr>
              <w:spacing w:beforeLines="20" w:before="48" w:afterLines="20" w:after="48"/>
              <w:rPr>
                <w:rFonts w:cs="Arial"/>
                <w:color w:val="000000"/>
              </w:rPr>
            </w:pPr>
            <w:r w:rsidRPr="004C66FF">
              <w:rPr>
                <w:rFonts w:cs="Arial"/>
                <w:color w:val="000000"/>
              </w:rPr>
              <w:t>PASP</w:t>
            </w:r>
          </w:p>
        </w:tc>
        <w:tc>
          <w:tcPr>
            <w:tcW w:w="3854" w:type="pct"/>
            <w:tcBorders>
              <w:top w:val="nil"/>
              <w:left w:val="nil"/>
              <w:bottom w:val="nil"/>
              <w:right w:val="nil"/>
            </w:tcBorders>
            <w:shd w:val="clear" w:color="auto" w:fill="auto"/>
            <w:vAlign w:val="bottom"/>
          </w:tcPr>
          <w:p w14:paraId="53F2EBA4" w14:textId="77777777" w:rsidR="00AF191D" w:rsidRPr="004C66FF" w:rsidRDefault="00F24DA7" w:rsidP="004C66FF">
            <w:pPr>
              <w:spacing w:beforeLines="20" w:before="48" w:afterLines="20" w:after="48"/>
              <w:rPr>
                <w:rFonts w:cs="Arial"/>
                <w:color w:val="000000"/>
              </w:rPr>
            </w:pPr>
            <w:r w:rsidRPr="004C66FF">
              <w:rPr>
                <w:rFonts w:cs="Arial"/>
                <w:color w:val="000000"/>
              </w:rPr>
              <w:t>Pulmonary artery systolic pressure</w:t>
            </w:r>
          </w:p>
        </w:tc>
      </w:tr>
      <w:tr w:rsidR="00AF191D" w:rsidRPr="004C66FF" w14:paraId="3186E467" w14:textId="77777777" w:rsidTr="006C0DFB">
        <w:trPr>
          <w:trHeight w:val="170"/>
        </w:trPr>
        <w:tc>
          <w:tcPr>
            <w:tcW w:w="1146" w:type="pct"/>
            <w:tcBorders>
              <w:top w:val="nil"/>
              <w:left w:val="nil"/>
              <w:bottom w:val="nil"/>
              <w:right w:val="nil"/>
            </w:tcBorders>
            <w:shd w:val="clear" w:color="auto" w:fill="auto"/>
            <w:vAlign w:val="bottom"/>
          </w:tcPr>
          <w:p w14:paraId="1FCEABFF" w14:textId="77777777" w:rsidR="00AF191D" w:rsidRPr="004C66FF" w:rsidRDefault="00AF191D" w:rsidP="004C66FF">
            <w:pPr>
              <w:spacing w:beforeLines="20" w:before="48" w:afterLines="20" w:after="48"/>
              <w:rPr>
                <w:rFonts w:cs="Arial"/>
                <w:color w:val="000000"/>
              </w:rPr>
            </w:pPr>
            <w:r w:rsidRPr="004C66FF">
              <w:rPr>
                <w:rFonts w:cs="Arial"/>
                <w:color w:val="000000"/>
              </w:rPr>
              <w:t>PAP</w:t>
            </w:r>
          </w:p>
        </w:tc>
        <w:tc>
          <w:tcPr>
            <w:tcW w:w="3854" w:type="pct"/>
            <w:tcBorders>
              <w:top w:val="nil"/>
              <w:left w:val="nil"/>
              <w:bottom w:val="nil"/>
              <w:right w:val="nil"/>
            </w:tcBorders>
            <w:shd w:val="clear" w:color="auto" w:fill="auto"/>
            <w:vAlign w:val="bottom"/>
          </w:tcPr>
          <w:p w14:paraId="56A921EA" w14:textId="77777777" w:rsidR="00AF191D" w:rsidRPr="004C66FF" w:rsidRDefault="00F24DA7" w:rsidP="004C66FF">
            <w:pPr>
              <w:spacing w:beforeLines="20" w:before="48" w:afterLines="20" w:after="48"/>
              <w:rPr>
                <w:rFonts w:cs="Arial"/>
                <w:color w:val="000000"/>
              </w:rPr>
            </w:pPr>
            <w:r w:rsidRPr="004C66FF">
              <w:rPr>
                <w:rFonts w:cs="Arial"/>
                <w:color w:val="000000"/>
              </w:rPr>
              <w:t>Pulmonary artery pressure</w:t>
            </w:r>
          </w:p>
        </w:tc>
      </w:tr>
      <w:tr w:rsidR="00AF191D" w:rsidRPr="004C66FF" w14:paraId="5F15E182" w14:textId="77777777" w:rsidTr="006C0DFB">
        <w:trPr>
          <w:trHeight w:val="170"/>
        </w:trPr>
        <w:tc>
          <w:tcPr>
            <w:tcW w:w="1146" w:type="pct"/>
            <w:tcBorders>
              <w:top w:val="nil"/>
              <w:left w:val="nil"/>
              <w:bottom w:val="nil"/>
              <w:right w:val="nil"/>
            </w:tcBorders>
            <w:shd w:val="clear" w:color="auto" w:fill="auto"/>
            <w:vAlign w:val="bottom"/>
          </w:tcPr>
          <w:p w14:paraId="1EF50775" w14:textId="77777777" w:rsidR="00AF191D" w:rsidRPr="004C66FF" w:rsidRDefault="00AF191D" w:rsidP="004C66FF">
            <w:pPr>
              <w:spacing w:beforeLines="20" w:before="48" w:afterLines="20" w:after="48"/>
              <w:rPr>
                <w:rFonts w:cs="Arial"/>
                <w:color w:val="000000"/>
              </w:rPr>
            </w:pPr>
            <w:r w:rsidRPr="004C66FF">
              <w:rPr>
                <w:rFonts w:cs="Arial"/>
                <w:color w:val="000000"/>
              </w:rPr>
              <w:t>PAWP</w:t>
            </w:r>
          </w:p>
        </w:tc>
        <w:tc>
          <w:tcPr>
            <w:tcW w:w="3854" w:type="pct"/>
            <w:tcBorders>
              <w:top w:val="nil"/>
              <w:left w:val="nil"/>
              <w:bottom w:val="nil"/>
              <w:right w:val="nil"/>
            </w:tcBorders>
            <w:shd w:val="clear" w:color="auto" w:fill="auto"/>
            <w:vAlign w:val="bottom"/>
          </w:tcPr>
          <w:p w14:paraId="392BC448" w14:textId="77777777" w:rsidR="00AF191D" w:rsidRPr="004C66FF" w:rsidRDefault="00F24DA7" w:rsidP="004C66FF">
            <w:pPr>
              <w:spacing w:beforeLines="20" w:before="48" w:afterLines="20" w:after="48"/>
              <w:rPr>
                <w:rFonts w:cs="Arial"/>
                <w:color w:val="000000"/>
              </w:rPr>
            </w:pPr>
            <w:r w:rsidRPr="004C66FF">
              <w:rPr>
                <w:rFonts w:cs="Arial"/>
                <w:color w:val="000000"/>
              </w:rPr>
              <w:t>Pulmonary artery wedge pressure</w:t>
            </w:r>
          </w:p>
        </w:tc>
      </w:tr>
      <w:tr w:rsidR="00AF191D" w:rsidRPr="004C66FF" w14:paraId="60627555" w14:textId="77777777" w:rsidTr="006C0DFB">
        <w:trPr>
          <w:trHeight w:val="170"/>
        </w:trPr>
        <w:tc>
          <w:tcPr>
            <w:tcW w:w="1146" w:type="pct"/>
            <w:tcBorders>
              <w:top w:val="nil"/>
              <w:left w:val="nil"/>
              <w:bottom w:val="nil"/>
              <w:right w:val="nil"/>
            </w:tcBorders>
            <w:shd w:val="clear" w:color="auto" w:fill="auto"/>
            <w:vAlign w:val="bottom"/>
          </w:tcPr>
          <w:p w14:paraId="657932E2" w14:textId="77777777" w:rsidR="00AF191D" w:rsidRPr="004C66FF" w:rsidRDefault="00AF191D" w:rsidP="004C66FF">
            <w:pPr>
              <w:spacing w:beforeLines="20" w:before="48" w:afterLines="20" w:after="48"/>
              <w:rPr>
                <w:rFonts w:cs="Arial"/>
                <w:color w:val="000000"/>
              </w:rPr>
            </w:pPr>
            <w:r w:rsidRPr="004C66FF">
              <w:rPr>
                <w:rFonts w:cs="Arial"/>
                <w:color w:val="000000"/>
              </w:rPr>
              <w:t>PBAC</w:t>
            </w:r>
          </w:p>
        </w:tc>
        <w:tc>
          <w:tcPr>
            <w:tcW w:w="3854" w:type="pct"/>
            <w:tcBorders>
              <w:top w:val="nil"/>
              <w:left w:val="nil"/>
              <w:bottom w:val="nil"/>
              <w:right w:val="nil"/>
            </w:tcBorders>
            <w:shd w:val="clear" w:color="auto" w:fill="auto"/>
            <w:vAlign w:val="bottom"/>
          </w:tcPr>
          <w:p w14:paraId="75A1EF33" w14:textId="77777777" w:rsidR="00AF191D" w:rsidRPr="004C66FF" w:rsidRDefault="00AF191D" w:rsidP="004C66FF">
            <w:pPr>
              <w:spacing w:beforeLines="20" w:before="48" w:afterLines="20" w:after="48"/>
              <w:rPr>
                <w:rFonts w:cs="Arial"/>
                <w:color w:val="000000"/>
              </w:rPr>
            </w:pPr>
            <w:r w:rsidRPr="004C66FF">
              <w:rPr>
                <w:rFonts w:cs="Arial"/>
                <w:color w:val="000000"/>
              </w:rPr>
              <w:t>Pharmaceutical Benefits Advisory Committee</w:t>
            </w:r>
          </w:p>
        </w:tc>
      </w:tr>
      <w:tr w:rsidR="00AF191D" w:rsidRPr="004C66FF" w14:paraId="1D810DA8" w14:textId="77777777" w:rsidTr="006C0DFB">
        <w:trPr>
          <w:trHeight w:val="170"/>
        </w:trPr>
        <w:tc>
          <w:tcPr>
            <w:tcW w:w="1146" w:type="pct"/>
            <w:tcBorders>
              <w:top w:val="nil"/>
              <w:left w:val="nil"/>
              <w:bottom w:val="nil"/>
              <w:right w:val="nil"/>
            </w:tcBorders>
            <w:shd w:val="clear" w:color="auto" w:fill="auto"/>
            <w:vAlign w:val="bottom"/>
          </w:tcPr>
          <w:p w14:paraId="3C3C16D2" w14:textId="77777777" w:rsidR="00AF191D" w:rsidRPr="004C66FF" w:rsidRDefault="00AF191D" w:rsidP="004C66FF">
            <w:pPr>
              <w:spacing w:beforeLines="20" w:before="48" w:afterLines="20" w:after="48"/>
              <w:rPr>
                <w:rFonts w:cs="Arial"/>
                <w:color w:val="000000"/>
              </w:rPr>
            </w:pPr>
            <w:r w:rsidRPr="004C66FF">
              <w:rPr>
                <w:rFonts w:cs="Arial"/>
                <w:color w:val="000000"/>
              </w:rPr>
              <w:t>PBS</w:t>
            </w:r>
          </w:p>
        </w:tc>
        <w:tc>
          <w:tcPr>
            <w:tcW w:w="3854" w:type="pct"/>
            <w:tcBorders>
              <w:top w:val="nil"/>
              <w:left w:val="nil"/>
              <w:bottom w:val="nil"/>
              <w:right w:val="nil"/>
            </w:tcBorders>
            <w:shd w:val="clear" w:color="auto" w:fill="auto"/>
            <w:vAlign w:val="bottom"/>
          </w:tcPr>
          <w:p w14:paraId="68444111" w14:textId="77777777" w:rsidR="00AF191D" w:rsidRPr="004C66FF" w:rsidRDefault="00AF191D" w:rsidP="004C66FF">
            <w:pPr>
              <w:spacing w:beforeLines="20" w:before="48" w:afterLines="20" w:after="48"/>
              <w:rPr>
                <w:rFonts w:cs="Arial"/>
                <w:color w:val="000000"/>
              </w:rPr>
            </w:pPr>
            <w:r w:rsidRPr="004C66FF">
              <w:rPr>
                <w:rFonts w:cs="Arial"/>
                <w:color w:val="000000"/>
              </w:rPr>
              <w:t>Pharmaceutical Benefits Scheme</w:t>
            </w:r>
          </w:p>
        </w:tc>
      </w:tr>
      <w:tr w:rsidR="00AF191D" w:rsidRPr="004C66FF" w14:paraId="34ADE78C" w14:textId="77777777" w:rsidTr="006C0DFB">
        <w:trPr>
          <w:trHeight w:val="170"/>
        </w:trPr>
        <w:tc>
          <w:tcPr>
            <w:tcW w:w="1146" w:type="pct"/>
            <w:tcBorders>
              <w:top w:val="nil"/>
              <w:left w:val="nil"/>
              <w:bottom w:val="nil"/>
              <w:right w:val="nil"/>
            </w:tcBorders>
            <w:shd w:val="clear" w:color="auto" w:fill="auto"/>
            <w:vAlign w:val="bottom"/>
          </w:tcPr>
          <w:p w14:paraId="7AF5AFC2" w14:textId="77777777" w:rsidR="00AF191D" w:rsidRPr="004C66FF" w:rsidRDefault="00AF191D" w:rsidP="004C66FF">
            <w:pPr>
              <w:spacing w:beforeLines="20" w:before="48" w:afterLines="20" w:after="48"/>
              <w:rPr>
                <w:rFonts w:cs="Arial"/>
                <w:color w:val="000000"/>
              </w:rPr>
            </w:pPr>
            <w:r w:rsidRPr="004C66FF">
              <w:rPr>
                <w:rFonts w:cs="Arial"/>
                <w:color w:val="000000"/>
              </w:rPr>
              <w:t>PCWP</w:t>
            </w:r>
          </w:p>
        </w:tc>
        <w:tc>
          <w:tcPr>
            <w:tcW w:w="3854" w:type="pct"/>
            <w:tcBorders>
              <w:top w:val="nil"/>
              <w:left w:val="nil"/>
              <w:bottom w:val="nil"/>
              <w:right w:val="nil"/>
            </w:tcBorders>
            <w:shd w:val="clear" w:color="auto" w:fill="auto"/>
            <w:vAlign w:val="bottom"/>
          </w:tcPr>
          <w:p w14:paraId="3E649B7D" w14:textId="77777777" w:rsidR="00AF191D" w:rsidRPr="004C66FF" w:rsidRDefault="00AF191D" w:rsidP="004C66FF">
            <w:pPr>
              <w:spacing w:beforeLines="20" w:before="48" w:afterLines="20" w:after="48"/>
              <w:rPr>
                <w:rFonts w:cs="Arial"/>
                <w:color w:val="000000"/>
              </w:rPr>
            </w:pPr>
            <w:r w:rsidRPr="004C66FF">
              <w:rPr>
                <w:rFonts w:cs="Arial"/>
                <w:color w:val="000000"/>
              </w:rPr>
              <w:t xml:space="preserve">Pulmonary </w:t>
            </w:r>
            <w:r w:rsidR="00F24DA7" w:rsidRPr="004C66FF">
              <w:rPr>
                <w:rFonts w:cs="Arial"/>
                <w:color w:val="000000"/>
              </w:rPr>
              <w:t>capillary wedge pressure</w:t>
            </w:r>
          </w:p>
        </w:tc>
      </w:tr>
      <w:tr w:rsidR="00AF191D" w:rsidRPr="004C66FF" w14:paraId="69C279C5" w14:textId="77777777" w:rsidTr="006C0DFB">
        <w:trPr>
          <w:trHeight w:val="170"/>
        </w:trPr>
        <w:tc>
          <w:tcPr>
            <w:tcW w:w="1146" w:type="pct"/>
            <w:tcBorders>
              <w:top w:val="nil"/>
              <w:left w:val="nil"/>
              <w:bottom w:val="nil"/>
              <w:right w:val="nil"/>
            </w:tcBorders>
            <w:shd w:val="clear" w:color="auto" w:fill="auto"/>
            <w:vAlign w:val="bottom"/>
          </w:tcPr>
          <w:p w14:paraId="0E98B73C" w14:textId="77777777" w:rsidR="00AF191D" w:rsidRPr="004C66FF" w:rsidRDefault="00AF191D" w:rsidP="004C66FF">
            <w:pPr>
              <w:spacing w:beforeLines="20" w:before="48" w:afterLines="20" w:after="48"/>
              <w:rPr>
                <w:rFonts w:cs="Arial"/>
                <w:color w:val="000000"/>
              </w:rPr>
            </w:pPr>
            <w:r w:rsidRPr="004C66FF">
              <w:rPr>
                <w:rFonts w:cs="Arial"/>
                <w:color w:val="000000"/>
              </w:rPr>
              <w:t>PDE</w:t>
            </w:r>
            <w:r w:rsidRPr="004C66FF">
              <w:rPr>
                <w:rFonts w:cs="Arial"/>
                <w:color w:val="000000"/>
              </w:rPr>
              <w:noBreakHyphen/>
              <w:t>5</w:t>
            </w:r>
            <w:r w:rsidR="0027496F" w:rsidRPr="004C66FF">
              <w:rPr>
                <w:rFonts w:cs="Arial"/>
                <w:color w:val="000000"/>
              </w:rPr>
              <w:t xml:space="preserve"> i</w:t>
            </w:r>
            <w:r w:rsidRPr="004C66FF">
              <w:rPr>
                <w:rFonts w:cs="Arial"/>
                <w:color w:val="000000"/>
              </w:rPr>
              <w:t>nhibitor</w:t>
            </w:r>
          </w:p>
        </w:tc>
        <w:tc>
          <w:tcPr>
            <w:tcW w:w="3854" w:type="pct"/>
            <w:tcBorders>
              <w:top w:val="nil"/>
              <w:left w:val="nil"/>
              <w:bottom w:val="nil"/>
              <w:right w:val="nil"/>
            </w:tcBorders>
            <w:shd w:val="clear" w:color="auto" w:fill="auto"/>
            <w:vAlign w:val="bottom"/>
          </w:tcPr>
          <w:p w14:paraId="13BA3651" w14:textId="77777777" w:rsidR="00AF191D" w:rsidRPr="004C66FF" w:rsidRDefault="0027496F" w:rsidP="004C66FF">
            <w:pPr>
              <w:spacing w:beforeLines="20" w:before="48" w:afterLines="20" w:after="48"/>
              <w:rPr>
                <w:rFonts w:cs="Arial"/>
                <w:color w:val="000000"/>
              </w:rPr>
            </w:pPr>
            <w:r w:rsidRPr="004C66FF">
              <w:rPr>
                <w:rFonts w:cs="Arial"/>
                <w:color w:val="000000"/>
              </w:rPr>
              <w:t>Phosphodiesterase</w:t>
            </w:r>
            <w:r w:rsidR="00546064" w:rsidRPr="004C66FF">
              <w:rPr>
                <w:rFonts w:cs="Arial"/>
                <w:color w:val="000000"/>
              </w:rPr>
              <w:t xml:space="preserve"> type </w:t>
            </w:r>
            <w:r w:rsidRPr="004C66FF">
              <w:rPr>
                <w:rFonts w:cs="Arial"/>
                <w:color w:val="000000"/>
              </w:rPr>
              <w:t>5 i</w:t>
            </w:r>
            <w:r w:rsidR="00AF191D" w:rsidRPr="004C66FF">
              <w:rPr>
                <w:rFonts w:cs="Arial"/>
                <w:color w:val="000000"/>
              </w:rPr>
              <w:t>nhibitor</w:t>
            </w:r>
          </w:p>
        </w:tc>
      </w:tr>
      <w:tr w:rsidR="00AF191D" w:rsidRPr="004C66FF" w14:paraId="5713594A" w14:textId="77777777" w:rsidTr="006C0DFB">
        <w:trPr>
          <w:trHeight w:val="170"/>
        </w:trPr>
        <w:tc>
          <w:tcPr>
            <w:tcW w:w="1146" w:type="pct"/>
            <w:tcBorders>
              <w:top w:val="nil"/>
              <w:left w:val="nil"/>
              <w:bottom w:val="nil"/>
              <w:right w:val="nil"/>
            </w:tcBorders>
            <w:shd w:val="clear" w:color="auto" w:fill="auto"/>
            <w:vAlign w:val="bottom"/>
          </w:tcPr>
          <w:p w14:paraId="64C66B2F" w14:textId="77777777" w:rsidR="00AF191D" w:rsidRPr="004C66FF" w:rsidRDefault="00AF191D" w:rsidP="004C66FF">
            <w:pPr>
              <w:spacing w:beforeLines="20" w:before="48" w:afterLines="20" w:after="48"/>
              <w:rPr>
                <w:rFonts w:cs="Arial"/>
                <w:color w:val="000000"/>
              </w:rPr>
            </w:pPr>
            <w:r w:rsidRPr="004C66FF">
              <w:rPr>
                <w:rFonts w:cs="Arial"/>
                <w:color w:val="000000"/>
              </w:rPr>
              <w:t>PH</w:t>
            </w:r>
          </w:p>
        </w:tc>
        <w:tc>
          <w:tcPr>
            <w:tcW w:w="3854" w:type="pct"/>
            <w:tcBorders>
              <w:top w:val="nil"/>
              <w:left w:val="nil"/>
              <w:bottom w:val="nil"/>
              <w:right w:val="nil"/>
            </w:tcBorders>
            <w:shd w:val="clear" w:color="auto" w:fill="auto"/>
            <w:vAlign w:val="bottom"/>
          </w:tcPr>
          <w:p w14:paraId="2B0AC424" w14:textId="77777777" w:rsidR="00AF191D" w:rsidRPr="004C66FF" w:rsidRDefault="00AF191D" w:rsidP="004C66FF">
            <w:pPr>
              <w:spacing w:beforeLines="20" w:before="48" w:afterLines="20" w:after="48"/>
              <w:rPr>
                <w:rFonts w:cs="Arial"/>
                <w:color w:val="000000"/>
              </w:rPr>
            </w:pPr>
            <w:r w:rsidRPr="004C66FF">
              <w:rPr>
                <w:rFonts w:cs="Arial"/>
                <w:color w:val="000000"/>
              </w:rPr>
              <w:t xml:space="preserve">Pulmonary </w:t>
            </w:r>
            <w:r w:rsidR="00F24DA7" w:rsidRPr="004C66FF">
              <w:rPr>
                <w:rFonts w:cs="Arial"/>
                <w:color w:val="000000"/>
              </w:rPr>
              <w:t>h</w:t>
            </w:r>
            <w:r w:rsidRPr="004C66FF">
              <w:rPr>
                <w:rFonts w:cs="Arial"/>
                <w:color w:val="000000"/>
              </w:rPr>
              <w:t>ypertension</w:t>
            </w:r>
          </w:p>
        </w:tc>
      </w:tr>
      <w:tr w:rsidR="00BA6E87" w:rsidRPr="004C66FF" w14:paraId="0F13ECD9" w14:textId="77777777" w:rsidTr="006C0DFB">
        <w:trPr>
          <w:trHeight w:val="170"/>
        </w:trPr>
        <w:tc>
          <w:tcPr>
            <w:tcW w:w="1146" w:type="pct"/>
            <w:tcBorders>
              <w:top w:val="nil"/>
              <w:left w:val="nil"/>
              <w:bottom w:val="nil"/>
              <w:right w:val="nil"/>
            </w:tcBorders>
            <w:shd w:val="clear" w:color="auto" w:fill="auto"/>
            <w:vAlign w:val="bottom"/>
          </w:tcPr>
          <w:p w14:paraId="1C555F46" w14:textId="77777777" w:rsidR="00BA6E87" w:rsidRPr="004C66FF" w:rsidRDefault="00BA6E87" w:rsidP="004C66FF">
            <w:pPr>
              <w:spacing w:beforeLines="20" w:before="48" w:afterLines="20" w:after="48"/>
              <w:rPr>
                <w:rFonts w:cs="Arial"/>
                <w:color w:val="000000"/>
              </w:rPr>
            </w:pPr>
            <w:r w:rsidRPr="004C66FF">
              <w:rPr>
                <w:rFonts w:cs="Arial"/>
                <w:color w:val="000000"/>
              </w:rPr>
              <w:t>PHAA</w:t>
            </w:r>
          </w:p>
        </w:tc>
        <w:tc>
          <w:tcPr>
            <w:tcW w:w="3854" w:type="pct"/>
            <w:tcBorders>
              <w:top w:val="nil"/>
              <w:left w:val="nil"/>
              <w:bottom w:val="nil"/>
              <w:right w:val="nil"/>
            </w:tcBorders>
            <w:shd w:val="clear" w:color="auto" w:fill="auto"/>
            <w:vAlign w:val="bottom"/>
          </w:tcPr>
          <w:p w14:paraId="1234CFC8" w14:textId="77777777" w:rsidR="00BA6E87" w:rsidRPr="004C66FF" w:rsidRDefault="00BA6E87" w:rsidP="004C66FF">
            <w:pPr>
              <w:spacing w:beforeLines="20" w:before="48" w:afterLines="20" w:after="48"/>
              <w:rPr>
                <w:rFonts w:cs="Arial"/>
                <w:color w:val="000000"/>
              </w:rPr>
            </w:pPr>
            <w:r w:rsidRPr="004C66FF">
              <w:rPr>
                <w:rFonts w:cs="Arial"/>
                <w:color w:val="000000"/>
              </w:rPr>
              <w:t>Pulmonary Hypertension Association Australia</w:t>
            </w:r>
          </w:p>
        </w:tc>
      </w:tr>
      <w:tr w:rsidR="00AF191D" w:rsidRPr="004C66FF" w14:paraId="04767C60" w14:textId="77777777" w:rsidTr="006C0DFB">
        <w:trPr>
          <w:trHeight w:val="170"/>
        </w:trPr>
        <w:tc>
          <w:tcPr>
            <w:tcW w:w="1146" w:type="pct"/>
            <w:tcBorders>
              <w:top w:val="nil"/>
              <w:left w:val="nil"/>
              <w:bottom w:val="nil"/>
              <w:right w:val="nil"/>
            </w:tcBorders>
            <w:shd w:val="clear" w:color="auto" w:fill="auto"/>
            <w:vAlign w:val="bottom"/>
          </w:tcPr>
          <w:p w14:paraId="0A71F55C" w14:textId="77777777" w:rsidR="00AF191D" w:rsidRPr="004C66FF" w:rsidRDefault="00AF191D" w:rsidP="004C66FF">
            <w:pPr>
              <w:spacing w:beforeLines="20" w:before="48" w:afterLines="20" w:after="48"/>
              <w:rPr>
                <w:rFonts w:cs="Arial"/>
                <w:color w:val="000000"/>
              </w:rPr>
            </w:pPr>
            <w:r w:rsidRPr="004C66FF">
              <w:rPr>
                <w:rFonts w:cs="Arial"/>
                <w:color w:val="000000"/>
              </w:rPr>
              <w:t>PHSANZ</w:t>
            </w:r>
          </w:p>
        </w:tc>
        <w:tc>
          <w:tcPr>
            <w:tcW w:w="3854" w:type="pct"/>
            <w:tcBorders>
              <w:top w:val="nil"/>
              <w:left w:val="nil"/>
              <w:bottom w:val="nil"/>
              <w:right w:val="nil"/>
            </w:tcBorders>
            <w:shd w:val="clear" w:color="auto" w:fill="auto"/>
            <w:vAlign w:val="bottom"/>
          </w:tcPr>
          <w:p w14:paraId="50DE8A8F" w14:textId="77777777" w:rsidR="00AF191D" w:rsidRPr="004C66FF" w:rsidRDefault="00AF191D" w:rsidP="004C66FF">
            <w:pPr>
              <w:spacing w:beforeLines="20" w:before="48" w:afterLines="20" w:after="48"/>
              <w:rPr>
                <w:rFonts w:cs="Arial"/>
                <w:color w:val="000000"/>
              </w:rPr>
            </w:pPr>
            <w:r w:rsidRPr="004C66FF">
              <w:rPr>
                <w:rFonts w:cs="Arial"/>
                <w:color w:val="000000"/>
              </w:rPr>
              <w:t>Pulmonary Hypertension Society of Australia and New Zealand</w:t>
            </w:r>
          </w:p>
        </w:tc>
      </w:tr>
      <w:tr w:rsidR="00AF191D" w:rsidRPr="004C66FF" w14:paraId="4A8ECED5" w14:textId="77777777" w:rsidTr="006C0DFB">
        <w:trPr>
          <w:trHeight w:val="170"/>
        </w:trPr>
        <w:tc>
          <w:tcPr>
            <w:tcW w:w="1146" w:type="pct"/>
            <w:tcBorders>
              <w:top w:val="nil"/>
              <w:left w:val="nil"/>
              <w:bottom w:val="nil"/>
              <w:right w:val="nil"/>
            </w:tcBorders>
            <w:shd w:val="clear" w:color="auto" w:fill="auto"/>
            <w:vAlign w:val="bottom"/>
          </w:tcPr>
          <w:p w14:paraId="508E1BFB" w14:textId="77777777" w:rsidR="00AF191D" w:rsidRPr="004C66FF" w:rsidRDefault="00AF191D" w:rsidP="004C66FF">
            <w:pPr>
              <w:spacing w:beforeLines="20" w:before="48" w:afterLines="20" w:after="48"/>
              <w:rPr>
                <w:rFonts w:cs="Arial"/>
                <w:color w:val="000000"/>
              </w:rPr>
            </w:pPr>
            <w:r w:rsidRPr="004C66FF">
              <w:rPr>
                <w:rFonts w:cs="Arial"/>
                <w:color w:val="000000"/>
              </w:rPr>
              <w:t>PI</w:t>
            </w:r>
          </w:p>
        </w:tc>
        <w:tc>
          <w:tcPr>
            <w:tcW w:w="3854" w:type="pct"/>
            <w:tcBorders>
              <w:top w:val="nil"/>
              <w:left w:val="nil"/>
              <w:bottom w:val="nil"/>
              <w:right w:val="nil"/>
            </w:tcBorders>
            <w:shd w:val="clear" w:color="auto" w:fill="auto"/>
            <w:vAlign w:val="bottom"/>
          </w:tcPr>
          <w:p w14:paraId="76D4535B" w14:textId="77777777" w:rsidR="00AF191D" w:rsidRPr="004C66FF" w:rsidRDefault="00F24DA7" w:rsidP="004C66FF">
            <w:pPr>
              <w:spacing w:beforeLines="20" w:before="48" w:afterLines="20" w:after="48"/>
              <w:rPr>
                <w:rFonts w:cs="Arial"/>
                <w:color w:val="000000"/>
              </w:rPr>
            </w:pPr>
            <w:r w:rsidRPr="004C66FF">
              <w:rPr>
                <w:rFonts w:cs="Arial"/>
                <w:color w:val="000000"/>
              </w:rPr>
              <w:t>Product i</w:t>
            </w:r>
            <w:r w:rsidR="00AF191D" w:rsidRPr="004C66FF">
              <w:rPr>
                <w:rFonts w:cs="Arial"/>
                <w:color w:val="000000"/>
              </w:rPr>
              <w:t>nformation</w:t>
            </w:r>
          </w:p>
        </w:tc>
      </w:tr>
      <w:tr w:rsidR="00AF191D" w:rsidRPr="004C66FF" w14:paraId="7B63A346" w14:textId="77777777" w:rsidTr="006C0DFB">
        <w:trPr>
          <w:trHeight w:val="170"/>
        </w:trPr>
        <w:tc>
          <w:tcPr>
            <w:tcW w:w="1146" w:type="pct"/>
            <w:tcBorders>
              <w:top w:val="nil"/>
              <w:left w:val="nil"/>
              <w:bottom w:val="nil"/>
              <w:right w:val="nil"/>
            </w:tcBorders>
            <w:shd w:val="clear" w:color="auto" w:fill="auto"/>
            <w:vAlign w:val="bottom"/>
          </w:tcPr>
          <w:p w14:paraId="63A1961F" w14:textId="77777777" w:rsidR="00AF191D" w:rsidRPr="004C66FF" w:rsidRDefault="00795AA3" w:rsidP="004C66FF">
            <w:pPr>
              <w:spacing w:beforeLines="20" w:before="48" w:afterLines="20" w:after="48"/>
              <w:rPr>
                <w:rFonts w:cs="Arial"/>
                <w:color w:val="000000"/>
              </w:rPr>
            </w:pPr>
            <w:r w:rsidRPr="004C66FF">
              <w:rPr>
                <w:rFonts w:cs="Arial"/>
                <w:color w:val="000000"/>
              </w:rPr>
              <w:t>PMR</w:t>
            </w:r>
          </w:p>
        </w:tc>
        <w:tc>
          <w:tcPr>
            <w:tcW w:w="3854" w:type="pct"/>
            <w:tcBorders>
              <w:top w:val="nil"/>
              <w:left w:val="nil"/>
              <w:bottom w:val="nil"/>
              <w:right w:val="nil"/>
            </w:tcBorders>
            <w:shd w:val="clear" w:color="auto" w:fill="auto"/>
            <w:vAlign w:val="bottom"/>
          </w:tcPr>
          <w:p w14:paraId="49090DCF" w14:textId="77777777" w:rsidR="00AF191D" w:rsidRPr="004C66FF" w:rsidRDefault="00795AA3" w:rsidP="004C66FF">
            <w:pPr>
              <w:spacing w:beforeLines="20" w:before="48" w:afterLines="20" w:after="48"/>
              <w:rPr>
                <w:rFonts w:cs="Arial"/>
                <w:color w:val="000000"/>
              </w:rPr>
            </w:pPr>
            <w:r w:rsidRPr="004C66FF">
              <w:rPr>
                <w:rFonts w:cs="Arial"/>
                <w:color w:val="000000"/>
              </w:rPr>
              <w:t>Post-market Review</w:t>
            </w:r>
          </w:p>
        </w:tc>
      </w:tr>
      <w:tr w:rsidR="00AF191D" w:rsidRPr="004C66FF" w14:paraId="44DC0236" w14:textId="77777777" w:rsidTr="006C0DFB">
        <w:trPr>
          <w:trHeight w:val="170"/>
        </w:trPr>
        <w:tc>
          <w:tcPr>
            <w:tcW w:w="1146" w:type="pct"/>
            <w:tcBorders>
              <w:top w:val="nil"/>
              <w:left w:val="nil"/>
              <w:bottom w:val="nil"/>
              <w:right w:val="nil"/>
            </w:tcBorders>
            <w:shd w:val="clear" w:color="auto" w:fill="auto"/>
            <w:vAlign w:val="bottom"/>
          </w:tcPr>
          <w:p w14:paraId="387BB5E8" w14:textId="77777777" w:rsidR="00AF191D" w:rsidRPr="004C66FF" w:rsidRDefault="00AF191D" w:rsidP="004C66FF">
            <w:pPr>
              <w:spacing w:beforeLines="20" w:before="48" w:afterLines="20" w:after="48"/>
              <w:rPr>
                <w:rFonts w:cs="Arial"/>
                <w:color w:val="000000"/>
              </w:rPr>
            </w:pPr>
            <w:r w:rsidRPr="004C66FF">
              <w:rPr>
                <w:rFonts w:cs="Arial"/>
                <w:color w:val="000000"/>
              </w:rPr>
              <w:t xml:space="preserve">PPH </w:t>
            </w:r>
          </w:p>
        </w:tc>
        <w:tc>
          <w:tcPr>
            <w:tcW w:w="3854" w:type="pct"/>
            <w:tcBorders>
              <w:top w:val="nil"/>
              <w:left w:val="nil"/>
              <w:bottom w:val="nil"/>
              <w:right w:val="nil"/>
            </w:tcBorders>
            <w:shd w:val="clear" w:color="auto" w:fill="auto"/>
            <w:vAlign w:val="bottom"/>
          </w:tcPr>
          <w:p w14:paraId="7CFE5A52" w14:textId="77777777" w:rsidR="00AF191D" w:rsidRPr="004C66FF" w:rsidRDefault="00F24DA7" w:rsidP="004C66FF">
            <w:pPr>
              <w:spacing w:beforeLines="20" w:before="48" w:afterLines="20" w:after="48"/>
              <w:rPr>
                <w:rFonts w:cs="Arial"/>
                <w:color w:val="000000"/>
              </w:rPr>
            </w:pPr>
            <w:r w:rsidRPr="004C66FF">
              <w:rPr>
                <w:rFonts w:cs="Arial"/>
                <w:color w:val="000000"/>
              </w:rPr>
              <w:t>Primary pulmonary hypertension</w:t>
            </w:r>
          </w:p>
        </w:tc>
      </w:tr>
      <w:tr w:rsidR="00AF191D" w:rsidRPr="004C66FF" w14:paraId="13FC6C2D" w14:textId="77777777" w:rsidTr="006C0DFB">
        <w:trPr>
          <w:trHeight w:val="170"/>
        </w:trPr>
        <w:tc>
          <w:tcPr>
            <w:tcW w:w="1146" w:type="pct"/>
            <w:tcBorders>
              <w:top w:val="nil"/>
              <w:left w:val="nil"/>
              <w:bottom w:val="nil"/>
              <w:right w:val="nil"/>
            </w:tcBorders>
            <w:shd w:val="clear" w:color="auto" w:fill="auto"/>
            <w:vAlign w:val="bottom"/>
          </w:tcPr>
          <w:p w14:paraId="474DA65C" w14:textId="77777777" w:rsidR="00AF191D" w:rsidRPr="004C66FF" w:rsidRDefault="00AF191D" w:rsidP="004C66FF">
            <w:pPr>
              <w:spacing w:beforeLines="20" w:before="48" w:afterLines="20" w:after="48"/>
              <w:rPr>
                <w:rFonts w:cs="Arial"/>
                <w:color w:val="000000"/>
              </w:rPr>
            </w:pPr>
            <w:r w:rsidRPr="004C66FF">
              <w:rPr>
                <w:rFonts w:cs="Arial"/>
                <w:color w:val="000000"/>
              </w:rPr>
              <w:t>PPHN</w:t>
            </w:r>
          </w:p>
        </w:tc>
        <w:tc>
          <w:tcPr>
            <w:tcW w:w="3854" w:type="pct"/>
            <w:tcBorders>
              <w:top w:val="nil"/>
              <w:left w:val="nil"/>
              <w:bottom w:val="nil"/>
              <w:right w:val="nil"/>
            </w:tcBorders>
            <w:shd w:val="clear" w:color="auto" w:fill="auto"/>
            <w:vAlign w:val="bottom"/>
          </w:tcPr>
          <w:p w14:paraId="08F401F9" w14:textId="77777777" w:rsidR="00AF191D" w:rsidRPr="004C66FF" w:rsidRDefault="0027496F" w:rsidP="004C66FF">
            <w:pPr>
              <w:spacing w:beforeLines="20" w:before="48" w:afterLines="20" w:after="48"/>
              <w:rPr>
                <w:rFonts w:cs="Arial"/>
                <w:color w:val="000000"/>
              </w:rPr>
            </w:pPr>
            <w:r w:rsidRPr="004C66FF">
              <w:rPr>
                <w:rFonts w:cs="Arial"/>
                <w:color w:val="000000"/>
              </w:rPr>
              <w:t>Persistent pulmonary hypertension of the n</w:t>
            </w:r>
            <w:r w:rsidR="00AF191D" w:rsidRPr="004C66FF">
              <w:rPr>
                <w:rFonts w:cs="Arial"/>
                <w:color w:val="000000"/>
              </w:rPr>
              <w:t>ewborn</w:t>
            </w:r>
          </w:p>
        </w:tc>
      </w:tr>
      <w:tr w:rsidR="00AF191D" w:rsidRPr="004C66FF" w14:paraId="6D89D6AE" w14:textId="77777777" w:rsidTr="006C0DFB">
        <w:trPr>
          <w:trHeight w:val="170"/>
        </w:trPr>
        <w:tc>
          <w:tcPr>
            <w:tcW w:w="1146" w:type="pct"/>
            <w:tcBorders>
              <w:top w:val="nil"/>
              <w:left w:val="nil"/>
              <w:bottom w:val="nil"/>
              <w:right w:val="nil"/>
            </w:tcBorders>
            <w:shd w:val="clear" w:color="auto" w:fill="auto"/>
            <w:vAlign w:val="bottom"/>
          </w:tcPr>
          <w:p w14:paraId="55CEAF19" w14:textId="77777777" w:rsidR="00AF191D" w:rsidRPr="004C66FF" w:rsidRDefault="00AF191D" w:rsidP="004C66FF">
            <w:pPr>
              <w:spacing w:beforeLines="20" w:before="48" w:afterLines="20" w:after="48"/>
              <w:rPr>
                <w:rFonts w:cs="Arial"/>
                <w:color w:val="000000"/>
              </w:rPr>
            </w:pPr>
            <w:r w:rsidRPr="004C66FF">
              <w:rPr>
                <w:rFonts w:cs="Arial"/>
                <w:color w:val="000000"/>
              </w:rPr>
              <w:t>PSD</w:t>
            </w:r>
          </w:p>
        </w:tc>
        <w:tc>
          <w:tcPr>
            <w:tcW w:w="3854" w:type="pct"/>
            <w:tcBorders>
              <w:top w:val="nil"/>
              <w:left w:val="nil"/>
              <w:bottom w:val="nil"/>
              <w:right w:val="nil"/>
            </w:tcBorders>
            <w:shd w:val="clear" w:color="auto" w:fill="auto"/>
            <w:vAlign w:val="bottom"/>
          </w:tcPr>
          <w:p w14:paraId="7520271F" w14:textId="77777777" w:rsidR="00AF191D" w:rsidRPr="004C66FF" w:rsidRDefault="00F24DA7" w:rsidP="004C66FF">
            <w:pPr>
              <w:spacing w:beforeLines="20" w:before="48" w:afterLines="20" w:after="48"/>
              <w:rPr>
                <w:rFonts w:cs="Arial"/>
                <w:color w:val="000000"/>
              </w:rPr>
            </w:pPr>
            <w:r w:rsidRPr="004C66FF">
              <w:rPr>
                <w:rFonts w:cs="Arial"/>
                <w:color w:val="000000"/>
              </w:rPr>
              <w:t>Public summary document</w:t>
            </w:r>
          </w:p>
        </w:tc>
      </w:tr>
      <w:tr w:rsidR="00AF191D" w:rsidRPr="004C66FF" w14:paraId="791DFA67" w14:textId="77777777" w:rsidTr="006C0DFB">
        <w:trPr>
          <w:trHeight w:val="170"/>
        </w:trPr>
        <w:tc>
          <w:tcPr>
            <w:tcW w:w="1146" w:type="pct"/>
            <w:tcBorders>
              <w:top w:val="nil"/>
              <w:left w:val="nil"/>
              <w:bottom w:val="nil"/>
              <w:right w:val="nil"/>
            </w:tcBorders>
            <w:shd w:val="clear" w:color="auto" w:fill="auto"/>
            <w:vAlign w:val="bottom"/>
          </w:tcPr>
          <w:p w14:paraId="5BFDCC51" w14:textId="77777777" w:rsidR="00AF191D" w:rsidRPr="004C66FF" w:rsidRDefault="00AF191D" w:rsidP="004C66FF">
            <w:pPr>
              <w:spacing w:beforeLines="20" w:before="48" w:afterLines="20" w:after="48"/>
              <w:rPr>
                <w:rFonts w:cs="Arial"/>
                <w:color w:val="000000"/>
              </w:rPr>
            </w:pPr>
            <w:r w:rsidRPr="004C66FF">
              <w:rPr>
                <w:rFonts w:cs="Arial"/>
                <w:color w:val="000000"/>
              </w:rPr>
              <w:t>PVR</w:t>
            </w:r>
          </w:p>
        </w:tc>
        <w:tc>
          <w:tcPr>
            <w:tcW w:w="3854" w:type="pct"/>
            <w:tcBorders>
              <w:top w:val="nil"/>
              <w:left w:val="nil"/>
              <w:bottom w:val="nil"/>
              <w:right w:val="nil"/>
            </w:tcBorders>
            <w:shd w:val="clear" w:color="auto" w:fill="auto"/>
            <w:vAlign w:val="bottom"/>
          </w:tcPr>
          <w:p w14:paraId="32942A0D" w14:textId="77777777" w:rsidR="00AF191D" w:rsidRPr="004C66FF" w:rsidRDefault="00F24DA7" w:rsidP="004C66FF">
            <w:pPr>
              <w:spacing w:beforeLines="20" w:before="48" w:afterLines="20" w:after="48"/>
              <w:rPr>
                <w:rFonts w:cs="Arial"/>
                <w:color w:val="000000"/>
              </w:rPr>
            </w:pPr>
            <w:r w:rsidRPr="004C66FF">
              <w:rPr>
                <w:rFonts w:cs="Arial"/>
                <w:color w:val="000000"/>
              </w:rPr>
              <w:t>Pulmonary vascular resistance</w:t>
            </w:r>
          </w:p>
        </w:tc>
      </w:tr>
      <w:tr w:rsidR="00AF191D" w:rsidRPr="004C66FF" w14:paraId="78A69DBC" w14:textId="77777777" w:rsidTr="006C0DFB">
        <w:trPr>
          <w:trHeight w:val="170"/>
        </w:trPr>
        <w:tc>
          <w:tcPr>
            <w:tcW w:w="1146" w:type="pct"/>
            <w:tcBorders>
              <w:top w:val="nil"/>
              <w:left w:val="nil"/>
              <w:bottom w:val="nil"/>
              <w:right w:val="nil"/>
            </w:tcBorders>
            <w:shd w:val="clear" w:color="auto" w:fill="auto"/>
            <w:vAlign w:val="bottom"/>
          </w:tcPr>
          <w:p w14:paraId="0E1C3EC7" w14:textId="77777777" w:rsidR="00AF191D" w:rsidRPr="004C66FF" w:rsidRDefault="00AF191D" w:rsidP="004C66FF">
            <w:pPr>
              <w:spacing w:beforeLines="20" w:before="48" w:afterLines="20" w:after="48"/>
              <w:rPr>
                <w:rFonts w:cs="Arial"/>
                <w:color w:val="000000"/>
              </w:rPr>
            </w:pPr>
            <w:r w:rsidRPr="004C66FF">
              <w:rPr>
                <w:rFonts w:cs="Arial"/>
                <w:color w:val="000000"/>
              </w:rPr>
              <w:t>RA</w:t>
            </w:r>
          </w:p>
        </w:tc>
        <w:tc>
          <w:tcPr>
            <w:tcW w:w="3854" w:type="pct"/>
            <w:tcBorders>
              <w:top w:val="nil"/>
              <w:left w:val="nil"/>
              <w:bottom w:val="nil"/>
              <w:right w:val="nil"/>
            </w:tcBorders>
            <w:shd w:val="clear" w:color="auto" w:fill="auto"/>
            <w:vAlign w:val="bottom"/>
          </w:tcPr>
          <w:p w14:paraId="6CA1076C" w14:textId="77777777" w:rsidR="00AF191D" w:rsidRPr="004C66FF" w:rsidRDefault="00F24DA7" w:rsidP="004C66FF">
            <w:pPr>
              <w:spacing w:beforeLines="20" w:before="48" w:afterLines="20" w:after="48"/>
              <w:rPr>
                <w:rFonts w:cs="Arial"/>
                <w:color w:val="000000"/>
              </w:rPr>
            </w:pPr>
            <w:r w:rsidRPr="004C66FF">
              <w:rPr>
                <w:rFonts w:cs="Arial"/>
                <w:color w:val="000000"/>
              </w:rPr>
              <w:t>Right atrial/atrium</w:t>
            </w:r>
          </w:p>
        </w:tc>
      </w:tr>
      <w:tr w:rsidR="00AF191D" w:rsidRPr="004C66FF" w14:paraId="6E3D41FF" w14:textId="77777777" w:rsidTr="006C0DFB">
        <w:trPr>
          <w:trHeight w:val="170"/>
        </w:trPr>
        <w:tc>
          <w:tcPr>
            <w:tcW w:w="1146" w:type="pct"/>
            <w:tcBorders>
              <w:top w:val="nil"/>
              <w:left w:val="nil"/>
              <w:bottom w:val="nil"/>
              <w:right w:val="nil"/>
            </w:tcBorders>
            <w:shd w:val="clear" w:color="auto" w:fill="auto"/>
            <w:vAlign w:val="bottom"/>
          </w:tcPr>
          <w:p w14:paraId="2AFE3DE5" w14:textId="77777777" w:rsidR="00AF191D" w:rsidRPr="004C66FF" w:rsidRDefault="00AF191D" w:rsidP="004C66FF">
            <w:pPr>
              <w:spacing w:beforeLines="20" w:before="48" w:afterLines="20" w:after="48"/>
              <w:rPr>
                <w:rFonts w:cs="Arial"/>
                <w:color w:val="000000"/>
              </w:rPr>
            </w:pPr>
            <w:r w:rsidRPr="004C66FF">
              <w:rPr>
                <w:rFonts w:cs="Arial"/>
                <w:color w:val="000000"/>
              </w:rPr>
              <w:t>RAP</w:t>
            </w:r>
          </w:p>
        </w:tc>
        <w:tc>
          <w:tcPr>
            <w:tcW w:w="3854" w:type="pct"/>
            <w:tcBorders>
              <w:top w:val="nil"/>
              <w:left w:val="nil"/>
              <w:bottom w:val="nil"/>
              <w:right w:val="nil"/>
            </w:tcBorders>
            <w:shd w:val="clear" w:color="auto" w:fill="auto"/>
            <w:vAlign w:val="bottom"/>
          </w:tcPr>
          <w:p w14:paraId="769932C2" w14:textId="77777777" w:rsidR="00AF191D" w:rsidRPr="004C66FF" w:rsidRDefault="00F24DA7" w:rsidP="004C66FF">
            <w:pPr>
              <w:spacing w:beforeLines="20" w:before="48" w:afterLines="20" w:after="48"/>
              <w:rPr>
                <w:rFonts w:cs="Arial"/>
                <w:color w:val="000000"/>
              </w:rPr>
            </w:pPr>
            <w:r w:rsidRPr="004C66FF">
              <w:rPr>
                <w:rFonts w:cs="Arial"/>
                <w:color w:val="000000"/>
              </w:rPr>
              <w:t>Right atrial pressure</w:t>
            </w:r>
          </w:p>
        </w:tc>
      </w:tr>
      <w:tr w:rsidR="00AF191D" w:rsidRPr="004C66FF" w14:paraId="46EB4D0C" w14:textId="77777777" w:rsidTr="006C0DFB">
        <w:trPr>
          <w:trHeight w:val="170"/>
        </w:trPr>
        <w:tc>
          <w:tcPr>
            <w:tcW w:w="1146" w:type="pct"/>
            <w:tcBorders>
              <w:top w:val="nil"/>
              <w:left w:val="nil"/>
              <w:bottom w:val="nil"/>
              <w:right w:val="nil"/>
            </w:tcBorders>
            <w:shd w:val="clear" w:color="auto" w:fill="auto"/>
            <w:vAlign w:val="bottom"/>
          </w:tcPr>
          <w:p w14:paraId="3F19C7DA" w14:textId="77777777" w:rsidR="00AF191D" w:rsidRPr="004C66FF" w:rsidRDefault="00795AA3" w:rsidP="004C66FF">
            <w:pPr>
              <w:spacing w:beforeLines="20" w:before="48" w:afterLines="20" w:after="48"/>
              <w:rPr>
                <w:rFonts w:cs="Arial"/>
                <w:color w:val="000000"/>
              </w:rPr>
            </w:pPr>
            <w:r w:rsidRPr="004C66FF">
              <w:rPr>
                <w:rFonts w:cs="Arial"/>
                <w:color w:val="000000"/>
              </w:rPr>
              <w:lastRenderedPageBreak/>
              <w:t>REVEAL registry</w:t>
            </w:r>
          </w:p>
        </w:tc>
        <w:tc>
          <w:tcPr>
            <w:tcW w:w="3854" w:type="pct"/>
            <w:tcBorders>
              <w:top w:val="nil"/>
              <w:left w:val="nil"/>
              <w:bottom w:val="nil"/>
              <w:right w:val="nil"/>
            </w:tcBorders>
            <w:shd w:val="clear" w:color="auto" w:fill="auto"/>
            <w:vAlign w:val="bottom"/>
          </w:tcPr>
          <w:p w14:paraId="5B14C58B" w14:textId="77777777" w:rsidR="00AF191D" w:rsidRPr="004C66FF" w:rsidRDefault="00795AA3" w:rsidP="004C66FF">
            <w:pPr>
              <w:spacing w:beforeLines="20" w:before="48" w:afterLines="20" w:after="48"/>
              <w:rPr>
                <w:rFonts w:cs="Arial"/>
                <w:color w:val="000000"/>
              </w:rPr>
            </w:pPr>
            <w:r w:rsidRPr="004C66FF">
              <w:rPr>
                <w:rFonts w:cs="Arial"/>
                <w:color w:val="000000"/>
              </w:rPr>
              <w:t>Registry to Evaluate Early And Long-term PAH Disease Management</w:t>
            </w:r>
          </w:p>
        </w:tc>
      </w:tr>
      <w:tr w:rsidR="00AF191D" w:rsidRPr="004C66FF" w14:paraId="19AFFD64" w14:textId="77777777" w:rsidTr="006C0DFB">
        <w:trPr>
          <w:trHeight w:val="170"/>
        </w:trPr>
        <w:tc>
          <w:tcPr>
            <w:tcW w:w="1146" w:type="pct"/>
            <w:tcBorders>
              <w:top w:val="nil"/>
              <w:left w:val="nil"/>
              <w:bottom w:val="nil"/>
              <w:right w:val="nil"/>
            </w:tcBorders>
            <w:shd w:val="clear" w:color="auto" w:fill="auto"/>
            <w:vAlign w:val="bottom"/>
          </w:tcPr>
          <w:p w14:paraId="4BF7A03F" w14:textId="77777777" w:rsidR="00AF191D" w:rsidRPr="004C66FF" w:rsidRDefault="00AF191D" w:rsidP="004C66FF">
            <w:pPr>
              <w:spacing w:beforeLines="20" w:before="48" w:afterLines="20" w:after="48"/>
              <w:rPr>
                <w:rFonts w:cs="Arial"/>
                <w:color w:val="000000"/>
              </w:rPr>
            </w:pPr>
            <w:r w:rsidRPr="004C66FF">
              <w:rPr>
                <w:rFonts w:cs="Arial"/>
                <w:color w:val="000000"/>
              </w:rPr>
              <w:t>RHC</w:t>
            </w:r>
          </w:p>
        </w:tc>
        <w:tc>
          <w:tcPr>
            <w:tcW w:w="3854" w:type="pct"/>
            <w:tcBorders>
              <w:top w:val="nil"/>
              <w:left w:val="nil"/>
              <w:bottom w:val="nil"/>
              <w:right w:val="nil"/>
            </w:tcBorders>
            <w:shd w:val="clear" w:color="auto" w:fill="auto"/>
            <w:vAlign w:val="bottom"/>
          </w:tcPr>
          <w:p w14:paraId="75CB7763" w14:textId="77777777" w:rsidR="00AF191D" w:rsidRPr="004C66FF" w:rsidRDefault="00AF191D" w:rsidP="004C66FF">
            <w:pPr>
              <w:spacing w:beforeLines="20" w:before="48" w:afterLines="20" w:after="48"/>
              <w:rPr>
                <w:rFonts w:cs="Arial"/>
                <w:color w:val="000000"/>
              </w:rPr>
            </w:pPr>
            <w:r w:rsidRPr="004C66FF">
              <w:rPr>
                <w:rFonts w:cs="Arial"/>
                <w:color w:val="000000"/>
              </w:rPr>
              <w:t xml:space="preserve">Right </w:t>
            </w:r>
            <w:r w:rsidR="00F24DA7" w:rsidRPr="004C66FF">
              <w:rPr>
                <w:rFonts w:cs="Arial"/>
                <w:color w:val="000000"/>
              </w:rPr>
              <w:t>h</w:t>
            </w:r>
            <w:r w:rsidRPr="004C66FF">
              <w:rPr>
                <w:rFonts w:cs="Arial"/>
                <w:color w:val="000000"/>
              </w:rPr>
              <w:t xml:space="preserve">eart </w:t>
            </w:r>
            <w:r w:rsidR="00F24DA7" w:rsidRPr="004C66FF">
              <w:rPr>
                <w:rFonts w:cs="Arial"/>
                <w:color w:val="000000"/>
              </w:rPr>
              <w:t>c</w:t>
            </w:r>
            <w:r w:rsidRPr="004C66FF">
              <w:rPr>
                <w:rFonts w:cs="Arial"/>
                <w:color w:val="000000"/>
              </w:rPr>
              <w:t>atheterisation</w:t>
            </w:r>
          </w:p>
        </w:tc>
      </w:tr>
      <w:tr w:rsidR="00AF191D" w:rsidRPr="004C66FF" w14:paraId="160BDDCE" w14:textId="77777777" w:rsidTr="006C0DFB">
        <w:trPr>
          <w:trHeight w:val="170"/>
        </w:trPr>
        <w:tc>
          <w:tcPr>
            <w:tcW w:w="1146" w:type="pct"/>
            <w:tcBorders>
              <w:top w:val="nil"/>
              <w:left w:val="nil"/>
              <w:bottom w:val="nil"/>
              <w:right w:val="nil"/>
            </w:tcBorders>
            <w:shd w:val="clear" w:color="auto" w:fill="auto"/>
            <w:vAlign w:val="bottom"/>
          </w:tcPr>
          <w:p w14:paraId="0F989283" w14:textId="77777777" w:rsidR="00AF191D" w:rsidRPr="004C66FF" w:rsidRDefault="00AF191D" w:rsidP="004C66FF">
            <w:pPr>
              <w:spacing w:beforeLines="20" w:before="48" w:afterLines="20" w:after="48"/>
              <w:rPr>
                <w:rFonts w:cs="Arial"/>
                <w:color w:val="000000"/>
              </w:rPr>
            </w:pPr>
            <w:r w:rsidRPr="004C66FF">
              <w:rPr>
                <w:rFonts w:cs="Arial"/>
                <w:color w:val="000000"/>
              </w:rPr>
              <w:t>RR</w:t>
            </w:r>
          </w:p>
        </w:tc>
        <w:tc>
          <w:tcPr>
            <w:tcW w:w="3854" w:type="pct"/>
            <w:tcBorders>
              <w:top w:val="nil"/>
              <w:left w:val="nil"/>
              <w:bottom w:val="nil"/>
              <w:right w:val="nil"/>
            </w:tcBorders>
            <w:shd w:val="clear" w:color="auto" w:fill="auto"/>
            <w:vAlign w:val="bottom"/>
          </w:tcPr>
          <w:p w14:paraId="6B39735E" w14:textId="77777777" w:rsidR="00AF191D" w:rsidRPr="004C66FF" w:rsidRDefault="00AF191D" w:rsidP="004C66FF">
            <w:pPr>
              <w:spacing w:beforeLines="20" w:before="48" w:afterLines="20" w:after="48"/>
              <w:rPr>
                <w:rFonts w:cs="Arial"/>
                <w:color w:val="000000"/>
              </w:rPr>
            </w:pPr>
            <w:r w:rsidRPr="004C66FF">
              <w:rPr>
                <w:rFonts w:cs="Arial"/>
                <w:color w:val="000000"/>
              </w:rPr>
              <w:t xml:space="preserve">Relative </w:t>
            </w:r>
            <w:r w:rsidR="00F24DA7" w:rsidRPr="004C66FF">
              <w:rPr>
                <w:rFonts w:cs="Arial"/>
                <w:color w:val="000000"/>
              </w:rPr>
              <w:t>r</w:t>
            </w:r>
            <w:r w:rsidRPr="004C66FF">
              <w:rPr>
                <w:rFonts w:cs="Arial"/>
                <w:color w:val="000000"/>
              </w:rPr>
              <w:t>isk</w:t>
            </w:r>
          </w:p>
        </w:tc>
      </w:tr>
      <w:tr w:rsidR="00AF191D" w:rsidRPr="004C66FF" w14:paraId="34952977" w14:textId="77777777" w:rsidTr="006C0DFB">
        <w:trPr>
          <w:trHeight w:val="170"/>
        </w:trPr>
        <w:tc>
          <w:tcPr>
            <w:tcW w:w="1146" w:type="pct"/>
            <w:tcBorders>
              <w:top w:val="nil"/>
              <w:left w:val="nil"/>
              <w:bottom w:val="nil"/>
              <w:right w:val="nil"/>
            </w:tcBorders>
            <w:shd w:val="clear" w:color="auto" w:fill="auto"/>
            <w:vAlign w:val="bottom"/>
          </w:tcPr>
          <w:p w14:paraId="6048D6AA" w14:textId="77777777" w:rsidR="00AF191D" w:rsidRPr="004C66FF" w:rsidRDefault="00AF191D" w:rsidP="004C66FF">
            <w:pPr>
              <w:spacing w:beforeLines="20" w:before="48" w:afterLines="20" w:after="48"/>
              <w:rPr>
                <w:rFonts w:cs="Arial"/>
                <w:color w:val="000000"/>
              </w:rPr>
            </w:pPr>
            <w:r w:rsidRPr="004C66FF">
              <w:rPr>
                <w:rFonts w:cs="Arial"/>
                <w:color w:val="000000"/>
              </w:rPr>
              <w:t>RVEF</w:t>
            </w:r>
          </w:p>
        </w:tc>
        <w:tc>
          <w:tcPr>
            <w:tcW w:w="3854" w:type="pct"/>
            <w:tcBorders>
              <w:top w:val="nil"/>
              <w:left w:val="nil"/>
              <w:bottom w:val="nil"/>
              <w:right w:val="nil"/>
            </w:tcBorders>
            <w:shd w:val="clear" w:color="auto" w:fill="auto"/>
            <w:vAlign w:val="bottom"/>
          </w:tcPr>
          <w:p w14:paraId="656025C0" w14:textId="77777777" w:rsidR="00AF191D" w:rsidRPr="004C66FF" w:rsidRDefault="00AF191D" w:rsidP="004C66FF">
            <w:pPr>
              <w:spacing w:beforeLines="20" w:before="48" w:afterLines="20" w:after="48"/>
              <w:rPr>
                <w:rFonts w:cs="Arial"/>
                <w:color w:val="000000"/>
              </w:rPr>
            </w:pPr>
            <w:r w:rsidRPr="004C66FF">
              <w:rPr>
                <w:rFonts w:cs="Arial"/>
                <w:color w:val="000000"/>
              </w:rPr>
              <w:t>Right ventricular ejection fraction</w:t>
            </w:r>
          </w:p>
        </w:tc>
      </w:tr>
      <w:tr w:rsidR="00AF191D" w:rsidRPr="004C66FF" w14:paraId="597989DE" w14:textId="77777777" w:rsidTr="00D94C73">
        <w:trPr>
          <w:trHeight w:val="170"/>
        </w:trPr>
        <w:tc>
          <w:tcPr>
            <w:tcW w:w="1146" w:type="pct"/>
            <w:tcBorders>
              <w:top w:val="nil"/>
              <w:left w:val="nil"/>
              <w:bottom w:val="nil"/>
              <w:right w:val="nil"/>
            </w:tcBorders>
            <w:shd w:val="clear" w:color="auto" w:fill="auto"/>
            <w:vAlign w:val="bottom"/>
          </w:tcPr>
          <w:p w14:paraId="59649797" w14:textId="77777777" w:rsidR="00AF191D" w:rsidRPr="004C66FF" w:rsidRDefault="00AF191D" w:rsidP="004C66FF">
            <w:pPr>
              <w:spacing w:beforeLines="20" w:before="48" w:afterLines="20" w:after="48"/>
              <w:rPr>
                <w:rFonts w:cs="Arial"/>
                <w:color w:val="000000"/>
              </w:rPr>
            </w:pPr>
            <w:r w:rsidRPr="004C66FF">
              <w:rPr>
                <w:rFonts w:cs="Arial"/>
                <w:color w:val="000000"/>
              </w:rPr>
              <w:t>RVSP</w:t>
            </w:r>
          </w:p>
        </w:tc>
        <w:tc>
          <w:tcPr>
            <w:tcW w:w="3854" w:type="pct"/>
            <w:tcBorders>
              <w:top w:val="nil"/>
              <w:left w:val="nil"/>
              <w:bottom w:val="nil"/>
              <w:right w:val="nil"/>
            </w:tcBorders>
            <w:shd w:val="clear" w:color="auto" w:fill="auto"/>
            <w:vAlign w:val="bottom"/>
          </w:tcPr>
          <w:p w14:paraId="03186223" w14:textId="77777777" w:rsidR="00AF191D" w:rsidRPr="004C66FF" w:rsidRDefault="00AF191D" w:rsidP="004C66FF">
            <w:pPr>
              <w:spacing w:beforeLines="20" w:before="48" w:afterLines="20" w:after="48"/>
              <w:rPr>
                <w:rFonts w:cs="Arial"/>
                <w:color w:val="000000"/>
              </w:rPr>
            </w:pPr>
            <w:r w:rsidRPr="004C66FF">
              <w:rPr>
                <w:rFonts w:cs="Arial"/>
                <w:color w:val="000000"/>
              </w:rPr>
              <w:t>Right ventricular systolic pressure</w:t>
            </w:r>
          </w:p>
        </w:tc>
      </w:tr>
      <w:tr w:rsidR="00AF191D" w:rsidRPr="004C66FF" w14:paraId="00AB0293" w14:textId="77777777" w:rsidTr="00D94C73">
        <w:trPr>
          <w:trHeight w:val="170"/>
        </w:trPr>
        <w:tc>
          <w:tcPr>
            <w:tcW w:w="1146" w:type="pct"/>
            <w:tcBorders>
              <w:top w:val="nil"/>
              <w:left w:val="nil"/>
              <w:bottom w:val="nil"/>
              <w:right w:val="nil"/>
            </w:tcBorders>
            <w:shd w:val="clear" w:color="auto" w:fill="auto"/>
            <w:vAlign w:val="bottom"/>
          </w:tcPr>
          <w:p w14:paraId="26AAE97C" w14:textId="77777777" w:rsidR="00AF191D" w:rsidRPr="004C66FF" w:rsidRDefault="002403F8" w:rsidP="004C66FF">
            <w:pPr>
              <w:spacing w:beforeLines="20" w:before="48" w:afterLines="20" w:after="48"/>
              <w:rPr>
                <w:rFonts w:cs="Arial"/>
                <w:color w:val="000000"/>
              </w:rPr>
            </w:pPr>
            <w:r w:rsidRPr="004C66FF">
              <w:rPr>
                <w:rFonts w:cs="Arial"/>
                <w:color w:val="000000"/>
              </w:rPr>
              <w:t>SC</w:t>
            </w:r>
          </w:p>
        </w:tc>
        <w:tc>
          <w:tcPr>
            <w:tcW w:w="3854" w:type="pct"/>
            <w:tcBorders>
              <w:top w:val="nil"/>
              <w:left w:val="nil"/>
              <w:bottom w:val="nil"/>
              <w:right w:val="nil"/>
            </w:tcBorders>
            <w:shd w:val="clear" w:color="auto" w:fill="auto"/>
            <w:vAlign w:val="bottom"/>
          </w:tcPr>
          <w:p w14:paraId="05CC10BE" w14:textId="77777777" w:rsidR="00AF191D" w:rsidRPr="004C66FF" w:rsidRDefault="00AF191D" w:rsidP="004C66FF">
            <w:pPr>
              <w:spacing w:beforeLines="20" w:before="48" w:afterLines="20" w:after="48"/>
              <w:rPr>
                <w:rFonts w:cs="Arial"/>
                <w:color w:val="000000"/>
              </w:rPr>
            </w:pPr>
            <w:r w:rsidRPr="004C66FF">
              <w:rPr>
                <w:rFonts w:cs="Arial"/>
                <w:color w:val="000000"/>
              </w:rPr>
              <w:t>Subcutaneous</w:t>
            </w:r>
          </w:p>
        </w:tc>
      </w:tr>
      <w:tr w:rsidR="00AF191D" w:rsidRPr="004C66FF" w14:paraId="176D95FE" w14:textId="77777777" w:rsidTr="00D94C73">
        <w:trPr>
          <w:trHeight w:val="170"/>
        </w:trPr>
        <w:tc>
          <w:tcPr>
            <w:tcW w:w="1146" w:type="pct"/>
            <w:tcBorders>
              <w:top w:val="nil"/>
              <w:left w:val="nil"/>
              <w:bottom w:val="nil"/>
              <w:right w:val="nil"/>
            </w:tcBorders>
            <w:shd w:val="clear" w:color="auto" w:fill="auto"/>
            <w:vAlign w:val="bottom"/>
          </w:tcPr>
          <w:p w14:paraId="3B8E61B2" w14:textId="77777777" w:rsidR="00AF191D" w:rsidRPr="004C66FF" w:rsidRDefault="00AF191D" w:rsidP="004C66FF">
            <w:pPr>
              <w:spacing w:beforeLines="20" w:before="48" w:afterLines="20" w:after="48"/>
              <w:rPr>
                <w:rFonts w:cs="Arial"/>
                <w:color w:val="000000"/>
              </w:rPr>
            </w:pPr>
            <w:proofErr w:type="spellStart"/>
            <w:r w:rsidRPr="004C66FF">
              <w:rPr>
                <w:rFonts w:cs="Arial"/>
                <w:color w:val="000000"/>
              </w:rPr>
              <w:t>sGC</w:t>
            </w:r>
            <w:proofErr w:type="spellEnd"/>
            <w:r w:rsidRPr="004C66FF">
              <w:rPr>
                <w:rFonts w:cs="Arial"/>
                <w:color w:val="000000"/>
              </w:rPr>
              <w:t xml:space="preserve"> stimulator</w:t>
            </w:r>
          </w:p>
        </w:tc>
        <w:tc>
          <w:tcPr>
            <w:tcW w:w="3854" w:type="pct"/>
            <w:tcBorders>
              <w:top w:val="nil"/>
              <w:left w:val="nil"/>
              <w:bottom w:val="nil"/>
              <w:right w:val="nil"/>
            </w:tcBorders>
            <w:shd w:val="clear" w:color="auto" w:fill="auto"/>
            <w:vAlign w:val="bottom"/>
          </w:tcPr>
          <w:p w14:paraId="6046CE84" w14:textId="77777777" w:rsidR="00AF191D" w:rsidRPr="004C66FF" w:rsidRDefault="00AF191D" w:rsidP="004C66FF">
            <w:pPr>
              <w:spacing w:beforeLines="20" w:before="48" w:afterLines="20" w:after="48"/>
              <w:rPr>
                <w:rFonts w:cs="Arial"/>
                <w:color w:val="000000"/>
              </w:rPr>
            </w:pPr>
            <w:r w:rsidRPr="004C66FF">
              <w:rPr>
                <w:rFonts w:cs="Arial"/>
                <w:color w:val="000000"/>
              </w:rPr>
              <w:t>Soluble guanylate cyclase stimulator</w:t>
            </w:r>
          </w:p>
        </w:tc>
      </w:tr>
      <w:tr w:rsidR="00AF191D" w:rsidRPr="004C66FF" w14:paraId="425A6C48" w14:textId="77777777" w:rsidTr="006C0DFB">
        <w:trPr>
          <w:trHeight w:val="170"/>
        </w:trPr>
        <w:tc>
          <w:tcPr>
            <w:tcW w:w="1146" w:type="pct"/>
            <w:tcBorders>
              <w:top w:val="nil"/>
              <w:left w:val="nil"/>
              <w:bottom w:val="nil"/>
              <w:right w:val="nil"/>
            </w:tcBorders>
            <w:shd w:val="clear" w:color="auto" w:fill="auto"/>
            <w:vAlign w:val="bottom"/>
          </w:tcPr>
          <w:p w14:paraId="621FE44C" w14:textId="77777777" w:rsidR="00AF191D" w:rsidRPr="004C66FF" w:rsidRDefault="00AF191D" w:rsidP="004C66FF">
            <w:pPr>
              <w:spacing w:beforeLines="20" w:before="48" w:afterLines="20" w:after="48"/>
              <w:rPr>
                <w:rFonts w:cs="Arial"/>
                <w:color w:val="000000"/>
              </w:rPr>
            </w:pPr>
            <w:proofErr w:type="spellStart"/>
            <w:r w:rsidRPr="004C66FF">
              <w:rPr>
                <w:rFonts w:cs="Arial"/>
                <w:color w:val="000000"/>
              </w:rPr>
              <w:t>SmPC</w:t>
            </w:r>
            <w:proofErr w:type="spellEnd"/>
          </w:p>
        </w:tc>
        <w:tc>
          <w:tcPr>
            <w:tcW w:w="3854" w:type="pct"/>
            <w:tcBorders>
              <w:top w:val="nil"/>
              <w:left w:val="nil"/>
              <w:bottom w:val="nil"/>
              <w:right w:val="nil"/>
            </w:tcBorders>
            <w:shd w:val="clear" w:color="auto" w:fill="auto"/>
            <w:vAlign w:val="bottom"/>
          </w:tcPr>
          <w:p w14:paraId="7C862C32" w14:textId="77777777" w:rsidR="00AF191D" w:rsidRPr="004C66FF" w:rsidRDefault="00E8761A" w:rsidP="004C66FF">
            <w:pPr>
              <w:spacing w:beforeLines="20" w:before="48" w:afterLines="20" w:after="48"/>
              <w:rPr>
                <w:rFonts w:cs="Arial"/>
                <w:color w:val="000000"/>
              </w:rPr>
            </w:pPr>
            <w:r w:rsidRPr="004C66FF">
              <w:rPr>
                <w:rFonts w:cs="Arial"/>
                <w:color w:val="000000"/>
              </w:rPr>
              <w:t>S</w:t>
            </w:r>
            <w:r w:rsidR="0027496F" w:rsidRPr="004C66FF">
              <w:rPr>
                <w:rFonts w:cs="Arial"/>
                <w:color w:val="000000"/>
              </w:rPr>
              <w:t>ummary of product c</w:t>
            </w:r>
            <w:r w:rsidR="00AF191D" w:rsidRPr="004C66FF">
              <w:rPr>
                <w:rFonts w:cs="Arial"/>
                <w:color w:val="000000"/>
              </w:rPr>
              <w:t>haracteristics</w:t>
            </w:r>
            <w:r w:rsidRPr="004C66FF">
              <w:rPr>
                <w:rFonts w:cs="Arial"/>
                <w:color w:val="000000"/>
              </w:rPr>
              <w:t xml:space="preserve"> (European)</w:t>
            </w:r>
          </w:p>
        </w:tc>
      </w:tr>
      <w:tr w:rsidR="00AF191D" w:rsidRPr="004C66FF" w14:paraId="17409336" w14:textId="77777777" w:rsidTr="006C0DFB">
        <w:trPr>
          <w:trHeight w:val="170"/>
        </w:trPr>
        <w:tc>
          <w:tcPr>
            <w:tcW w:w="1146" w:type="pct"/>
            <w:tcBorders>
              <w:top w:val="nil"/>
              <w:left w:val="nil"/>
              <w:bottom w:val="nil"/>
              <w:right w:val="nil"/>
            </w:tcBorders>
            <w:shd w:val="clear" w:color="auto" w:fill="auto"/>
            <w:vAlign w:val="bottom"/>
          </w:tcPr>
          <w:p w14:paraId="21F8D236" w14:textId="77777777" w:rsidR="00AF191D" w:rsidRPr="004C66FF" w:rsidRDefault="00AF191D" w:rsidP="004C66FF">
            <w:pPr>
              <w:spacing w:beforeLines="20" w:before="48" w:afterLines="20" w:after="48"/>
              <w:rPr>
                <w:rFonts w:cs="Arial"/>
                <w:color w:val="000000"/>
              </w:rPr>
            </w:pPr>
            <w:proofErr w:type="spellStart"/>
            <w:r w:rsidRPr="004C66FF">
              <w:rPr>
                <w:rFonts w:cs="Arial"/>
                <w:color w:val="000000"/>
              </w:rPr>
              <w:t>SoC</w:t>
            </w:r>
            <w:proofErr w:type="spellEnd"/>
          </w:p>
        </w:tc>
        <w:tc>
          <w:tcPr>
            <w:tcW w:w="3854" w:type="pct"/>
            <w:tcBorders>
              <w:top w:val="nil"/>
              <w:left w:val="nil"/>
              <w:bottom w:val="nil"/>
              <w:right w:val="nil"/>
            </w:tcBorders>
            <w:shd w:val="clear" w:color="auto" w:fill="auto"/>
            <w:vAlign w:val="bottom"/>
          </w:tcPr>
          <w:p w14:paraId="61A5231A" w14:textId="77777777" w:rsidR="00AF191D" w:rsidRPr="004C66FF" w:rsidRDefault="00AF191D" w:rsidP="004C66FF">
            <w:pPr>
              <w:spacing w:beforeLines="20" w:before="48" w:afterLines="20" w:after="48"/>
              <w:rPr>
                <w:rFonts w:cs="Arial"/>
                <w:color w:val="000000"/>
              </w:rPr>
            </w:pPr>
            <w:r w:rsidRPr="004C66FF">
              <w:rPr>
                <w:rFonts w:cs="Arial"/>
                <w:color w:val="000000"/>
              </w:rPr>
              <w:t>Standard of care</w:t>
            </w:r>
          </w:p>
        </w:tc>
      </w:tr>
      <w:tr w:rsidR="00AF191D" w:rsidRPr="004C66FF" w14:paraId="0A14814C" w14:textId="77777777" w:rsidTr="006C0DFB">
        <w:trPr>
          <w:trHeight w:val="170"/>
        </w:trPr>
        <w:tc>
          <w:tcPr>
            <w:tcW w:w="1146" w:type="pct"/>
            <w:tcBorders>
              <w:top w:val="nil"/>
              <w:left w:val="nil"/>
              <w:bottom w:val="nil"/>
              <w:right w:val="nil"/>
            </w:tcBorders>
            <w:shd w:val="clear" w:color="auto" w:fill="auto"/>
            <w:vAlign w:val="bottom"/>
          </w:tcPr>
          <w:p w14:paraId="235C2E46" w14:textId="77777777" w:rsidR="00AF191D" w:rsidRPr="004C66FF" w:rsidRDefault="00AF191D" w:rsidP="004C66FF">
            <w:pPr>
              <w:spacing w:beforeLines="20" w:before="48" w:afterLines="20" w:after="48"/>
              <w:rPr>
                <w:rFonts w:cs="Arial"/>
                <w:color w:val="000000"/>
              </w:rPr>
            </w:pPr>
            <w:r w:rsidRPr="004C66FF">
              <w:rPr>
                <w:rFonts w:cs="Arial"/>
                <w:color w:val="000000"/>
              </w:rPr>
              <w:t>SvO</w:t>
            </w:r>
            <w:r w:rsidRPr="004C66FF">
              <w:rPr>
                <w:rFonts w:cs="Arial"/>
                <w:color w:val="000000"/>
                <w:vertAlign w:val="subscript"/>
              </w:rPr>
              <w:t>2</w:t>
            </w:r>
          </w:p>
        </w:tc>
        <w:tc>
          <w:tcPr>
            <w:tcW w:w="3854" w:type="pct"/>
            <w:tcBorders>
              <w:top w:val="nil"/>
              <w:left w:val="nil"/>
              <w:bottom w:val="nil"/>
              <w:right w:val="nil"/>
            </w:tcBorders>
            <w:shd w:val="clear" w:color="auto" w:fill="auto"/>
            <w:vAlign w:val="bottom"/>
          </w:tcPr>
          <w:p w14:paraId="2267FAFD" w14:textId="77777777" w:rsidR="00AF191D" w:rsidRPr="004C66FF" w:rsidRDefault="00AF191D" w:rsidP="004C66FF">
            <w:pPr>
              <w:spacing w:beforeLines="20" w:before="48" w:afterLines="20" w:after="48"/>
              <w:rPr>
                <w:rFonts w:cs="Arial"/>
                <w:color w:val="000000"/>
              </w:rPr>
            </w:pPr>
            <w:r w:rsidRPr="004C66FF">
              <w:rPr>
                <w:rFonts w:cs="Arial"/>
                <w:color w:val="000000"/>
              </w:rPr>
              <w:t>Mixed venous oxygen saturation</w:t>
            </w:r>
          </w:p>
        </w:tc>
      </w:tr>
      <w:tr w:rsidR="00AF191D" w:rsidRPr="004C66FF" w14:paraId="0670A100" w14:textId="77777777" w:rsidTr="006C0DFB">
        <w:trPr>
          <w:trHeight w:val="170"/>
        </w:trPr>
        <w:tc>
          <w:tcPr>
            <w:tcW w:w="1146" w:type="pct"/>
            <w:tcBorders>
              <w:top w:val="nil"/>
              <w:left w:val="nil"/>
              <w:bottom w:val="nil"/>
              <w:right w:val="nil"/>
            </w:tcBorders>
            <w:shd w:val="clear" w:color="auto" w:fill="auto"/>
            <w:vAlign w:val="bottom"/>
          </w:tcPr>
          <w:p w14:paraId="4FB0FBBA" w14:textId="77777777" w:rsidR="00AF191D" w:rsidRPr="004C66FF" w:rsidRDefault="00AF191D" w:rsidP="004C66FF">
            <w:pPr>
              <w:spacing w:beforeLines="20" w:before="48" w:afterLines="20" w:after="48"/>
              <w:rPr>
                <w:rFonts w:cs="Arial"/>
                <w:color w:val="000000"/>
              </w:rPr>
            </w:pPr>
            <w:r w:rsidRPr="004C66FF">
              <w:rPr>
                <w:rFonts w:cs="Arial"/>
                <w:color w:val="000000"/>
              </w:rPr>
              <w:t>TGA</w:t>
            </w:r>
          </w:p>
        </w:tc>
        <w:tc>
          <w:tcPr>
            <w:tcW w:w="3854" w:type="pct"/>
            <w:tcBorders>
              <w:top w:val="nil"/>
              <w:left w:val="nil"/>
              <w:bottom w:val="nil"/>
              <w:right w:val="nil"/>
            </w:tcBorders>
            <w:shd w:val="clear" w:color="auto" w:fill="auto"/>
            <w:vAlign w:val="bottom"/>
          </w:tcPr>
          <w:p w14:paraId="53B5F479" w14:textId="77777777" w:rsidR="00AF191D" w:rsidRPr="004C66FF" w:rsidRDefault="00AF191D" w:rsidP="004C66FF">
            <w:pPr>
              <w:spacing w:beforeLines="20" w:before="48" w:afterLines="20" w:after="48"/>
              <w:rPr>
                <w:rFonts w:cs="Arial"/>
                <w:color w:val="000000"/>
              </w:rPr>
            </w:pPr>
            <w:r w:rsidRPr="004C66FF">
              <w:rPr>
                <w:rFonts w:cs="Arial"/>
                <w:color w:val="000000"/>
              </w:rPr>
              <w:t>Therapeutic Goods Administration</w:t>
            </w:r>
          </w:p>
        </w:tc>
      </w:tr>
      <w:tr w:rsidR="00795AA3" w:rsidRPr="004C66FF" w14:paraId="6D20BDD4" w14:textId="77777777" w:rsidTr="006C0DFB">
        <w:trPr>
          <w:trHeight w:val="170"/>
        </w:trPr>
        <w:tc>
          <w:tcPr>
            <w:tcW w:w="1146" w:type="pct"/>
            <w:tcBorders>
              <w:top w:val="nil"/>
              <w:left w:val="nil"/>
              <w:bottom w:val="nil"/>
              <w:right w:val="nil"/>
            </w:tcBorders>
            <w:shd w:val="clear" w:color="auto" w:fill="auto"/>
            <w:vAlign w:val="bottom"/>
          </w:tcPr>
          <w:p w14:paraId="29DD24B7" w14:textId="77777777" w:rsidR="00795AA3" w:rsidRPr="004C66FF" w:rsidRDefault="00795AA3" w:rsidP="004C66FF">
            <w:pPr>
              <w:spacing w:beforeLines="20" w:before="48" w:afterLines="20" w:after="48"/>
              <w:rPr>
                <w:rFonts w:cs="Arial"/>
                <w:color w:val="000000"/>
              </w:rPr>
            </w:pPr>
            <w:proofErr w:type="spellStart"/>
            <w:r w:rsidRPr="004C66FF">
              <w:rPr>
                <w:rFonts w:cs="Arial"/>
                <w:color w:val="000000"/>
              </w:rPr>
              <w:t>ToR</w:t>
            </w:r>
            <w:proofErr w:type="spellEnd"/>
          </w:p>
        </w:tc>
        <w:tc>
          <w:tcPr>
            <w:tcW w:w="3854" w:type="pct"/>
            <w:tcBorders>
              <w:top w:val="nil"/>
              <w:left w:val="nil"/>
              <w:bottom w:val="nil"/>
              <w:right w:val="nil"/>
            </w:tcBorders>
            <w:shd w:val="clear" w:color="auto" w:fill="auto"/>
            <w:vAlign w:val="bottom"/>
          </w:tcPr>
          <w:p w14:paraId="23D63E4C" w14:textId="77777777" w:rsidR="00795AA3" w:rsidRPr="004C66FF" w:rsidRDefault="00795AA3" w:rsidP="004C66FF">
            <w:pPr>
              <w:spacing w:beforeLines="20" w:before="48" w:afterLines="20" w:after="48"/>
              <w:rPr>
                <w:rFonts w:cs="Arial"/>
                <w:color w:val="000000"/>
              </w:rPr>
            </w:pPr>
            <w:r w:rsidRPr="004C66FF">
              <w:rPr>
                <w:rFonts w:cs="Arial"/>
                <w:color w:val="000000"/>
              </w:rPr>
              <w:t>Term(s) of Reference</w:t>
            </w:r>
          </w:p>
        </w:tc>
      </w:tr>
      <w:tr w:rsidR="00AF191D" w:rsidRPr="004C66FF" w14:paraId="14F34583" w14:textId="77777777" w:rsidTr="006C0DFB">
        <w:trPr>
          <w:trHeight w:val="170"/>
        </w:trPr>
        <w:tc>
          <w:tcPr>
            <w:tcW w:w="1146" w:type="pct"/>
            <w:tcBorders>
              <w:top w:val="nil"/>
              <w:left w:val="nil"/>
              <w:bottom w:val="nil"/>
              <w:right w:val="nil"/>
            </w:tcBorders>
            <w:shd w:val="clear" w:color="auto" w:fill="auto"/>
            <w:vAlign w:val="bottom"/>
          </w:tcPr>
          <w:p w14:paraId="1C1F4E27" w14:textId="77777777" w:rsidR="00AF191D" w:rsidRPr="004C66FF" w:rsidRDefault="00AF191D" w:rsidP="004C66FF">
            <w:pPr>
              <w:spacing w:beforeLines="20" w:before="48" w:afterLines="20" w:after="48"/>
              <w:rPr>
                <w:rFonts w:cs="Arial"/>
                <w:color w:val="000000"/>
              </w:rPr>
            </w:pPr>
            <w:r w:rsidRPr="004C66FF">
              <w:rPr>
                <w:rFonts w:cs="Arial"/>
                <w:color w:val="000000"/>
              </w:rPr>
              <w:t>TRV</w:t>
            </w:r>
          </w:p>
        </w:tc>
        <w:tc>
          <w:tcPr>
            <w:tcW w:w="3854" w:type="pct"/>
            <w:tcBorders>
              <w:top w:val="nil"/>
              <w:left w:val="nil"/>
              <w:bottom w:val="nil"/>
              <w:right w:val="nil"/>
            </w:tcBorders>
            <w:shd w:val="clear" w:color="auto" w:fill="auto"/>
            <w:vAlign w:val="bottom"/>
          </w:tcPr>
          <w:p w14:paraId="7805E370" w14:textId="77777777" w:rsidR="00AF191D" w:rsidRPr="004C66FF" w:rsidRDefault="00AF191D" w:rsidP="004C66FF">
            <w:pPr>
              <w:spacing w:beforeLines="20" w:before="48" w:afterLines="20" w:after="48"/>
              <w:rPr>
                <w:rFonts w:cs="Arial"/>
                <w:color w:val="000000"/>
              </w:rPr>
            </w:pPr>
            <w:r w:rsidRPr="004C66FF">
              <w:rPr>
                <w:rFonts w:cs="Arial"/>
                <w:color w:val="000000"/>
              </w:rPr>
              <w:t>Tricuspid regurgitation velocity</w:t>
            </w:r>
          </w:p>
        </w:tc>
      </w:tr>
      <w:tr w:rsidR="00AF191D" w:rsidRPr="004C66FF" w14:paraId="75ABEE0A" w14:textId="77777777" w:rsidTr="006C0DFB">
        <w:trPr>
          <w:trHeight w:val="170"/>
        </w:trPr>
        <w:tc>
          <w:tcPr>
            <w:tcW w:w="1146" w:type="pct"/>
            <w:tcBorders>
              <w:top w:val="nil"/>
              <w:left w:val="nil"/>
              <w:bottom w:val="nil"/>
              <w:right w:val="nil"/>
            </w:tcBorders>
            <w:shd w:val="clear" w:color="auto" w:fill="auto"/>
            <w:vAlign w:val="bottom"/>
          </w:tcPr>
          <w:p w14:paraId="53BE75F3" w14:textId="77777777" w:rsidR="00AF191D" w:rsidRPr="004C66FF" w:rsidRDefault="00AF191D" w:rsidP="004C66FF">
            <w:pPr>
              <w:spacing w:beforeLines="20" w:before="48" w:afterLines="20" w:after="48"/>
              <w:rPr>
                <w:rFonts w:cs="Arial"/>
                <w:color w:val="000000"/>
              </w:rPr>
            </w:pPr>
            <w:r w:rsidRPr="004C66FF">
              <w:rPr>
                <w:rFonts w:cs="Arial"/>
                <w:color w:val="000000"/>
              </w:rPr>
              <w:t>TAPSE</w:t>
            </w:r>
          </w:p>
        </w:tc>
        <w:tc>
          <w:tcPr>
            <w:tcW w:w="3854" w:type="pct"/>
            <w:tcBorders>
              <w:top w:val="nil"/>
              <w:left w:val="nil"/>
              <w:bottom w:val="nil"/>
              <w:right w:val="nil"/>
            </w:tcBorders>
            <w:shd w:val="clear" w:color="auto" w:fill="auto"/>
            <w:vAlign w:val="bottom"/>
          </w:tcPr>
          <w:p w14:paraId="4CBFD06E" w14:textId="77777777" w:rsidR="00AF191D" w:rsidRPr="004C66FF" w:rsidRDefault="00AF191D" w:rsidP="004C66FF">
            <w:pPr>
              <w:spacing w:beforeLines="20" w:before="48" w:afterLines="20" w:after="48"/>
              <w:rPr>
                <w:rFonts w:cs="Arial"/>
                <w:color w:val="000000"/>
              </w:rPr>
            </w:pPr>
            <w:r w:rsidRPr="004C66FF">
              <w:rPr>
                <w:rFonts w:cs="Arial"/>
                <w:color w:val="000000"/>
              </w:rPr>
              <w:t>Tricuspid annular plane systolic excursion</w:t>
            </w:r>
          </w:p>
        </w:tc>
      </w:tr>
      <w:tr w:rsidR="00AF191D" w:rsidRPr="004C66FF" w14:paraId="5CD256E8" w14:textId="77777777" w:rsidTr="006C0DFB">
        <w:trPr>
          <w:trHeight w:val="170"/>
        </w:trPr>
        <w:tc>
          <w:tcPr>
            <w:tcW w:w="1146" w:type="pct"/>
            <w:tcBorders>
              <w:top w:val="nil"/>
              <w:left w:val="nil"/>
              <w:bottom w:val="nil"/>
              <w:right w:val="nil"/>
            </w:tcBorders>
            <w:shd w:val="clear" w:color="auto" w:fill="auto"/>
            <w:vAlign w:val="bottom"/>
          </w:tcPr>
          <w:p w14:paraId="5FD7ECEB" w14:textId="77777777" w:rsidR="00AF191D" w:rsidRPr="004C66FF" w:rsidRDefault="00AF191D" w:rsidP="004C66FF">
            <w:pPr>
              <w:spacing w:beforeLines="20" w:before="48" w:afterLines="20" w:after="48"/>
              <w:rPr>
                <w:rFonts w:cs="Arial"/>
                <w:color w:val="000000"/>
              </w:rPr>
            </w:pPr>
            <w:r w:rsidRPr="004C66FF">
              <w:rPr>
                <w:rFonts w:cs="Arial"/>
                <w:color w:val="000000"/>
              </w:rPr>
              <w:t>TSANZ</w:t>
            </w:r>
          </w:p>
        </w:tc>
        <w:tc>
          <w:tcPr>
            <w:tcW w:w="3854" w:type="pct"/>
            <w:tcBorders>
              <w:top w:val="nil"/>
              <w:left w:val="nil"/>
              <w:bottom w:val="nil"/>
              <w:right w:val="nil"/>
            </w:tcBorders>
            <w:shd w:val="clear" w:color="auto" w:fill="auto"/>
            <w:vAlign w:val="bottom"/>
          </w:tcPr>
          <w:p w14:paraId="79A8D3CD" w14:textId="77777777" w:rsidR="00AF191D" w:rsidRPr="004C66FF" w:rsidRDefault="00AF191D" w:rsidP="004C66FF">
            <w:pPr>
              <w:spacing w:beforeLines="20" w:before="48" w:afterLines="20" w:after="48"/>
              <w:rPr>
                <w:rFonts w:cs="Arial"/>
                <w:color w:val="000000"/>
              </w:rPr>
            </w:pPr>
            <w:r w:rsidRPr="004C66FF">
              <w:rPr>
                <w:rFonts w:cs="Arial"/>
                <w:color w:val="000000"/>
              </w:rPr>
              <w:t>Thoracic Society of Australia and New Zealand</w:t>
            </w:r>
          </w:p>
        </w:tc>
      </w:tr>
      <w:tr w:rsidR="00711867" w:rsidRPr="004C66FF" w14:paraId="534B6E09" w14:textId="77777777" w:rsidTr="006C0DFB">
        <w:trPr>
          <w:trHeight w:val="170"/>
        </w:trPr>
        <w:tc>
          <w:tcPr>
            <w:tcW w:w="1146" w:type="pct"/>
            <w:tcBorders>
              <w:top w:val="nil"/>
              <w:left w:val="nil"/>
              <w:bottom w:val="nil"/>
              <w:right w:val="nil"/>
            </w:tcBorders>
            <w:shd w:val="clear" w:color="auto" w:fill="auto"/>
            <w:vAlign w:val="bottom"/>
          </w:tcPr>
          <w:p w14:paraId="0C5CF0CE" w14:textId="77777777" w:rsidR="00711867" w:rsidRPr="004C66FF" w:rsidRDefault="00711867" w:rsidP="004C66FF">
            <w:pPr>
              <w:spacing w:beforeLines="20" w:before="48" w:afterLines="20" w:after="48"/>
              <w:rPr>
                <w:rFonts w:cs="Arial"/>
                <w:color w:val="000000"/>
              </w:rPr>
            </w:pPr>
            <w:r w:rsidRPr="004C66FF">
              <w:rPr>
                <w:rFonts w:cs="Arial"/>
                <w:color w:val="000000"/>
              </w:rPr>
              <w:t>US/USA</w:t>
            </w:r>
          </w:p>
        </w:tc>
        <w:tc>
          <w:tcPr>
            <w:tcW w:w="3854" w:type="pct"/>
            <w:tcBorders>
              <w:top w:val="nil"/>
              <w:left w:val="nil"/>
              <w:bottom w:val="nil"/>
              <w:right w:val="nil"/>
            </w:tcBorders>
            <w:shd w:val="clear" w:color="auto" w:fill="auto"/>
            <w:vAlign w:val="bottom"/>
          </w:tcPr>
          <w:p w14:paraId="648EBF3D" w14:textId="77777777" w:rsidR="00711867" w:rsidRPr="004C66FF" w:rsidRDefault="00711867" w:rsidP="004C66FF">
            <w:pPr>
              <w:spacing w:beforeLines="20" w:before="48" w:afterLines="20" w:after="48"/>
              <w:rPr>
                <w:rFonts w:cs="Arial"/>
                <w:color w:val="000000"/>
              </w:rPr>
            </w:pPr>
            <w:r w:rsidRPr="004C66FF">
              <w:rPr>
                <w:rFonts w:cs="Arial"/>
                <w:color w:val="000000"/>
              </w:rPr>
              <w:t>United States/United States of America</w:t>
            </w:r>
          </w:p>
        </w:tc>
      </w:tr>
      <w:tr w:rsidR="00711867" w:rsidRPr="004C66FF" w14:paraId="0B4CA3E3" w14:textId="77777777" w:rsidTr="006C0DFB">
        <w:trPr>
          <w:trHeight w:val="170"/>
        </w:trPr>
        <w:tc>
          <w:tcPr>
            <w:tcW w:w="1146" w:type="pct"/>
            <w:tcBorders>
              <w:top w:val="nil"/>
              <w:left w:val="nil"/>
              <w:bottom w:val="nil"/>
              <w:right w:val="nil"/>
            </w:tcBorders>
            <w:shd w:val="clear" w:color="auto" w:fill="auto"/>
            <w:vAlign w:val="bottom"/>
          </w:tcPr>
          <w:p w14:paraId="0FC9382C" w14:textId="77777777" w:rsidR="00711867" w:rsidRPr="004C66FF" w:rsidRDefault="00711867" w:rsidP="004C66FF">
            <w:pPr>
              <w:spacing w:beforeLines="20" w:before="48" w:afterLines="20" w:after="48"/>
              <w:rPr>
                <w:rFonts w:cs="Arial"/>
                <w:color w:val="000000"/>
              </w:rPr>
            </w:pPr>
            <w:r w:rsidRPr="004C66FF">
              <w:rPr>
                <w:rFonts w:cs="Arial"/>
                <w:color w:val="000000"/>
              </w:rPr>
              <w:t>VE/VCO</w:t>
            </w:r>
            <w:r w:rsidRPr="004C66FF">
              <w:rPr>
                <w:rFonts w:cs="Arial"/>
                <w:color w:val="000000"/>
                <w:vertAlign w:val="subscript"/>
              </w:rPr>
              <w:t>2</w:t>
            </w:r>
          </w:p>
        </w:tc>
        <w:tc>
          <w:tcPr>
            <w:tcW w:w="3854" w:type="pct"/>
            <w:tcBorders>
              <w:top w:val="nil"/>
              <w:left w:val="nil"/>
              <w:bottom w:val="nil"/>
              <w:right w:val="nil"/>
            </w:tcBorders>
            <w:shd w:val="clear" w:color="auto" w:fill="auto"/>
            <w:vAlign w:val="bottom"/>
          </w:tcPr>
          <w:p w14:paraId="357CAEDA" w14:textId="77777777" w:rsidR="00711867" w:rsidRPr="004C66FF" w:rsidRDefault="00711867" w:rsidP="004C66FF">
            <w:pPr>
              <w:spacing w:beforeLines="20" w:before="48" w:afterLines="20" w:after="48"/>
              <w:rPr>
                <w:rFonts w:cs="Arial"/>
                <w:color w:val="000000"/>
              </w:rPr>
            </w:pPr>
            <w:r w:rsidRPr="004C66FF">
              <w:rPr>
                <w:rFonts w:cs="Arial"/>
                <w:color w:val="000000"/>
              </w:rPr>
              <w:t>Minute ventilation/carbon dioxide production</w:t>
            </w:r>
          </w:p>
        </w:tc>
      </w:tr>
      <w:tr w:rsidR="00711867" w:rsidRPr="004C66FF" w14:paraId="1A1A1C20" w14:textId="77777777" w:rsidTr="006C0DFB">
        <w:trPr>
          <w:trHeight w:val="170"/>
        </w:trPr>
        <w:tc>
          <w:tcPr>
            <w:tcW w:w="1146" w:type="pct"/>
            <w:tcBorders>
              <w:top w:val="nil"/>
              <w:left w:val="nil"/>
              <w:bottom w:val="nil"/>
              <w:right w:val="nil"/>
            </w:tcBorders>
            <w:shd w:val="clear" w:color="auto" w:fill="auto"/>
            <w:vAlign w:val="bottom"/>
          </w:tcPr>
          <w:p w14:paraId="1637E1E8" w14:textId="77777777" w:rsidR="00711867" w:rsidRPr="004C66FF" w:rsidRDefault="00711867" w:rsidP="004C66FF">
            <w:pPr>
              <w:spacing w:beforeLines="20" w:before="48" w:afterLines="20" w:after="48"/>
              <w:rPr>
                <w:rFonts w:cs="Arial"/>
                <w:color w:val="000000"/>
              </w:rPr>
            </w:pPr>
            <w:r w:rsidRPr="004C66FF">
              <w:rPr>
                <w:rFonts w:cs="Arial"/>
                <w:color w:val="000000"/>
              </w:rPr>
              <w:t>VO</w:t>
            </w:r>
            <w:r w:rsidRPr="004C66FF">
              <w:rPr>
                <w:rFonts w:cs="Arial"/>
                <w:color w:val="000000"/>
                <w:vertAlign w:val="subscript"/>
              </w:rPr>
              <w:t>2</w:t>
            </w:r>
          </w:p>
        </w:tc>
        <w:tc>
          <w:tcPr>
            <w:tcW w:w="3854" w:type="pct"/>
            <w:tcBorders>
              <w:top w:val="nil"/>
              <w:left w:val="nil"/>
              <w:bottom w:val="nil"/>
              <w:right w:val="nil"/>
            </w:tcBorders>
            <w:shd w:val="clear" w:color="auto" w:fill="auto"/>
            <w:vAlign w:val="bottom"/>
          </w:tcPr>
          <w:p w14:paraId="78E23BB9" w14:textId="77777777" w:rsidR="00711867" w:rsidRPr="004C66FF" w:rsidRDefault="00711867" w:rsidP="004C66FF">
            <w:pPr>
              <w:spacing w:beforeLines="20" w:before="48" w:afterLines="20" w:after="48"/>
              <w:rPr>
                <w:rFonts w:cs="Arial"/>
                <w:color w:val="000000"/>
              </w:rPr>
            </w:pPr>
            <w:r w:rsidRPr="004C66FF">
              <w:rPr>
                <w:rFonts w:cs="Arial"/>
                <w:color w:val="000000"/>
              </w:rPr>
              <w:t>Oxygen uptake</w:t>
            </w:r>
          </w:p>
        </w:tc>
      </w:tr>
      <w:tr w:rsidR="00AF191D" w:rsidRPr="004C66FF" w14:paraId="54301670" w14:textId="77777777" w:rsidTr="006C0DFB">
        <w:trPr>
          <w:trHeight w:val="170"/>
        </w:trPr>
        <w:tc>
          <w:tcPr>
            <w:tcW w:w="1146" w:type="pct"/>
            <w:tcBorders>
              <w:top w:val="nil"/>
              <w:left w:val="nil"/>
              <w:bottom w:val="nil"/>
              <w:right w:val="nil"/>
            </w:tcBorders>
            <w:shd w:val="clear" w:color="auto" w:fill="auto"/>
            <w:vAlign w:val="bottom"/>
          </w:tcPr>
          <w:p w14:paraId="76B5AB19" w14:textId="77777777" w:rsidR="00AF191D" w:rsidRPr="004C66FF" w:rsidRDefault="00AF191D" w:rsidP="004C66FF">
            <w:pPr>
              <w:spacing w:beforeLines="20" w:before="48" w:afterLines="20" w:after="48"/>
              <w:rPr>
                <w:rFonts w:cs="Arial"/>
                <w:color w:val="000000"/>
              </w:rPr>
            </w:pPr>
            <w:r w:rsidRPr="004C66FF">
              <w:rPr>
                <w:rFonts w:cs="Arial"/>
                <w:color w:val="000000"/>
              </w:rPr>
              <w:t>WHO</w:t>
            </w:r>
          </w:p>
        </w:tc>
        <w:tc>
          <w:tcPr>
            <w:tcW w:w="3854" w:type="pct"/>
            <w:tcBorders>
              <w:top w:val="nil"/>
              <w:left w:val="nil"/>
              <w:bottom w:val="nil"/>
              <w:right w:val="nil"/>
            </w:tcBorders>
            <w:shd w:val="clear" w:color="auto" w:fill="auto"/>
            <w:vAlign w:val="bottom"/>
          </w:tcPr>
          <w:p w14:paraId="3271D61E" w14:textId="77777777" w:rsidR="00AF191D" w:rsidRPr="004C66FF" w:rsidRDefault="00AF191D" w:rsidP="004C66FF">
            <w:pPr>
              <w:spacing w:beforeLines="20" w:before="48" w:afterLines="20" w:after="48"/>
              <w:rPr>
                <w:rFonts w:cs="Arial"/>
                <w:color w:val="000000"/>
              </w:rPr>
            </w:pPr>
            <w:r w:rsidRPr="004C66FF">
              <w:rPr>
                <w:rFonts w:cs="Arial"/>
                <w:color w:val="000000"/>
              </w:rPr>
              <w:t>World Health Organization</w:t>
            </w:r>
          </w:p>
        </w:tc>
      </w:tr>
    </w:tbl>
    <w:p w14:paraId="53D9A2D9" w14:textId="77777777" w:rsidR="00BB7124" w:rsidRDefault="00BB7124" w:rsidP="00121658">
      <w:pPr>
        <w:pStyle w:val="Heading1"/>
        <w:numPr>
          <w:ilvl w:val="0"/>
          <w:numId w:val="0"/>
        </w:numPr>
        <w:jc w:val="left"/>
      </w:pPr>
      <w:bookmarkStart w:id="9" w:name="_Toc38377475"/>
      <w:r>
        <w:lastRenderedPageBreak/>
        <w:t>Report Structure</w:t>
      </w:r>
      <w:bookmarkEnd w:id="9"/>
    </w:p>
    <w:p w14:paraId="5F4948B4" w14:textId="77777777" w:rsidR="00421B3C" w:rsidRPr="003314AE" w:rsidRDefault="00421B3C" w:rsidP="00121658">
      <w:pPr>
        <w:pStyle w:val="ToRinbox"/>
        <w:jc w:val="left"/>
        <w:rPr>
          <w:rFonts w:asciiTheme="minorHAnsi" w:hAnsiTheme="minorHAnsi"/>
        </w:rPr>
      </w:pPr>
      <w:r w:rsidRPr="003314AE">
        <w:rPr>
          <w:rFonts w:asciiTheme="minorHAnsi" w:hAnsiTheme="minorHAnsi"/>
        </w:rPr>
        <w:t xml:space="preserve">This Report </w:t>
      </w:r>
      <w:proofErr w:type="gramStart"/>
      <w:r w:rsidRPr="003314AE">
        <w:rPr>
          <w:rFonts w:asciiTheme="minorHAnsi" w:hAnsiTheme="minorHAnsi"/>
        </w:rPr>
        <w:t>is presented</w:t>
      </w:r>
      <w:proofErr w:type="gramEnd"/>
      <w:r w:rsidRPr="003314AE">
        <w:rPr>
          <w:rFonts w:asciiTheme="minorHAnsi" w:hAnsiTheme="minorHAnsi"/>
        </w:rPr>
        <w:t xml:space="preserve"> in </w:t>
      </w:r>
      <w:r w:rsidR="00944EDA" w:rsidRPr="003314AE">
        <w:rPr>
          <w:rFonts w:asciiTheme="minorHAnsi" w:hAnsiTheme="minorHAnsi"/>
        </w:rPr>
        <w:t>six</w:t>
      </w:r>
      <w:r w:rsidRPr="003314AE">
        <w:rPr>
          <w:rFonts w:asciiTheme="minorHAnsi" w:hAnsiTheme="minorHAnsi"/>
        </w:rPr>
        <w:t xml:space="preserve"> separate parts, as briefly outlined below. The Report </w:t>
      </w:r>
      <w:proofErr w:type="gramStart"/>
      <w:r w:rsidRPr="003314AE">
        <w:rPr>
          <w:rFonts w:asciiTheme="minorHAnsi" w:hAnsiTheme="minorHAnsi"/>
        </w:rPr>
        <w:t>has been structured</w:t>
      </w:r>
      <w:proofErr w:type="gramEnd"/>
      <w:r w:rsidRPr="003314AE">
        <w:rPr>
          <w:rFonts w:asciiTheme="minorHAnsi" w:hAnsiTheme="minorHAnsi"/>
        </w:rPr>
        <w:t xml:space="preserve"> in this way to address the Terms of Reference </w:t>
      </w:r>
      <w:r w:rsidR="0085664C" w:rsidRPr="003314AE">
        <w:rPr>
          <w:rFonts w:asciiTheme="minorHAnsi" w:hAnsiTheme="minorHAnsi"/>
        </w:rPr>
        <w:t>(</w:t>
      </w:r>
      <w:proofErr w:type="spellStart"/>
      <w:r w:rsidR="0085664C" w:rsidRPr="003314AE">
        <w:rPr>
          <w:rFonts w:asciiTheme="minorHAnsi" w:hAnsiTheme="minorHAnsi"/>
        </w:rPr>
        <w:t>ToR</w:t>
      </w:r>
      <w:proofErr w:type="spellEnd"/>
      <w:r w:rsidR="0085664C" w:rsidRPr="003314AE">
        <w:rPr>
          <w:rFonts w:asciiTheme="minorHAnsi" w:hAnsiTheme="minorHAnsi"/>
        </w:rPr>
        <w:t xml:space="preserve">) </w:t>
      </w:r>
      <w:r w:rsidRPr="003314AE">
        <w:rPr>
          <w:rFonts w:asciiTheme="minorHAnsi" w:hAnsiTheme="minorHAnsi"/>
        </w:rPr>
        <w:t>of the Review.</w:t>
      </w:r>
    </w:p>
    <w:p w14:paraId="1977147C" w14:textId="77777777" w:rsidR="00421B3C" w:rsidRPr="003314AE" w:rsidRDefault="00B72D30" w:rsidP="00862FD6">
      <w:pPr>
        <w:pStyle w:val="ToRsinboxwithhangingindent"/>
        <w:pBdr>
          <w:left w:val="single" w:sz="4" w:space="5" w:color="auto"/>
        </w:pBdr>
        <w:tabs>
          <w:tab w:val="clear" w:pos="1304"/>
          <w:tab w:val="left" w:pos="1560"/>
        </w:tabs>
        <w:ind w:left="1560" w:hanging="1560"/>
        <w:jc w:val="left"/>
        <w:rPr>
          <w:rFonts w:asciiTheme="minorHAnsi" w:hAnsiTheme="minorHAnsi"/>
        </w:rPr>
      </w:pPr>
      <w:r w:rsidRPr="003314AE">
        <w:rPr>
          <w:rFonts w:asciiTheme="minorHAnsi" w:hAnsiTheme="minorHAnsi"/>
          <w:b/>
        </w:rPr>
        <w:t>Background</w:t>
      </w:r>
      <w:r w:rsidRPr="003314AE">
        <w:rPr>
          <w:rFonts w:asciiTheme="minorHAnsi" w:hAnsiTheme="minorHAnsi"/>
        </w:rPr>
        <w:tab/>
      </w:r>
      <w:r w:rsidR="00421B3C" w:rsidRPr="003314AE">
        <w:rPr>
          <w:rFonts w:asciiTheme="minorHAnsi" w:hAnsiTheme="minorHAnsi"/>
        </w:rPr>
        <w:t>Provides the context</w:t>
      </w:r>
      <w:r w:rsidR="0085664C" w:rsidRPr="003314AE">
        <w:rPr>
          <w:rFonts w:asciiTheme="minorHAnsi" w:hAnsiTheme="minorHAnsi"/>
        </w:rPr>
        <w:t xml:space="preserve"> and objectives of </w:t>
      </w:r>
      <w:r w:rsidR="00421B3C" w:rsidRPr="003314AE">
        <w:rPr>
          <w:rFonts w:asciiTheme="minorHAnsi" w:hAnsiTheme="minorHAnsi"/>
        </w:rPr>
        <w:t xml:space="preserve">the Review, </w:t>
      </w:r>
      <w:r w:rsidR="0085664C" w:rsidRPr="003314AE">
        <w:rPr>
          <w:rFonts w:asciiTheme="minorHAnsi" w:hAnsiTheme="minorHAnsi"/>
        </w:rPr>
        <w:t xml:space="preserve">a brief description of </w:t>
      </w:r>
      <w:r w:rsidR="00FC63C1" w:rsidRPr="003314AE">
        <w:rPr>
          <w:rFonts w:asciiTheme="minorHAnsi" w:hAnsiTheme="minorHAnsi"/>
        </w:rPr>
        <w:t>PAH</w:t>
      </w:r>
      <w:r w:rsidR="0085664C" w:rsidRPr="003314AE">
        <w:rPr>
          <w:rFonts w:asciiTheme="minorHAnsi" w:hAnsiTheme="minorHAnsi"/>
        </w:rPr>
        <w:t xml:space="preserve"> and its prevalence in Australia, the listing history for PBS listed </w:t>
      </w:r>
      <w:r w:rsidR="00FC63C1" w:rsidRPr="003314AE">
        <w:rPr>
          <w:rFonts w:asciiTheme="minorHAnsi" w:hAnsiTheme="minorHAnsi"/>
        </w:rPr>
        <w:t>PAH</w:t>
      </w:r>
      <w:r w:rsidR="0085664C" w:rsidRPr="003314AE">
        <w:rPr>
          <w:rFonts w:asciiTheme="minorHAnsi" w:hAnsiTheme="minorHAnsi"/>
        </w:rPr>
        <w:t xml:space="preserve"> </w:t>
      </w:r>
      <w:r w:rsidR="00460715">
        <w:rPr>
          <w:rFonts w:asciiTheme="minorHAnsi" w:hAnsiTheme="minorHAnsi"/>
        </w:rPr>
        <w:t>medicines</w:t>
      </w:r>
      <w:r w:rsidR="00460715" w:rsidRPr="003314AE">
        <w:rPr>
          <w:rFonts w:asciiTheme="minorHAnsi" w:hAnsiTheme="minorHAnsi"/>
        </w:rPr>
        <w:t xml:space="preserve"> </w:t>
      </w:r>
      <w:r w:rsidR="0085664C" w:rsidRPr="003314AE">
        <w:rPr>
          <w:rFonts w:asciiTheme="minorHAnsi" w:hAnsiTheme="minorHAnsi"/>
        </w:rPr>
        <w:t xml:space="preserve">and their prescribing restrictions, and the </w:t>
      </w:r>
      <w:proofErr w:type="spellStart"/>
      <w:r w:rsidR="0085664C" w:rsidRPr="003314AE">
        <w:rPr>
          <w:rFonts w:asciiTheme="minorHAnsi" w:hAnsiTheme="minorHAnsi"/>
        </w:rPr>
        <w:t>ToR</w:t>
      </w:r>
      <w:proofErr w:type="spellEnd"/>
      <w:r w:rsidR="0085664C" w:rsidRPr="003314AE">
        <w:rPr>
          <w:rFonts w:asciiTheme="minorHAnsi" w:hAnsiTheme="minorHAnsi"/>
        </w:rPr>
        <w:t xml:space="preserve"> for the review.</w:t>
      </w:r>
    </w:p>
    <w:p w14:paraId="08598C87" w14:textId="77777777" w:rsidR="00421B3C" w:rsidRPr="003314AE" w:rsidRDefault="00421B3C" w:rsidP="00862FD6">
      <w:pPr>
        <w:pStyle w:val="ToRsinboxwithhangingindent"/>
        <w:pBdr>
          <w:left w:val="single" w:sz="4" w:space="5" w:color="auto"/>
        </w:pBdr>
        <w:tabs>
          <w:tab w:val="clear" w:pos="1304"/>
          <w:tab w:val="left" w:pos="1560"/>
        </w:tabs>
        <w:ind w:left="1560" w:hanging="1560"/>
        <w:jc w:val="left"/>
        <w:rPr>
          <w:rFonts w:asciiTheme="minorHAnsi" w:hAnsiTheme="minorHAnsi"/>
        </w:rPr>
      </w:pPr>
      <w:r w:rsidRPr="003314AE">
        <w:rPr>
          <w:rFonts w:asciiTheme="minorHAnsi" w:hAnsiTheme="minorHAnsi"/>
          <w:b/>
        </w:rPr>
        <w:t xml:space="preserve">Section </w:t>
      </w:r>
      <w:r w:rsidR="00B72D30" w:rsidRPr="003314AE">
        <w:rPr>
          <w:rFonts w:asciiTheme="minorHAnsi" w:hAnsiTheme="minorHAnsi"/>
          <w:b/>
        </w:rPr>
        <w:t>1</w:t>
      </w:r>
      <w:r w:rsidRPr="003314AE">
        <w:rPr>
          <w:rFonts w:asciiTheme="minorHAnsi" w:hAnsiTheme="minorHAnsi"/>
        </w:rPr>
        <w:t xml:space="preserve"> </w:t>
      </w:r>
      <w:r w:rsidRPr="003314AE">
        <w:rPr>
          <w:rFonts w:asciiTheme="minorHAnsi" w:hAnsiTheme="minorHAnsi"/>
        </w:rPr>
        <w:tab/>
      </w:r>
      <w:proofErr w:type="spellStart"/>
      <w:r w:rsidRPr="003314AE">
        <w:rPr>
          <w:rFonts w:asciiTheme="minorHAnsi" w:hAnsiTheme="minorHAnsi"/>
        </w:rPr>
        <w:t>ToR</w:t>
      </w:r>
      <w:proofErr w:type="spellEnd"/>
      <w:r w:rsidRPr="003314AE">
        <w:rPr>
          <w:rFonts w:asciiTheme="minorHAnsi" w:hAnsiTheme="minorHAnsi"/>
        </w:rPr>
        <w:t xml:space="preserve"> 1: </w:t>
      </w:r>
      <w:r w:rsidR="00944EDA" w:rsidRPr="003314AE">
        <w:rPr>
          <w:rFonts w:asciiTheme="minorHAnsi" w:hAnsiTheme="minorHAnsi"/>
        </w:rPr>
        <w:t>Review</w:t>
      </w:r>
      <w:r w:rsidR="00F62E0A" w:rsidRPr="003314AE">
        <w:rPr>
          <w:rFonts w:asciiTheme="minorHAnsi" w:hAnsiTheme="minorHAnsi"/>
        </w:rPr>
        <w:t>s</w:t>
      </w:r>
      <w:r w:rsidR="00944EDA" w:rsidRPr="003314AE">
        <w:rPr>
          <w:rFonts w:asciiTheme="minorHAnsi" w:hAnsiTheme="minorHAnsi"/>
        </w:rPr>
        <w:t xml:space="preserve"> recent clinical guidelines for the management of PAH and compare this to the </w:t>
      </w:r>
      <w:r w:rsidR="00460715">
        <w:rPr>
          <w:rFonts w:asciiTheme="minorHAnsi" w:hAnsiTheme="minorHAnsi"/>
        </w:rPr>
        <w:t>Pharmaceutical Benefits Scheme (</w:t>
      </w:r>
      <w:r w:rsidR="00944EDA" w:rsidRPr="003314AE">
        <w:rPr>
          <w:rFonts w:asciiTheme="minorHAnsi" w:hAnsiTheme="minorHAnsi"/>
        </w:rPr>
        <w:t>PBS</w:t>
      </w:r>
      <w:r w:rsidR="00460715">
        <w:rPr>
          <w:rFonts w:asciiTheme="minorHAnsi" w:hAnsiTheme="minorHAnsi"/>
        </w:rPr>
        <w:t>)</w:t>
      </w:r>
      <w:r w:rsidR="00944EDA" w:rsidRPr="003314AE">
        <w:rPr>
          <w:rFonts w:asciiTheme="minorHAnsi" w:hAnsiTheme="minorHAnsi"/>
        </w:rPr>
        <w:t xml:space="preserve"> restrictions and Therapeutic Goods Administration (TGA) indications for the use of PAH medicines.</w:t>
      </w:r>
    </w:p>
    <w:p w14:paraId="6E70C259" w14:textId="77777777" w:rsidR="00944EDA" w:rsidRPr="003314AE" w:rsidRDefault="00421B3C" w:rsidP="00862FD6">
      <w:pPr>
        <w:pStyle w:val="ToRsinboxwithhangingindent"/>
        <w:pBdr>
          <w:left w:val="single" w:sz="4" w:space="5" w:color="auto"/>
        </w:pBdr>
        <w:tabs>
          <w:tab w:val="clear" w:pos="1304"/>
          <w:tab w:val="left" w:pos="1560"/>
        </w:tabs>
        <w:ind w:left="1560" w:hanging="1560"/>
        <w:jc w:val="left"/>
        <w:rPr>
          <w:rFonts w:asciiTheme="minorHAnsi" w:hAnsiTheme="minorHAnsi"/>
        </w:rPr>
      </w:pPr>
      <w:r w:rsidRPr="003314AE">
        <w:rPr>
          <w:rFonts w:asciiTheme="minorHAnsi" w:hAnsiTheme="minorHAnsi"/>
          <w:b/>
        </w:rPr>
        <w:t xml:space="preserve">Section </w:t>
      </w:r>
      <w:r w:rsidR="00B72D30" w:rsidRPr="003314AE">
        <w:rPr>
          <w:rFonts w:asciiTheme="minorHAnsi" w:hAnsiTheme="minorHAnsi"/>
          <w:b/>
        </w:rPr>
        <w:t>2</w:t>
      </w:r>
      <w:r w:rsidRPr="003314AE">
        <w:rPr>
          <w:rFonts w:asciiTheme="minorHAnsi" w:hAnsiTheme="minorHAnsi"/>
        </w:rPr>
        <w:tab/>
      </w:r>
      <w:proofErr w:type="spellStart"/>
      <w:r w:rsidRPr="003314AE">
        <w:rPr>
          <w:rFonts w:asciiTheme="minorHAnsi" w:hAnsiTheme="minorHAnsi"/>
        </w:rPr>
        <w:t>ToR</w:t>
      </w:r>
      <w:proofErr w:type="spellEnd"/>
      <w:r w:rsidRPr="003314AE">
        <w:rPr>
          <w:rFonts w:asciiTheme="minorHAnsi" w:hAnsiTheme="minorHAnsi"/>
        </w:rPr>
        <w:t xml:space="preserve"> 2: </w:t>
      </w:r>
      <w:r w:rsidR="00944EDA" w:rsidRPr="003314AE">
        <w:rPr>
          <w:rFonts w:asciiTheme="minorHAnsi" w:hAnsiTheme="minorHAnsi"/>
        </w:rPr>
        <w:t>Review</w:t>
      </w:r>
      <w:r w:rsidR="00F62E0A" w:rsidRPr="003314AE">
        <w:rPr>
          <w:rFonts w:asciiTheme="minorHAnsi" w:hAnsiTheme="minorHAnsi"/>
        </w:rPr>
        <w:t>s</w:t>
      </w:r>
      <w:r w:rsidR="00944EDA" w:rsidRPr="003314AE">
        <w:rPr>
          <w:rFonts w:asciiTheme="minorHAnsi" w:hAnsiTheme="minorHAnsi"/>
        </w:rPr>
        <w:t xml:space="preserve"> the utilisation of PAH medicines in Australia, including sources of data that can provide additional information on clinical use that is not available from PBS data.</w:t>
      </w:r>
    </w:p>
    <w:p w14:paraId="76DCD015" w14:textId="77777777" w:rsidR="00421B3C" w:rsidRPr="003314AE" w:rsidRDefault="00421B3C" w:rsidP="00862FD6">
      <w:pPr>
        <w:pStyle w:val="ToRsinboxwithhangingindent"/>
        <w:pBdr>
          <w:left w:val="single" w:sz="4" w:space="5" w:color="auto"/>
        </w:pBdr>
        <w:tabs>
          <w:tab w:val="clear" w:pos="1304"/>
          <w:tab w:val="left" w:pos="1560"/>
        </w:tabs>
        <w:ind w:left="1560" w:hanging="1560"/>
        <w:jc w:val="left"/>
        <w:rPr>
          <w:rFonts w:asciiTheme="minorHAnsi" w:hAnsiTheme="minorHAnsi"/>
        </w:rPr>
      </w:pPr>
      <w:r w:rsidRPr="003314AE">
        <w:rPr>
          <w:rFonts w:asciiTheme="minorHAnsi" w:hAnsiTheme="minorHAnsi"/>
          <w:b/>
        </w:rPr>
        <w:t xml:space="preserve">Section </w:t>
      </w:r>
      <w:r w:rsidR="00B72D30" w:rsidRPr="003314AE">
        <w:rPr>
          <w:rFonts w:asciiTheme="minorHAnsi" w:hAnsiTheme="minorHAnsi"/>
          <w:b/>
        </w:rPr>
        <w:t>3</w:t>
      </w:r>
      <w:r w:rsidRPr="003314AE">
        <w:rPr>
          <w:rFonts w:asciiTheme="minorHAnsi" w:hAnsiTheme="minorHAnsi"/>
        </w:rPr>
        <w:tab/>
      </w:r>
      <w:proofErr w:type="spellStart"/>
      <w:r w:rsidRPr="003314AE">
        <w:rPr>
          <w:rFonts w:asciiTheme="minorHAnsi" w:hAnsiTheme="minorHAnsi"/>
        </w:rPr>
        <w:t>ToR</w:t>
      </w:r>
      <w:proofErr w:type="spellEnd"/>
      <w:r w:rsidRPr="003314AE">
        <w:rPr>
          <w:rFonts w:asciiTheme="minorHAnsi" w:hAnsiTheme="minorHAnsi"/>
        </w:rPr>
        <w:t xml:space="preserve"> 3: </w:t>
      </w:r>
      <w:r w:rsidR="00944EDA" w:rsidRPr="003314AE">
        <w:rPr>
          <w:rFonts w:asciiTheme="minorHAnsi" w:hAnsiTheme="minorHAnsi"/>
        </w:rPr>
        <w:t>Review</w:t>
      </w:r>
      <w:r w:rsidR="00F62E0A" w:rsidRPr="003314AE">
        <w:rPr>
          <w:rFonts w:asciiTheme="minorHAnsi" w:hAnsiTheme="minorHAnsi"/>
        </w:rPr>
        <w:t>s</w:t>
      </w:r>
      <w:r w:rsidR="00944EDA" w:rsidRPr="003314AE">
        <w:rPr>
          <w:rFonts w:asciiTheme="minorHAnsi" w:hAnsiTheme="minorHAnsi"/>
        </w:rPr>
        <w:t xml:space="preserve"> the clinical outcomes that are most important or clinically relevant to patients with PAH, and the extent to which these outcomes are included in the evidence previously considered by </w:t>
      </w:r>
      <w:r w:rsidR="00460715">
        <w:rPr>
          <w:rFonts w:asciiTheme="minorHAnsi" w:hAnsiTheme="minorHAnsi"/>
        </w:rPr>
        <w:t>Pharmaceutical Benefits Advisory Committee (</w:t>
      </w:r>
      <w:r w:rsidR="00944EDA" w:rsidRPr="003314AE">
        <w:rPr>
          <w:rFonts w:asciiTheme="minorHAnsi" w:hAnsiTheme="minorHAnsi"/>
        </w:rPr>
        <w:t>PBAC</w:t>
      </w:r>
      <w:r w:rsidR="00460715">
        <w:rPr>
          <w:rFonts w:asciiTheme="minorHAnsi" w:hAnsiTheme="minorHAnsi"/>
        </w:rPr>
        <w:t>)</w:t>
      </w:r>
      <w:r w:rsidR="00944EDA" w:rsidRPr="003314AE">
        <w:rPr>
          <w:rFonts w:asciiTheme="minorHAnsi" w:hAnsiTheme="minorHAnsi"/>
        </w:rPr>
        <w:t>.</w:t>
      </w:r>
    </w:p>
    <w:p w14:paraId="1027AA4C" w14:textId="77777777" w:rsidR="00421B3C" w:rsidRPr="003314AE" w:rsidRDefault="00421B3C" w:rsidP="00862FD6">
      <w:pPr>
        <w:pStyle w:val="ToRsinboxwithhangingindent"/>
        <w:pBdr>
          <w:left w:val="single" w:sz="4" w:space="5" w:color="auto"/>
        </w:pBdr>
        <w:tabs>
          <w:tab w:val="clear" w:pos="1304"/>
          <w:tab w:val="left" w:pos="1560"/>
        </w:tabs>
        <w:ind w:left="1560" w:hanging="1560"/>
        <w:jc w:val="left"/>
        <w:rPr>
          <w:rFonts w:asciiTheme="minorHAnsi" w:hAnsiTheme="minorHAnsi"/>
        </w:rPr>
      </w:pPr>
      <w:r w:rsidRPr="003314AE">
        <w:rPr>
          <w:rFonts w:asciiTheme="minorHAnsi" w:hAnsiTheme="minorHAnsi"/>
          <w:b/>
        </w:rPr>
        <w:t xml:space="preserve">Section </w:t>
      </w:r>
      <w:r w:rsidR="00B72D30" w:rsidRPr="003314AE">
        <w:rPr>
          <w:rFonts w:asciiTheme="minorHAnsi" w:hAnsiTheme="minorHAnsi"/>
          <w:b/>
        </w:rPr>
        <w:t>4</w:t>
      </w:r>
      <w:r w:rsidRPr="003314AE">
        <w:rPr>
          <w:rFonts w:asciiTheme="minorHAnsi" w:hAnsiTheme="minorHAnsi"/>
        </w:rPr>
        <w:tab/>
      </w:r>
      <w:proofErr w:type="spellStart"/>
      <w:r w:rsidRPr="003314AE">
        <w:rPr>
          <w:rFonts w:asciiTheme="minorHAnsi" w:hAnsiTheme="minorHAnsi"/>
        </w:rPr>
        <w:t>ToR</w:t>
      </w:r>
      <w:proofErr w:type="spellEnd"/>
      <w:r w:rsidRPr="003314AE">
        <w:rPr>
          <w:rFonts w:asciiTheme="minorHAnsi" w:hAnsiTheme="minorHAnsi"/>
        </w:rPr>
        <w:t xml:space="preserve"> 4: </w:t>
      </w:r>
      <w:r w:rsidR="00944EDA" w:rsidRPr="003314AE">
        <w:rPr>
          <w:rFonts w:asciiTheme="minorHAnsi" w:hAnsiTheme="minorHAnsi"/>
        </w:rPr>
        <w:t>Collate</w:t>
      </w:r>
      <w:r w:rsidR="00F62E0A" w:rsidRPr="003314AE">
        <w:rPr>
          <w:rFonts w:asciiTheme="minorHAnsi" w:hAnsiTheme="minorHAnsi"/>
        </w:rPr>
        <w:t>s</w:t>
      </w:r>
      <w:r w:rsidR="00944EDA" w:rsidRPr="003314AE">
        <w:rPr>
          <w:rFonts w:asciiTheme="minorHAnsi" w:hAnsiTheme="minorHAnsi"/>
        </w:rPr>
        <w:t xml:space="preserve"> and evaluate</w:t>
      </w:r>
      <w:r w:rsidR="00F62E0A" w:rsidRPr="003314AE">
        <w:rPr>
          <w:rFonts w:asciiTheme="minorHAnsi" w:hAnsiTheme="minorHAnsi"/>
        </w:rPr>
        <w:t>s</w:t>
      </w:r>
      <w:r w:rsidR="00944EDA" w:rsidRPr="003314AE">
        <w:rPr>
          <w:rFonts w:asciiTheme="minorHAnsi" w:hAnsiTheme="minorHAnsi"/>
        </w:rPr>
        <w:t xml:space="preserve"> evidence on the comparative effectiveness of PAH medicines, including combination use and use in the </w:t>
      </w:r>
      <w:r w:rsidR="00460715">
        <w:rPr>
          <w:rFonts w:asciiTheme="minorHAnsi" w:hAnsiTheme="minorHAnsi"/>
        </w:rPr>
        <w:t>World Health Organization (</w:t>
      </w:r>
      <w:r w:rsidR="00944EDA" w:rsidRPr="003314AE">
        <w:rPr>
          <w:rFonts w:asciiTheme="minorHAnsi" w:hAnsiTheme="minorHAnsi"/>
        </w:rPr>
        <w:t>WHO</w:t>
      </w:r>
      <w:r w:rsidR="00460715">
        <w:rPr>
          <w:rFonts w:asciiTheme="minorHAnsi" w:hAnsiTheme="minorHAnsi"/>
        </w:rPr>
        <w:t>)</w:t>
      </w:r>
      <w:r w:rsidR="00944EDA" w:rsidRPr="003314AE">
        <w:rPr>
          <w:rFonts w:asciiTheme="minorHAnsi" w:hAnsiTheme="minorHAnsi"/>
        </w:rPr>
        <w:t xml:space="preserve"> functional class</w:t>
      </w:r>
      <w:r w:rsidR="00460715">
        <w:rPr>
          <w:rFonts w:asciiTheme="minorHAnsi" w:hAnsiTheme="minorHAnsi"/>
        </w:rPr>
        <w:t xml:space="preserve"> (FC)</w:t>
      </w:r>
      <w:r w:rsidR="00944EDA" w:rsidRPr="003314AE">
        <w:rPr>
          <w:rFonts w:asciiTheme="minorHAnsi" w:hAnsiTheme="minorHAnsi"/>
        </w:rPr>
        <w:t xml:space="preserve"> II patient populations.</w:t>
      </w:r>
    </w:p>
    <w:p w14:paraId="5CBCD20A" w14:textId="77777777" w:rsidR="00417A76" w:rsidRPr="003314AE" w:rsidRDefault="00421B3C" w:rsidP="00862FD6">
      <w:pPr>
        <w:pStyle w:val="ToRsinboxwithhangingindent"/>
        <w:pBdr>
          <w:left w:val="single" w:sz="4" w:space="5" w:color="auto"/>
        </w:pBdr>
        <w:tabs>
          <w:tab w:val="clear" w:pos="1304"/>
          <w:tab w:val="left" w:pos="1560"/>
        </w:tabs>
        <w:ind w:left="1560" w:hanging="1560"/>
        <w:jc w:val="left"/>
        <w:rPr>
          <w:rFonts w:asciiTheme="minorHAnsi" w:hAnsiTheme="minorHAnsi"/>
        </w:rPr>
      </w:pPr>
      <w:r w:rsidRPr="003314AE">
        <w:rPr>
          <w:rFonts w:asciiTheme="minorHAnsi" w:hAnsiTheme="minorHAnsi"/>
          <w:b/>
        </w:rPr>
        <w:t xml:space="preserve">Section </w:t>
      </w:r>
      <w:r w:rsidR="00B72D30" w:rsidRPr="003314AE">
        <w:rPr>
          <w:rFonts w:asciiTheme="minorHAnsi" w:hAnsiTheme="minorHAnsi"/>
          <w:b/>
        </w:rPr>
        <w:t>5</w:t>
      </w:r>
      <w:r w:rsidRPr="003314AE">
        <w:rPr>
          <w:rFonts w:asciiTheme="minorHAnsi" w:hAnsiTheme="minorHAnsi"/>
        </w:rPr>
        <w:tab/>
      </w:r>
      <w:proofErr w:type="spellStart"/>
      <w:r w:rsidRPr="003314AE">
        <w:rPr>
          <w:rFonts w:asciiTheme="minorHAnsi" w:hAnsiTheme="minorHAnsi"/>
        </w:rPr>
        <w:t>ToR</w:t>
      </w:r>
      <w:proofErr w:type="spellEnd"/>
      <w:r w:rsidRPr="003314AE">
        <w:rPr>
          <w:rFonts w:asciiTheme="minorHAnsi" w:hAnsiTheme="minorHAnsi"/>
        </w:rPr>
        <w:t xml:space="preserve"> 5: </w:t>
      </w:r>
      <w:r w:rsidR="004B426F" w:rsidRPr="003314AE">
        <w:rPr>
          <w:rFonts w:asciiTheme="minorHAnsi" w:hAnsiTheme="minorHAnsi"/>
        </w:rPr>
        <w:t>Summarises the evidence considered in</w:t>
      </w:r>
      <w:r w:rsidR="00944EDA" w:rsidRPr="003314AE">
        <w:rPr>
          <w:rFonts w:asciiTheme="minorHAnsi" w:hAnsiTheme="minorHAnsi"/>
        </w:rPr>
        <w:t xml:space="preserve"> </w:t>
      </w:r>
      <w:proofErr w:type="spellStart"/>
      <w:r w:rsidR="00944EDA" w:rsidRPr="003314AE">
        <w:rPr>
          <w:rFonts w:asciiTheme="minorHAnsi" w:hAnsiTheme="minorHAnsi"/>
        </w:rPr>
        <w:t>ToR</w:t>
      </w:r>
      <w:proofErr w:type="spellEnd"/>
      <w:r w:rsidR="00944EDA" w:rsidRPr="003314AE">
        <w:rPr>
          <w:rFonts w:asciiTheme="minorHAnsi" w:hAnsiTheme="minorHAnsi"/>
        </w:rPr>
        <w:t xml:space="preserve"> 1-4 </w:t>
      </w:r>
      <w:r w:rsidR="004B426F" w:rsidRPr="003314AE">
        <w:rPr>
          <w:rFonts w:asciiTheme="minorHAnsi" w:hAnsiTheme="minorHAnsi"/>
        </w:rPr>
        <w:t>and pr</w:t>
      </w:r>
      <w:r w:rsidR="00E80465" w:rsidRPr="003314AE">
        <w:rPr>
          <w:rFonts w:asciiTheme="minorHAnsi" w:hAnsiTheme="minorHAnsi"/>
        </w:rPr>
        <w:t>e</w:t>
      </w:r>
      <w:r w:rsidR="004B426F" w:rsidRPr="003314AE">
        <w:rPr>
          <w:rFonts w:asciiTheme="minorHAnsi" w:hAnsiTheme="minorHAnsi"/>
        </w:rPr>
        <w:t xml:space="preserve">sents options for the PBAC to determine if a </w:t>
      </w:r>
      <w:r w:rsidR="00944EDA" w:rsidRPr="003314AE">
        <w:rPr>
          <w:rFonts w:asciiTheme="minorHAnsi" w:hAnsiTheme="minorHAnsi"/>
        </w:rPr>
        <w:t xml:space="preserve">cost-effectiveness </w:t>
      </w:r>
      <w:r w:rsidR="004B426F" w:rsidRPr="003314AE">
        <w:rPr>
          <w:rFonts w:asciiTheme="minorHAnsi" w:hAnsiTheme="minorHAnsi"/>
        </w:rPr>
        <w:t xml:space="preserve">review </w:t>
      </w:r>
      <w:r w:rsidR="00944EDA" w:rsidRPr="003314AE">
        <w:rPr>
          <w:rFonts w:asciiTheme="minorHAnsi" w:hAnsiTheme="minorHAnsi"/>
        </w:rPr>
        <w:t>of existing PBS listings for PAH medicines</w:t>
      </w:r>
      <w:r w:rsidR="001A0F96">
        <w:rPr>
          <w:rFonts w:asciiTheme="minorHAnsi" w:hAnsiTheme="minorHAnsi"/>
        </w:rPr>
        <w:t xml:space="preserve"> is required</w:t>
      </w:r>
      <w:r w:rsidR="00944EDA" w:rsidRPr="003314AE">
        <w:rPr>
          <w:rFonts w:asciiTheme="minorHAnsi" w:hAnsiTheme="minorHAnsi"/>
        </w:rPr>
        <w:t xml:space="preserve">, </w:t>
      </w:r>
      <w:r w:rsidR="001A0F96">
        <w:rPr>
          <w:rFonts w:asciiTheme="minorHAnsi" w:hAnsiTheme="minorHAnsi"/>
        </w:rPr>
        <w:t>including for</w:t>
      </w:r>
      <w:r w:rsidR="00944EDA" w:rsidRPr="003314AE">
        <w:rPr>
          <w:rFonts w:asciiTheme="minorHAnsi" w:hAnsiTheme="minorHAnsi"/>
        </w:rPr>
        <w:t xml:space="preserve"> treatment of WHO </w:t>
      </w:r>
      <w:r w:rsidR="00460715">
        <w:rPr>
          <w:rFonts w:asciiTheme="minorHAnsi" w:hAnsiTheme="minorHAnsi"/>
        </w:rPr>
        <w:t>FC</w:t>
      </w:r>
      <w:r w:rsidR="00944EDA" w:rsidRPr="003314AE">
        <w:rPr>
          <w:rFonts w:asciiTheme="minorHAnsi" w:hAnsiTheme="minorHAnsi"/>
        </w:rPr>
        <w:t xml:space="preserve"> II and combination treatment in </w:t>
      </w:r>
      <w:r w:rsidR="00460715">
        <w:rPr>
          <w:rFonts w:asciiTheme="minorHAnsi" w:hAnsiTheme="minorHAnsi"/>
        </w:rPr>
        <w:t>FC</w:t>
      </w:r>
      <w:r w:rsidR="00460715" w:rsidRPr="003314AE">
        <w:rPr>
          <w:rFonts w:asciiTheme="minorHAnsi" w:hAnsiTheme="minorHAnsi"/>
        </w:rPr>
        <w:t xml:space="preserve"> </w:t>
      </w:r>
      <w:r w:rsidR="00944EDA" w:rsidRPr="003314AE">
        <w:rPr>
          <w:rFonts w:asciiTheme="minorHAnsi" w:hAnsiTheme="minorHAnsi"/>
        </w:rPr>
        <w:t xml:space="preserve">III and </w:t>
      </w:r>
      <w:r w:rsidR="00460715">
        <w:rPr>
          <w:rFonts w:asciiTheme="minorHAnsi" w:hAnsiTheme="minorHAnsi"/>
        </w:rPr>
        <w:t>FC</w:t>
      </w:r>
      <w:r w:rsidR="00460715" w:rsidRPr="003314AE">
        <w:rPr>
          <w:rFonts w:asciiTheme="minorHAnsi" w:hAnsiTheme="minorHAnsi"/>
        </w:rPr>
        <w:t xml:space="preserve"> </w:t>
      </w:r>
      <w:r w:rsidR="00944EDA" w:rsidRPr="003314AE">
        <w:rPr>
          <w:rFonts w:asciiTheme="minorHAnsi" w:hAnsiTheme="minorHAnsi"/>
        </w:rPr>
        <w:t>IV patients.</w:t>
      </w:r>
    </w:p>
    <w:p w14:paraId="52D2BED2" w14:textId="77777777" w:rsidR="003D6003" w:rsidRDefault="0003409D" w:rsidP="003A138E">
      <w:pPr>
        <w:pStyle w:val="Heading1"/>
        <w:numPr>
          <w:ilvl w:val="0"/>
          <w:numId w:val="0"/>
        </w:numPr>
      </w:pPr>
      <w:bookmarkStart w:id="10" w:name="_Toc480371855"/>
      <w:bookmarkStart w:id="11" w:name="_Toc486514188"/>
      <w:bookmarkStart w:id="12" w:name="_Toc38377476"/>
      <w:r w:rsidRPr="003A138E">
        <w:lastRenderedPageBreak/>
        <w:t>Background</w:t>
      </w:r>
      <w:bookmarkEnd w:id="10"/>
      <w:bookmarkEnd w:id="11"/>
      <w:bookmarkEnd w:id="12"/>
    </w:p>
    <w:p w14:paraId="79EF5B6C" w14:textId="77777777" w:rsidR="007053C1" w:rsidRDefault="007053C1" w:rsidP="00121658">
      <w:pPr>
        <w:pStyle w:val="Heading2"/>
        <w:numPr>
          <w:ilvl w:val="0"/>
          <w:numId w:val="0"/>
        </w:numPr>
        <w:jc w:val="left"/>
      </w:pPr>
      <w:bookmarkStart w:id="13" w:name="_Toc38377477"/>
      <w:r>
        <w:t>B.1 Post-market monitoring</w:t>
      </w:r>
      <w:bookmarkEnd w:id="13"/>
    </w:p>
    <w:p w14:paraId="6E9335F8" w14:textId="77777777" w:rsidR="007053C1" w:rsidRPr="003314AE" w:rsidRDefault="007053C1" w:rsidP="00121658">
      <w:pPr>
        <w:pStyle w:val="BodyTextnospacebefore"/>
      </w:pPr>
      <w:r w:rsidRPr="003314AE">
        <w:t xml:space="preserve">The Post-Market Review (PMR) program is a systematic approach to monitoring medicines subsidised by the PBS. PMRs </w:t>
      </w:r>
      <w:proofErr w:type="gramStart"/>
      <w:r w:rsidRPr="003314AE">
        <w:t>were initiated</w:t>
      </w:r>
      <w:proofErr w:type="gramEnd"/>
      <w:r w:rsidRPr="003314AE">
        <w:t xml:space="preserve"> under the 2011-12 Budget measure ‘Improving sustainability of the PBS through enhanced post-market surveillance’.</w:t>
      </w:r>
    </w:p>
    <w:p w14:paraId="208A4F20" w14:textId="77777777" w:rsidR="007053C1" w:rsidRPr="003314AE" w:rsidRDefault="007053C1" w:rsidP="00121658">
      <w:pPr>
        <w:pStyle w:val="BodyTextnospacebefore"/>
      </w:pPr>
      <w:r w:rsidRPr="003314AE">
        <w:t>PMRs are established under the quality use of medicines objective of the National Medicines Policy framework; promoting the safe and effective use of medicines, with the aim to improve health outcomes for all Australians.</w:t>
      </w:r>
    </w:p>
    <w:p w14:paraId="750A44FB" w14:textId="77777777" w:rsidR="007053C1" w:rsidRPr="003314AE" w:rsidRDefault="007053C1" w:rsidP="00121658">
      <w:pPr>
        <w:pStyle w:val="BodyTextnospacebefore"/>
      </w:pPr>
      <w:r w:rsidRPr="003314AE">
        <w:t>The PMR program contributes to the following:</w:t>
      </w:r>
    </w:p>
    <w:p w14:paraId="26054087" w14:textId="77777777" w:rsidR="00DE3173" w:rsidRPr="006C0DFB" w:rsidRDefault="00DE3173" w:rsidP="00921D13">
      <w:pPr>
        <w:pStyle w:val="08Bulletsseriesofsentences"/>
        <w:rPr>
          <w:lang w:eastAsia="en-AU"/>
        </w:rPr>
      </w:pPr>
      <w:r w:rsidRPr="006C0DFB">
        <w:rPr>
          <w:lang w:eastAsia="en-AU"/>
        </w:rPr>
        <w:t>Improved patient safety through better understanding of adverse events and medicine-related harms.</w:t>
      </w:r>
    </w:p>
    <w:p w14:paraId="328951E3" w14:textId="77777777" w:rsidR="00DE3173" w:rsidRPr="006C0DFB" w:rsidRDefault="00DE3173" w:rsidP="00921D13">
      <w:pPr>
        <w:pStyle w:val="08Bulletsseriesofsentences"/>
        <w:rPr>
          <w:lang w:eastAsia="en-AU"/>
        </w:rPr>
      </w:pPr>
      <w:r w:rsidRPr="006C0DFB">
        <w:rPr>
          <w:lang w:eastAsia="en-AU"/>
        </w:rPr>
        <w:t>Ensuring the ongoing viability of the PBS through targeted medicines usage and avoiding preventable wastage or inappropriate prescribing.</w:t>
      </w:r>
    </w:p>
    <w:p w14:paraId="591738F2" w14:textId="77777777" w:rsidR="00DE3173" w:rsidRPr="006C0DFB" w:rsidRDefault="00DE3173" w:rsidP="00921D13">
      <w:pPr>
        <w:pStyle w:val="08Bulletsseriesofsentences"/>
        <w:rPr>
          <w:lang w:eastAsia="en-AU"/>
        </w:rPr>
      </w:pPr>
      <w:r w:rsidRPr="006C0DFB">
        <w:rPr>
          <w:lang w:eastAsia="en-AU"/>
        </w:rPr>
        <w:t>A better understanding of medicines utilisation, to review intended clinical benefit and inform medicines evaluation processes.</w:t>
      </w:r>
    </w:p>
    <w:p w14:paraId="6AF080B1" w14:textId="77777777" w:rsidR="00DE3173" w:rsidRPr="006C0DFB" w:rsidRDefault="00DE3173" w:rsidP="00921D13">
      <w:pPr>
        <w:pStyle w:val="08Bulletsseriesofsentences"/>
        <w:rPr>
          <w:lang w:eastAsia="en-AU"/>
        </w:rPr>
      </w:pPr>
      <w:r w:rsidRPr="006C0DFB">
        <w:rPr>
          <w:lang w:eastAsia="en-AU"/>
        </w:rPr>
        <w:t>Ongoing cost-effectiveness, including through better management of clinical and economic uncertainty.</w:t>
      </w:r>
    </w:p>
    <w:p w14:paraId="2785EBE8" w14:textId="77777777" w:rsidR="00DE3173" w:rsidRPr="006C0DFB" w:rsidRDefault="00DE3173" w:rsidP="00921D13">
      <w:pPr>
        <w:pStyle w:val="08Bulletsseriesofsentences"/>
        <w:rPr>
          <w:lang w:eastAsia="en-AU"/>
        </w:rPr>
      </w:pPr>
      <w:r w:rsidRPr="006C0DFB">
        <w:rPr>
          <w:lang w:eastAsia="en-AU"/>
        </w:rPr>
        <w:t>Overall improvements to the quality use of medicines and education for patients and prescribers.</w:t>
      </w:r>
    </w:p>
    <w:p w14:paraId="57B7E272" w14:textId="77777777" w:rsidR="007053C1" w:rsidRPr="00DA3E05" w:rsidRDefault="007053C1" w:rsidP="00121658">
      <w:pPr>
        <w:pStyle w:val="BodyTextnospacebefore"/>
      </w:pPr>
      <w:r w:rsidRPr="00DA3E05">
        <w:t xml:space="preserve">Post-market reviews </w:t>
      </w:r>
      <w:proofErr w:type="gramStart"/>
      <w:r w:rsidRPr="00DA3E05">
        <w:t>can be initiated</w:t>
      </w:r>
      <w:proofErr w:type="gramEnd"/>
      <w:r w:rsidRPr="00DA3E05">
        <w:t xml:space="preserve"> when concerns related to the quality use of a medicine, cost-effectiveness, clinical effectiveness, higher than predicted utilisation and/or international differences are raised. A full post-market review will only proceed following PBAC agreement and Mi</w:t>
      </w:r>
      <w:r w:rsidR="00F20537">
        <w:t>nisterial approval.</w:t>
      </w:r>
    </w:p>
    <w:p w14:paraId="44770DF9" w14:textId="77777777" w:rsidR="007053C1" w:rsidRDefault="007053C1" w:rsidP="00121658">
      <w:pPr>
        <w:pStyle w:val="Heading2"/>
        <w:numPr>
          <w:ilvl w:val="0"/>
          <w:numId w:val="0"/>
        </w:numPr>
        <w:jc w:val="left"/>
      </w:pPr>
      <w:bookmarkStart w:id="14" w:name="_Toc38377478"/>
      <w:r>
        <w:t>B.2 Context of the Review</w:t>
      </w:r>
      <w:bookmarkEnd w:id="14"/>
    </w:p>
    <w:p w14:paraId="265FEC24" w14:textId="77777777" w:rsidR="007053C1" w:rsidRPr="003314AE" w:rsidRDefault="007053C1" w:rsidP="00121658">
      <w:pPr>
        <w:pStyle w:val="BodyTextnospacebefore"/>
      </w:pPr>
      <w:r w:rsidRPr="00DA3E05">
        <w:t>In 2013, the Pulmonary Hypertension Society of Australia and New Zealand (PHSANZ) requested</w:t>
      </w:r>
      <w:r w:rsidRPr="003314AE">
        <w:t xml:space="preserve"> changes to the then current PBS restrictions for PAH medicines. At its November 2013 meeting, the PBAC considered that “such changes would all require consultation from sponsors and most would require evidence-based submissions regarding maintenance of acceptable cost-effectiveness”. </w:t>
      </w:r>
      <w:r w:rsidR="00460715">
        <w:t xml:space="preserve">The </w:t>
      </w:r>
      <w:r w:rsidRPr="003314AE">
        <w:t xml:space="preserve">PBAC also noted that requests to make PAH medicines available for patients with WHO FC II disease or for use as part of combination therapy would require a submission to </w:t>
      </w:r>
      <w:proofErr w:type="gramStart"/>
      <w:r w:rsidRPr="003314AE">
        <w:t>be made</w:t>
      </w:r>
      <w:proofErr w:type="gramEnd"/>
      <w:r w:rsidRPr="003314AE">
        <w:t xml:space="preserve"> to the PBAC</w:t>
      </w:r>
      <w:r w:rsidR="005C080A" w:rsidRPr="003314AE">
        <w:t>,</w:t>
      </w:r>
      <w:r w:rsidRPr="003314AE">
        <w:t xml:space="preserve"> with evidence demonstrating the comparative clinical effectiveness and safety and cost-effectiveness of</w:t>
      </w:r>
      <w:r w:rsidR="001A0F96">
        <w:t xml:space="preserve"> therapy in such circumstances.</w:t>
      </w:r>
    </w:p>
    <w:p w14:paraId="48F2DD05" w14:textId="77777777" w:rsidR="007053C1" w:rsidRPr="003314AE" w:rsidRDefault="007053C1" w:rsidP="00121658">
      <w:pPr>
        <w:pStyle w:val="BodyTextnospacebefore"/>
      </w:pPr>
      <w:r w:rsidRPr="003314AE">
        <w:t xml:space="preserve">In </w:t>
      </w:r>
      <w:r w:rsidR="00FB5000">
        <w:t xml:space="preserve">March </w:t>
      </w:r>
      <w:r w:rsidRPr="003314AE">
        <w:t xml:space="preserve">2014, </w:t>
      </w:r>
      <w:r w:rsidR="00C67A2F">
        <w:t>when</w:t>
      </w:r>
      <w:r w:rsidRPr="003314AE">
        <w:t xml:space="preserve"> considering the submission for macitentan, the PBAC noted that “the PBS restrictions for the PAH agents have not been updated for some time and note that terminology and clinical guidelines have since changed”. The PBAC recommended that the restrictions for the </w:t>
      </w:r>
      <w:r w:rsidRPr="003314AE">
        <w:lastRenderedPageBreak/>
        <w:t>PAH medicines be reviewed to reflect current clinical guidelines on the proviso that the resultant change does not create any additional expenditure for the Commonwealth.</w:t>
      </w:r>
    </w:p>
    <w:p w14:paraId="2815EEA5" w14:textId="77777777" w:rsidR="007053C1" w:rsidRPr="003314AE" w:rsidRDefault="007053C1" w:rsidP="00121658">
      <w:pPr>
        <w:pStyle w:val="BodyTextnospacebefore"/>
      </w:pPr>
      <w:r w:rsidRPr="003314AE">
        <w:t>In February 2015 the Drug Utilisation Sub</w:t>
      </w:r>
      <w:r w:rsidR="008D3756">
        <w:t xml:space="preserve"> C</w:t>
      </w:r>
      <w:r w:rsidRPr="003314AE">
        <w:t xml:space="preserve">ommittee (DUSC) </w:t>
      </w:r>
      <w:r w:rsidR="00460715">
        <w:t xml:space="preserve">of the PBAC </w:t>
      </w:r>
      <w:r w:rsidRPr="003314AE">
        <w:t>conducted a PAH medicines utilisation analysis. The DUSC considered that the PBS restriction</w:t>
      </w:r>
      <w:r w:rsidR="00C67A2F">
        <w:t>s</w:t>
      </w:r>
      <w:r w:rsidRPr="003314AE">
        <w:t xml:space="preserve"> for PAH </w:t>
      </w:r>
      <w:r w:rsidR="00C67A2F" w:rsidRPr="003314AE">
        <w:t>medicines were</w:t>
      </w:r>
      <w:r w:rsidRPr="003314AE">
        <w:t xml:space="preserve"> not consistent with current treatment guidelines in that:</w:t>
      </w:r>
    </w:p>
    <w:p w14:paraId="6C710402" w14:textId="77777777" w:rsidR="007053C1" w:rsidRPr="003314AE" w:rsidRDefault="007053C1" w:rsidP="00921D13">
      <w:pPr>
        <w:pStyle w:val="08Bulletsseriesofsentences"/>
      </w:pPr>
      <w:r w:rsidRPr="003314AE">
        <w:t xml:space="preserve">It required failure to respond to 6 or more weeks of appropriate </w:t>
      </w:r>
      <w:r w:rsidRPr="00080C22">
        <w:t>vasodilator treatment</w:t>
      </w:r>
      <w:r w:rsidRPr="003314AE">
        <w:t xml:space="preserve"> for WHO FC III patients with a mean right atrial pressure of 8 mmHg or less;</w:t>
      </w:r>
    </w:p>
    <w:p w14:paraId="46B3B949" w14:textId="77777777" w:rsidR="007053C1" w:rsidRPr="003314AE" w:rsidRDefault="007053C1" w:rsidP="00921D13">
      <w:pPr>
        <w:pStyle w:val="08Bulletsseriesofsentences"/>
      </w:pPr>
      <w:r w:rsidRPr="003314AE">
        <w:t>It did not allow treatment of WHO FC II patients; and</w:t>
      </w:r>
    </w:p>
    <w:p w14:paraId="77D80965" w14:textId="77777777" w:rsidR="007053C1" w:rsidRPr="003314AE" w:rsidRDefault="007053C1" w:rsidP="00921D13">
      <w:pPr>
        <w:pStyle w:val="08Bulletsseriesofsentences"/>
      </w:pPr>
      <w:r w:rsidRPr="003314AE">
        <w:t>It did not allow combination therapy.</w:t>
      </w:r>
    </w:p>
    <w:p w14:paraId="35ED6CC4" w14:textId="77777777" w:rsidR="007053C1" w:rsidRPr="003314AE" w:rsidRDefault="007053C1" w:rsidP="00121658">
      <w:pPr>
        <w:pStyle w:val="BodyTextnospacebefore"/>
      </w:pPr>
      <w:r w:rsidRPr="003314AE">
        <w:t xml:space="preserve">These issues </w:t>
      </w:r>
      <w:proofErr w:type="gramStart"/>
      <w:r w:rsidRPr="003314AE">
        <w:t>were also noted</w:t>
      </w:r>
      <w:proofErr w:type="gramEnd"/>
      <w:r w:rsidRPr="003314AE">
        <w:t xml:space="preserve"> in a submission from the sponsors of bosentan, epoprostenol and macitentan that requested amending the current ‘continuing treatment’ restriction of PAH medicines. At the July 2015 meeting, the PBAC considered that there were a number of issues </w:t>
      </w:r>
      <w:r w:rsidR="004C66FF">
        <w:t>around PAH medicines including:</w:t>
      </w:r>
    </w:p>
    <w:p w14:paraId="70726574" w14:textId="77777777" w:rsidR="007053C1" w:rsidRPr="003314AE" w:rsidRDefault="007053C1" w:rsidP="00921D13">
      <w:pPr>
        <w:pStyle w:val="08Bulletsseriesofsentences"/>
      </w:pPr>
      <w:r w:rsidRPr="003314AE">
        <w:t xml:space="preserve">A lack of evidence to support the cost-effectiveness of combined therapy </w:t>
      </w:r>
      <w:r w:rsidR="00D709C2" w:rsidRPr="003314AE">
        <w:t xml:space="preserve">with two or more </w:t>
      </w:r>
      <w:r w:rsidRPr="003314AE">
        <w:t xml:space="preserve">PAH </w:t>
      </w:r>
      <w:r w:rsidR="00D709C2" w:rsidRPr="003314AE">
        <w:t>medicines</w:t>
      </w:r>
      <w:r w:rsidR="00293DD7">
        <w:t>;</w:t>
      </w:r>
    </w:p>
    <w:p w14:paraId="6FAB1391" w14:textId="77777777" w:rsidR="007053C1" w:rsidRPr="00D842FD" w:rsidRDefault="007053C1" w:rsidP="00921D13">
      <w:pPr>
        <w:pStyle w:val="08Bulletsseriesofsentences"/>
      </w:pPr>
      <w:r w:rsidRPr="003314AE">
        <w:t xml:space="preserve">A lack of evidence to support the cost-effectiveness of PAH medicines for use in WHO FC II </w:t>
      </w:r>
      <w:r w:rsidRPr="00D842FD">
        <w:t>patients</w:t>
      </w:r>
      <w:r w:rsidR="004575B0" w:rsidRPr="00D842FD">
        <w:t xml:space="preserve">; </w:t>
      </w:r>
      <w:r w:rsidRPr="00D842FD">
        <w:t>and</w:t>
      </w:r>
    </w:p>
    <w:p w14:paraId="111A8868" w14:textId="77777777" w:rsidR="007053C1" w:rsidRPr="00D842FD" w:rsidRDefault="007053C1" w:rsidP="00921D13">
      <w:pPr>
        <w:pStyle w:val="08Bulletsseriesofsentences"/>
      </w:pPr>
      <w:r w:rsidRPr="00D842FD">
        <w:t xml:space="preserve">Difficulty in identifying the population of patients who would derive the most benefit from these </w:t>
      </w:r>
      <w:r w:rsidR="00E80465" w:rsidRPr="00D842FD">
        <w:t>medicines</w:t>
      </w:r>
      <w:r w:rsidRPr="00D842FD">
        <w:t xml:space="preserve"> (bosentan, epoprostenol and macitentan, </w:t>
      </w:r>
      <w:r w:rsidR="00460715" w:rsidRPr="00D842FD">
        <w:t>P</w:t>
      </w:r>
      <w:r w:rsidR="00460715">
        <w:t>ublic Summary Document (PSD)</w:t>
      </w:r>
      <w:r w:rsidRPr="00D842FD">
        <w:t>, July 2015 PBAC meeting).</w:t>
      </w:r>
    </w:p>
    <w:p w14:paraId="41EFB275" w14:textId="77777777" w:rsidR="007053C1" w:rsidRPr="003314AE" w:rsidRDefault="00E80465" w:rsidP="00121658">
      <w:pPr>
        <w:pStyle w:val="BodyTextnospacebefore"/>
      </w:pPr>
      <w:r w:rsidRPr="00D842FD">
        <w:t>T</w:t>
      </w:r>
      <w:r w:rsidR="007053C1" w:rsidRPr="00D842FD">
        <w:t xml:space="preserve">he PBAC recommended that a </w:t>
      </w:r>
      <w:r w:rsidR="00460715">
        <w:t>PMR</w:t>
      </w:r>
      <w:r w:rsidR="007053C1" w:rsidRPr="00D842FD">
        <w:t xml:space="preserve"> should be undertaken </w:t>
      </w:r>
      <w:r w:rsidR="00DE3ABD" w:rsidRPr="00D842FD">
        <w:t xml:space="preserve">of medicines </w:t>
      </w:r>
      <w:r w:rsidR="007053C1" w:rsidRPr="00D842FD">
        <w:t>for the treatment of PAH, including the existing listed medicines for FC III and IV patients, and a review of the clinical place of these therapies as recommended in international guidelines.</w:t>
      </w:r>
    </w:p>
    <w:p w14:paraId="239E0095" w14:textId="77777777" w:rsidR="007053C1" w:rsidRDefault="007053C1" w:rsidP="00121658">
      <w:pPr>
        <w:pStyle w:val="Heading2"/>
        <w:numPr>
          <w:ilvl w:val="0"/>
          <w:numId w:val="0"/>
        </w:numPr>
        <w:jc w:val="left"/>
      </w:pPr>
      <w:bookmarkStart w:id="15" w:name="_Toc38377479"/>
      <w:r>
        <w:t>B.3 Review Process</w:t>
      </w:r>
      <w:bookmarkEnd w:id="15"/>
    </w:p>
    <w:p w14:paraId="7F8911F1" w14:textId="77777777" w:rsidR="007053C1" w:rsidRPr="00522F52" w:rsidRDefault="007053C1" w:rsidP="00121658">
      <w:pPr>
        <w:pStyle w:val="Heading3"/>
        <w:numPr>
          <w:ilvl w:val="0"/>
          <w:numId w:val="0"/>
        </w:numPr>
      </w:pPr>
      <w:bookmarkStart w:id="16" w:name="_Toc38377480"/>
      <w:r w:rsidRPr="00522F52">
        <w:t>B.3.1 Purpose of the Review</w:t>
      </w:r>
      <w:bookmarkEnd w:id="16"/>
    </w:p>
    <w:p w14:paraId="48824522" w14:textId="77777777" w:rsidR="007053C1" w:rsidRPr="00DA3E05" w:rsidRDefault="007053C1" w:rsidP="00121658">
      <w:pPr>
        <w:pStyle w:val="BodyTextnospacebefore"/>
      </w:pPr>
      <w:r w:rsidRPr="00DA3E05">
        <w:t xml:space="preserve">The purpose of the </w:t>
      </w:r>
      <w:r w:rsidR="00460715">
        <w:t>PMR</w:t>
      </w:r>
      <w:r w:rsidRPr="00DA3E05">
        <w:t xml:space="preserve"> of PAH Medicines is to review the efficacy and cost</w:t>
      </w:r>
      <w:r w:rsidRPr="00DA3E05">
        <w:rPr>
          <w:rFonts w:ascii="MS Gothic" w:eastAsia="MS Gothic" w:hAnsi="MS Gothic" w:cs="MS Gothic" w:hint="eastAsia"/>
        </w:rPr>
        <w:t>‑</w:t>
      </w:r>
      <w:r w:rsidRPr="00DA3E05">
        <w:t>effectiveness of PAH medicines, including the existing listing for class III and class IV patients, and the additional clinical place of these therapies as recommend</w:t>
      </w:r>
      <w:r w:rsidR="00F20537">
        <w:t>ed in international guidelines</w:t>
      </w:r>
    </w:p>
    <w:p w14:paraId="48A3097C" w14:textId="77777777" w:rsidR="007053C1" w:rsidRDefault="007053C1" w:rsidP="00121658">
      <w:pPr>
        <w:pStyle w:val="Heading3"/>
        <w:numPr>
          <w:ilvl w:val="0"/>
          <w:numId w:val="0"/>
        </w:numPr>
      </w:pPr>
      <w:bookmarkStart w:id="17" w:name="_Toc38377481"/>
      <w:r>
        <w:t>B.3.2</w:t>
      </w:r>
      <w:r w:rsidR="009101A0">
        <w:t xml:space="preserve"> </w:t>
      </w:r>
      <w:r w:rsidRPr="00522F52">
        <w:t>Review</w:t>
      </w:r>
      <w:r>
        <w:t xml:space="preserve"> Reference Group</w:t>
      </w:r>
      <w:bookmarkEnd w:id="17"/>
    </w:p>
    <w:p w14:paraId="31AFB59C" w14:textId="77777777" w:rsidR="007053C1" w:rsidRPr="002F6603" w:rsidRDefault="007053C1" w:rsidP="00121658">
      <w:pPr>
        <w:pStyle w:val="BodyTextnospacebefore"/>
        <w:rPr>
          <w:strike/>
        </w:rPr>
      </w:pPr>
      <w:r w:rsidRPr="00DA3E05">
        <w:t xml:space="preserve">A Reference Group </w:t>
      </w:r>
      <w:proofErr w:type="gramStart"/>
      <w:r w:rsidRPr="00DA3E05">
        <w:t>is formed</w:t>
      </w:r>
      <w:proofErr w:type="gramEnd"/>
      <w:r w:rsidRPr="00DA3E05">
        <w:t xml:space="preserve"> to assist in the review of the evidence and information for each of the Review’s terms of reference, and to ensure that the perspectives of stakeholders are considered in its preparation of the final report to the PBAC. The Reference Group may provide the PBAC with options to address key findings. Members of the Reference Group </w:t>
      </w:r>
      <w:proofErr w:type="gramStart"/>
      <w:r w:rsidRPr="00DA3E05">
        <w:t>are appointed</w:t>
      </w:r>
      <w:proofErr w:type="gramEnd"/>
      <w:r w:rsidRPr="00DA3E05">
        <w:t xml:space="preserve"> as either individuals or organisational representatives. Representation includes clinical experts, </w:t>
      </w:r>
      <w:r w:rsidRPr="00DA3E05">
        <w:lastRenderedPageBreak/>
        <w:t xml:space="preserve">health economists and representatives of relevant health professional and consumer organisations. The Reference Group for the Review </w:t>
      </w:r>
      <w:proofErr w:type="gramStart"/>
      <w:r w:rsidRPr="00DA3E05">
        <w:t xml:space="preserve">was </w:t>
      </w:r>
      <w:r w:rsidRPr="00D842FD">
        <w:t>appointed</w:t>
      </w:r>
      <w:proofErr w:type="gramEnd"/>
      <w:r w:rsidRPr="00D842FD">
        <w:t xml:space="preserve"> on </w:t>
      </w:r>
      <w:r w:rsidR="00DE3ABD" w:rsidRPr="00D842FD">
        <w:t>9 May 2017</w:t>
      </w:r>
      <w:r w:rsidR="004C66FF">
        <w:t>.</w:t>
      </w:r>
    </w:p>
    <w:p w14:paraId="3CD6FA2A" w14:textId="77777777" w:rsidR="007053C1" w:rsidRDefault="007053C1" w:rsidP="00121658">
      <w:pPr>
        <w:pStyle w:val="Heading3"/>
        <w:numPr>
          <w:ilvl w:val="0"/>
          <w:numId w:val="0"/>
        </w:numPr>
        <w:jc w:val="left"/>
      </w:pPr>
      <w:bookmarkStart w:id="18" w:name="_Toc38377482"/>
      <w:r>
        <w:t>B.3.3</w:t>
      </w:r>
      <w:r w:rsidR="009101A0">
        <w:t xml:space="preserve"> </w:t>
      </w:r>
      <w:r>
        <w:t>Review Terms of Reference</w:t>
      </w:r>
      <w:bookmarkEnd w:id="18"/>
    </w:p>
    <w:p w14:paraId="1E47E498" w14:textId="77777777" w:rsidR="006D232C" w:rsidRPr="003314AE" w:rsidRDefault="003C5912" w:rsidP="00121658">
      <w:pPr>
        <w:pStyle w:val="BodyTextnospacebefore"/>
      </w:pPr>
      <w:r w:rsidRPr="003314AE">
        <w:t xml:space="preserve">The </w:t>
      </w:r>
      <w:r w:rsidR="00586B4B" w:rsidRPr="003314AE">
        <w:t xml:space="preserve">Review’s </w:t>
      </w:r>
      <w:r w:rsidRPr="003314AE">
        <w:t>draft Terms of Referenc</w:t>
      </w:r>
      <w:r w:rsidR="008B565E" w:rsidRPr="003314AE">
        <w:t>e (</w:t>
      </w:r>
      <w:proofErr w:type="spellStart"/>
      <w:r w:rsidR="008B565E" w:rsidRPr="003314AE">
        <w:t>ToR</w:t>
      </w:r>
      <w:proofErr w:type="spellEnd"/>
      <w:r w:rsidR="008B565E" w:rsidRPr="003314AE">
        <w:t xml:space="preserve">) </w:t>
      </w:r>
      <w:r w:rsidRPr="003314AE">
        <w:t>were open to public consulta</w:t>
      </w:r>
      <w:r w:rsidR="008B565E" w:rsidRPr="003314AE">
        <w:t xml:space="preserve">tion between </w:t>
      </w:r>
      <w:r w:rsidR="00944EDA" w:rsidRPr="003314AE">
        <w:t>2 May</w:t>
      </w:r>
      <w:r w:rsidR="008B565E" w:rsidRPr="003314AE">
        <w:t xml:space="preserve"> and </w:t>
      </w:r>
      <w:r w:rsidR="00944EDA" w:rsidRPr="003314AE">
        <w:t>16 May 2016</w:t>
      </w:r>
      <w:r w:rsidR="005F46F0" w:rsidRPr="003314AE">
        <w:t xml:space="preserve">. </w:t>
      </w:r>
      <w:r w:rsidR="00586B4B" w:rsidRPr="003314AE">
        <w:t>Fourteen submissions</w:t>
      </w:r>
      <w:r w:rsidR="006D232C" w:rsidRPr="003314AE">
        <w:t xml:space="preserve"> on the draft </w:t>
      </w:r>
      <w:proofErr w:type="spellStart"/>
      <w:r w:rsidR="006D232C" w:rsidRPr="003314AE">
        <w:t>ToR</w:t>
      </w:r>
      <w:proofErr w:type="spellEnd"/>
      <w:r w:rsidR="006D232C" w:rsidRPr="003314AE">
        <w:t xml:space="preserve"> </w:t>
      </w:r>
      <w:proofErr w:type="gramStart"/>
      <w:r w:rsidR="00175C85" w:rsidRPr="003314AE">
        <w:t>were received</w:t>
      </w:r>
      <w:proofErr w:type="gramEnd"/>
      <w:r w:rsidR="00586B4B" w:rsidRPr="003314AE">
        <w:t>,</w:t>
      </w:r>
      <w:r w:rsidR="006D232C" w:rsidRPr="003314AE">
        <w:t xml:space="preserve"> </w:t>
      </w:r>
      <w:r w:rsidR="00175C85" w:rsidRPr="003314AE">
        <w:t xml:space="preserve">including </w:t>
      </w:r>
      <w:r w:rsidR="00B94F5A" w:rsidRPr="003314AE">
        <w:t xml:space="preserve">seven from individuals, </w:t>
      </w:r>
      <w:r w:rsidR="00944EDA" w:rsidRPr="003314AE">
        <w:t>two</w:t>
      </w:r>
      <w:r w:rsidRPr="003314AE">
        <w:t xml:space="preserve"> from industry</w:t>
      </w:r>
      <w:r w:rsidR="008B565E" w:rsidRPr="003314AE">
        <w:t>;</w:t>
      </w:r>
      <w:r w:rsidRPr="003314AE">
        <w:t xml:space="preserve"> and </w:t>
      </w:r>
      <w:r w:rsidR="00B94F5A" w:rsidRPr="003314AE">
        <w:t>five</w:t>
      </w:r>
      <w:r w:rsidRPr="003314AE">
        <w:t xml:space="preserve"> from heal</w:t>
      </w:r>
      <w:r w:rsidR="006D232C" w:rsidRPr="003314AE">
        <w:t>th professional peak bodies, consumer groups</w:t>
      </w:r>
      <w:r w:rsidR="002018FA" w:rsidRPr="003314AE">
        <w:t xml:space="preserve"> and health professionals</w:t>
      </w:r>
      <w:r w:rsidR="005F46F0" w:rsidRPr="003314AE">
        <w:t xml:space="preserve">. </w:t>
      </w:r>
      <w:r w:rsidR="002018FA" w:rsidRPr="003314AE">
        <w:t>P</w:t>
      </w:r>
      <w:r w:rsidR="006D232C" w:rsidRPr="003314AE">
        <w:t xml:space="preserve">ublic </w:t>
      </w:r>
      <w:r w:rsidR="00586B4B" w:rsidRPr="003314AE">
        <w:t xml:space="preserve">submissions </w:t>
      </w:r>
      <w:r w:rsidR="006D232C" w:rsidRPr="003314AE">
        <w:t>were published on the</w:t>
      </w:r>
      <w:r w:rsidR="00B94F5A" w:rsidRPr="003314AE">
        <w:t xml:space="preserve"> </w:t>
      </w:r>
      <w:r w:rsidR="00B94F5A" w:rsidRPr="00F4698B">
        <w:rPr>
          <w:rFonts w:ascii="Calibri" w:hAnsi="Calibri"/>
        </w:rPr>
        <w:t>PAH Review Public Consultation</w:t>
      </w:r>
      <w:r w:rsidR="00B94F5A" w:rsidRPr="003314AE">
        <w:t xml:space="preserve"> </w:t>
      </w:r>
      <w:r w:rsidR="006D232C" w:rsidRPr="003314AE">
        <w:t>website</w:t>
      </w:r>
      <w:r w:rsidR="002018FA" w:rsidRPr="003314AE">
        <w:t>, except where requested otherwise.</w:t>
      </w:r>
    </w:p>
    <w:p w14:paraId="47194BB2" w14:textId="77777777" w:rsidR="005F46F0" w:rsidRPr="003314AE" w:rsidRDefault="003C5912" w:rsidP="00121658">
      <w:pPr>
        <w:pStyle w:val="BodyTextnospacebefore"/>
      </w:pPr>
      <w:r w:rsidRPr="003314AE">
        <w:t>Th</w:t>
      </w:r>
      <w:r w:rsidR="008B565E" w:rsidRPr="003314AE">
        <w:t xml:space="preserve">e PBAC considered the draft </w:t>
      </w:r>
      <w:proofErr w:type="spellStart"/>
      <w:r w:rsidR="008B565E" w:rsidRPr="003314AE">
        <w:t>ToR</w:t>
      </w:r>
      <w:proofErr w:type="spellEnd"/>
      <w:r w:rsidRPr="003314AE">
        <w:t xml:space="preserve"> </w:t>
      </w:r>
      <w:r w:rsidR="008B565E" w:rsidRPr="003314AE">
        <w:t xml:space="preserve">and </w:t>
      </w:r>
      <w:r w:rsidRPr="003314AE">
        <w:t xml:space="preserve">comments from stakeholders </w:t>
      </w:r>
      <w:r w:rsidR="008B565E" w:rsidRPr="003314AE">
        <w:t xml:space="preserve">in </w:t>
      </w:r>
      <w:r w:rsidR="00B94F5A" w:rsidRPr="003314AE">
        <w:t>August 2016</w:t>
      </w:r>
      <w:r w:rsidRPr="003314AE">
        <w:t>.</w:t>
      </w:r>
      <w:r w:rsidR="00175C85" w:rsidRPr="003314AE">
        <w:t xml:space="preserve"> In </w:t>
      </w:r>
      <w:r w:rsidR="000F5B05" w:rsidRPr="003314AE">
        <w:t>December 2016</w:t>
      </w:r>
      <w:r w:rsidR="00175C85" w:rsidRPr="003314AE">
        <w:t xml:space="preserve">, the Minister for Health approved the final Review </w:t>
      </w:r>
      <w:proofErr w:type="spellStart"/>
      <w:r w:rsidR="00175C85" w:rsidRPr="003314AE">
        <w:t>ToR</w:t>
      </w:r>
      <w:proofErr w:type="spellEnd"/>
      <w:r w:rsidR="00175C85" w:rsidRPr="003314AE">
        <w:t>.</w:t>
      </w:r>
      <w:r w:rsidR="006D232C" w:rsidRPr="003314AE">
        <w:t xml:space="preserve"> </w:t>
      </w:r>
      <w:r w:rsidRPr="003314AE">
        <w:t xml:space="preserve">Research questions relating to the </w:t>
      </w:r>
      <w:proofErr w:type="spellStart"/>
      <w:r w:rsidRPr="003314AE">
        <w:t>ToR</w:t>
      </w:r>
      <w:proofErr w:type="spellEnd"/>
      <w:r w:rsidRPr="003314AE">
        <w:t xml:space="preserve"> </w:t>
      </w:r>
      <w:proofErr w:type="gramStart"/>
      <w:r w:rsidRPr="003314AE">
        <w:t>were developed</w:t>
      </w:r>
      <w:proofErr w:type="gramEnd"/>
      <w:r w:rsidRPr="003314AE">
        <w:t xml:space="preserve"> to guide the technical review</w:t>
      </w:r>
      <w:r w:rsidR="005F46F0" w:rsidRPr="003314AE">
        <w:t xml:space="preserve">. </w:t>
      </w:r>
      <w:r w:rsidRPr="003314AE">
        <w:t xml:space="preserve">The final </w:t>
      </w:r>
      <w:proofErr w:type="spellStart"/>
      <w:r w:rsidRPr="003314AE">
        <w:t>ToR</w:t>
      </w:r>
      <w:proofErr w:type="spellEnd"/>
      <w:r w:rsidRPr="003314AE">
        <w:t xml:space="preserve"> and research questions</w:t>
      </w:r>
      <w:r w:rsidR="00F00E40" w:rsidRPr="003314AE">
        <w:t xml:space="preserve">, approved </w:t>
      </w:r>
      <w:r w:rsidRPr="003314AE">
        <w:t xml:space="preserve">by the </w:t>
      </w:r>
      <w:r w:rsidR="002225C8" w:rsidRPr="003314AE">
        <w:t>R</w:t>
      </w:r>
      <w:r w:rsidR="000F5B05" w:rsidRPr="003314AE">
        <w:t xml:space="preserve">eference </w:t>
      </w:r>
      <w:r w:rsidR="002225C8" w:rsidRPr="003314AE">
        <w:t>G</w:t>
      </w:r>
      <w:r w:rsidR="000F5B05" w:rsidRPr="003314AE">
        <w:t>roup</w:t>
      </w:r>
      <w:r w:rsidR="00F00E40" w:rsidRPr="003314AE">
        <w:t xml:space="preserve"> Chair</w:t>
      </w:r>
      <w:r w:rsidRPr="003314AE">
        <w:t xml:space="preserve">, </w:t>
      </w:r>
      <w:proofErr w:type="gramStart"/>
      <w:r w:rsidRPr="003314AE">
        <w:t>are listed</w:t>
      </w:r>
      <w:proofErr w:type="gramEnd"/>
      <w:r w:rsidRPr="003314AE">
        <w:t xml:space="preserve"> below.</w:t>
      </w:r>
    </w:p>
    <w:p w14:paraId="3079D983" w14:textId="77777777" w:rsidR="007053C1" w:rsidRPr="003314AE" w:rsidRDefault="002F6603" w:rsidP="00121658">
      <w:pPr>
        <w:pStyle w:val="Heading4"/>
      </w:pPr>
      <w:r>
        <w:t>Term of R</w:t>
      </w:r>
      <w:r w:rsidR="007053C1" w:rsidRPr="003314AE">
        <w:t>eference 1</w:t>
      </w:r>
    </w:p>
    <w:p w14:paraId="4D9A3501" w14:textId="77777777" w:rsidR="008B565E" w:rsidRPr="003314AE" w:rsidRDefault="008B565E" w:rsidP="00121658">
      <w:pPr>
        <w:pStyle w:val="BodyTextnospacebefore"/>
      </w:pPr>
      <w:proofErr w:type="spellStart"/>
      <w:r w:rsidRPr="003314AE">
        <w:t>ToR</w:t>
      </w:r>
      <w:proofErr w:type="spellEnd"/>
      <w:r w:rsidRPr="003314AE">
        <w:t xml:space="preserve"> 1: </w:t>
      </w:r>
      <w:r w:rsidR="00B94F5A" w:rsidRPr="003314AE">
        <w:t>Review recent clinical guidelines for the management of PAH and compare this to the PBS restrictions and Therapeutic Goods Administration (TGA) indications for the use of PAH medicines.</w:t>
      </w:r>
    </w:p>
    <w:p w14:paraId="2FF04CF8" w14:textId="77777777" w:rsidR="00B40903" w:rsidRPr="003314AE" w:rsidRDefault="00DA3E05" w:rsidP="00121658">
      <w:pPr>
        <w:pStyle w:val="BodyText"/>
        <w:spacing w:before="120"/>
        <w:jc w:val="left"/>
        <w:rPr>
          <w:rFonts w:ascii="Calibri" w:hAnsi="Calibri"/>
        </w:rPr>
      </w:pPr>
      <w:r>
        <w:rPr>
          <w:rFonts w:ascii="Calibri" w:hAnsi="Calibri"/>
        </w:rPr>
        <w:t>Q1.</w:t>
      </w:r>
      <w:r>
        <w:rPr>
          <w:rFonts w:ascii="Calibri" w:hAnsi="Calibri"/>
        </w:rPr>
        <w:tab/>
      </w:r>
      <w:r w:rsidR="00A8308B" w:rsidRPr="003314AE">
        <w:rPr>
          <w:rFonts w:ascii="Calibri" w:hAnsi="Calibri"/>
        </w:rPr>
        <w:t>What are the clinical treatment algorithms recommended in recent Australian, European and North American guidelines for the treatment of WHO FC II, III and IV PAH?</w:t>
      </w:r>
    </w:p>
    <w:p w14:paraId="30C58542" w14:textId="77777777" w:rsidR="00B40903" w:rsidRPr="003314AE" w:rsidRDefault="00DA3E05" w:rsidP="00121658">
      <w:pPr>
        <w:pStyle w:val="BodyText"/>
        <w:spacing w:before="120"/>
        <w:jc w:val="left"/>
        <w:rPr>
          <w:rFonts w:ascii="Calibri" w:hAnsi="Calibri"/>
        </w:rPr>
      </w:pPr>
      <w:r>
        <w:rPr>
          <w:rFonts w:ascii="Calibri" w:hAnsi="Calibri"/>
        </w:rPr>
        <w:t>Q2.</w:t>
      </w:r>
      <w:r>
        <w:rPr>
          <w:rFonts w:ascii="Calibri" w:hAnsi="Calibri"/>
        </w:rPr>
        <w:tab/>
      </w:r>
      <w:r w:rsidR="00A8308B" w:rsidRPr="003314AE">
        <w:rPr>
          <w:rFonts w:ascii="Calibri" w:hAnsi="Calibri"/>
        </w:rPr>
        <w:t>Are the current PBS restrictions for PAH medicines, the TGA-approved indications and the recommendations from clinical guidelines consistent?</w:t>
      </w:r>
    </w:p>
    <w:p w14:paraId="2496138A" w14:textId="77777777" w:rsidR="00B40903" w:rsidRPr="003314AE" w:rsidRDefault="00DA3E05" w:rsidP="00121658">
      <w:pPr>
        <w:pStyle w:val="BodyText"/>
        <w:spacing w:before="120"/>
        <w:jc w:val="left"/>
        <w:rPr>
          <w:rFonts w:ascii="Calibri" w:hAnsi="Calibri"/>
        </w:rPr>
      </w:pPr>
      <w:r>
        <w:rPr>
          <w:rFonts w:ascii="Calibri" w:hAnsi="Calibri"/>
        </w:rPr>
        <w:t>Q3.</w:t>
      </w:r>
      <w:r>
        <w:rPr>
          <w:rFonts w:ascii="Calibri" w:hAnsi="Calibri"/>
        </w:rPr>
        <w:tab/>
      </w:r>
      <w:r w:rsidR="00A8308B" w:rsidRPr="003314AE">
        <w:rPr>
          <w:rFonts w:ascii="Calibri" w:hAnsi="Calibri"/>
        </w:rPr>
        <w:t>Are the current diagnostic and prognostic criteria in PBS restrictions for patients with PAH consistent with Australian and international guidelines?</w:t>
      </w:r>
    </w:p>
    <w:p w14:paraId="2C785174" w14:textId="77777777" w:rsidR="007053C1" w:rsidRPr="003314AE" w:rsidRDefault="002F6603" w:rsidP="00121658">
      <w:pPr>
        <w:pStyle w:val="Heading4"/>
      </w:pPr>
      <w:r>
        <w:t>Term</w:t>
      </w:r>
      <w:r w:rsidR="007053C1" w:rsidRPr="003314AE">
        <w:t xml:space="preserve"> of </w:t>
      </w:r>
      <w:r>
        <w:t>R</w:t>
      </w:r>
      <w:r w:rsidR="007053C1" w:rsidRPr="003314AE">
        <w:t>eference 2</w:t>
      </w:r>
    </w:p>
    <w:p w14:paraId="1ED98B16" w14:textId="77777777" w:rsidR="00B40903" w:rsidRPr="003314AE" w:rsidRDefault="00B40903" w:rsidP="00121658">
      <w:pPr>
        <w:pStyle w:val="BodyTextnospacebefore"/>
      </w:pPr>
      <w:proofErr w:type="spellStart"/>
      <w:r w:rsidRPr="003314AE">
        <w:t>ToR</w:t>
      </w:r>
      <w:proofErr w:type="spellEnd"/>
      <w:r w:rsidRPr="003314AE">
        <w:t xml:space="preserve"> 2: </w:t>
      </w:r>
      <w:r w:rsidR="00B94F5A" w:rsidRPr="003314AE">
        <w:t>Review the utilisation of PAH medicines in Australia, including sources of data that can provide additional information on clinical use that is not available from PBS data.</w:t>
      </w:r>
      <w:r w:rsidR="003D4F24" w:rsidRPr="003314AE">
        <w:t xml:space="preserve"> </w:t>
      </w:r>
      <w:r w:rsidRPr="003314AE">
        <w:t>Through a literature review:</w:t>
      </w:r>
    </w:p>
    <w:p w14:paraId="1AB98A76" w14:textId="77777777" w:rsidR="007053C1" w:rsidRPr="003314AE" w:rsidRDefault="007053C1" w:rsidP="00121658">
      <w:pPr>
        <w:pStyle w:val="BodyText"/>
        <w:jc w:val="left"/>
        <w:rPr>
          <w:rFonts w:ascii="Calibri" w:hAnsi="Calibri"/>
        </w:rPr>
      </w:pPr>
      <w:r w:rsidRPr="003314AE">
        <w:rPr>
          <w:rFonts w:ascii="Calibri" w:hAnsi="Calibri"/>
        </w:rPr>
        <w:t xml:space="preserve">Q1. </w:t>
      </w:r>
      <w:r w:rsidRPr="003314AE">
        <w:rPr>
          <w:rFonts w:ascii="Calibri" w:hAnsi="Calibri"/>
        </w:rPr>
        <w:tab/>
        <w:t>What is the prevalence and incidence of PBS-listed PAH medicine use?</w:t>
      </w:r>
    </w:p>
    <w:p w14:paraId="5B017E92" w14:textId="77777777" w:rsidR="007053C1" w:rsidRPr="003314AE" w:rsidRDefault="007053C1" w:rsidP="00121658">
      <w:pPr>
        <w:pStyle w:val="BodyText"/>
        <w:spacing w:before="120"/>
        <w:jc w:val="left"/>
        <w:rPr>
          <w:rFonts w:ascii="Calibri" w:hAnsi="Calibri"/>
        </w:rPr>
      </w:pPr>
      <w:r w:rsidRPr="003314AE">
        <w:rPr>
          <w:rFonts w:ascii="Calibri" w:hAnsi="Calibri"/>
        </w:rPr>
        <w:t>Q2.</w:t>
      </w:r>
      <w:r w:rsidRPr="003314AE">
        <w:rPr>
          <w:rFonts w:ascii="Calibri" w:hAnsi="Calibri"/>
        </w:rPr>
        <w:tab/>
        <w:t>If and how has the prevalence and incidence of PAH medicine use changed over time during July 2013 to December 2016?</w:t>
      </w:r>
    </w:p>
    <w:p w14:paraId="63619F99" w14:textId="77777777" w:rsidR="007053C1" w:rsidRPr="003314AE" w:rsidRDefault="007053C1" w:rsidP="00121658">
      <w:pPr>
        <w:pStyle w:val="BodyText"/>
        <w:spacing w:before="120"/>
        <w:jc w:val="left"/>
        <w:rPr>
          <w:rFonts w:ascii="Calibri" w:hAnsi="Calibri"/>
        </w:rPr>
      </w:pPr>
      <w:r w:rsidRPr="003314AE">
        <w:rPr>
          <w:rFonts w:ascii="Calibri" w:hAnsi="Calibri"/>
        </w:rPr>
        <w:t>Q3.</w:t>
      </w:r>
      <w:r w:rsidRPr="003314AE">
        <w:rPr>
          <w:rFonts w:ascii="Calibri" w:hAnsi="Calibri"/>
        </w:rPr>
        <w:tab/>
        <w:t>What is the length of time on treatment according to individual PAH medicines, as well as overall length of time on treatment with any PBS-listed PAH medicine?</w:t>
      </w:r>
    </w:p>
    <w:p w14:paraId="33349463" w14:textId="77777777" w:rsidR="007053C1" w:rsidRPr="003314AE" w:rsidRDefault="007053C1" w:rsidP="00121658">
      <w:pPr>
        <w:pStyle w:val="BodyText"/>
        <w:jc w:val="left"/>
        <w:rPr>
          <w:rFonts w:ascii="Calibri" w:hAnsi="Calibri"/>
        </w:rPr>
      </w:pPr>
      <w:r w:rsidRPr="003314AE">
        <w:rPr>
          <w:rFonts w:ascii="Calibri" w:hAnsi="Calibri"/>
        </w:rPr>
        <w:t>Q4.</w:t>
      </w:r>
      <w:r w:rsidRPr="003314AE">
        <w:rPr>
          <w:rFonts w:ascii="Calibri" w:hAnsi="Calibri"/>
        </w:rPr>
        <w:tab/>
        <w:t>Based on co-prescribed PBS-listed PAH medicines, is there evidence of combination treatment with two or more individual PAH medicines among prevalent and incident users?</w:t>
      </w:r>
    </w:p>
    <w:p w14:paraId="032D71B6" w14:textId="77777777" w:rsidR="007053C1" w:rsidRPr="003314AE" w:rsidRDefault="007053C1" w:rsidP="00121658">
      <w:pPr>
        <w:pStyle w:val="BodyText"/>
        <w:spacing w:before="120"/>
        <w:jc w:val="left"/>
        <w:rPr>
          <w:rFonts w:ascii="Calibri" w:hAnsi="Calibri"/>
        </w:rPr>
      </w:pPr>
      <w:r w:rsidRPr="003314AE">
        <w:rPr>
          <w:rFonts w:ascii="Calibri" w:hAnsi="Calibri"/>
        </w:rPr>
        <w:t>Q5.</w:t>
      </w:r>
      <w:r w:rsidRPr="003314AE">
        <w:rPr>
          <w:rFonts w:ascii="Calibri" w:hAnsi="Calibri"/>
        </w:rPr>
        <w:tab/>
        <w:t>What is the prevalence of switching between PAH medicines taking into account length of treatment?</w:t>
      </w:r>
    </w:p>
    <w:p w14:paraId="016FFB22" w14:textId="77777777" w:rsidR="007053C1" w:rsidRPr="003314AE" w:rsidRDefault="007053C1" w:rsidP="00121658">
      <w:pPr>
        <w:pStyle w:val="BodyText"/>
        <w:spacing w:before="120"/>
        <w:jc w:val="left"/>
        <w:rPr>
          <w:rFonts w:ascii="Calibri" w:hAnsi="Calibri"/>
        </w:rPr>
      </w:pPr>
      <w:r w:rsidRPr="003314AE">
        <w:rPr>
          <w:rFonts w:ascii="Calibri" w:hAnsi="Calibri"/>
        </w:rPr>
        <w:lastRenderedPageBreak/>
        <w:t>Q6.</w:t>
      </w:r>
      <w:r w:rsidRPr="003314AE">
        <w:rPr>
          <w:rFonts w:ascii="Calibri" w:hAnsi="Calibri"/>
        </w:rPr>
        <w:tab/>
        <w:t>What is the extent of combination treatment in data collected in the PHSANZ registry and the Australian Scleroderma Cohort Study?</w:t>
      </w:r>
    </w:p>
    <w:p w14:paraId="4001FAAE" w14:textId="77777777" w:rsidR="007053C1" w:rsidRPr="003314AE" w:rsidRDefault="002F6603" w:rsidP="00121658">
      <w:pPr>
        <w:pStyle w:val="Heading4"/>
      </w:pPr>
      <w:r>
        <w:t>Term</w:t>
      </w:r>
      <w:r w:rsidR="007053C1" w:rsidRPr="003314AE">
        <w:t xml:space="preserve"> of </w:t>
      </w:r>
      <w:r>
        <w:t>R</w:t>
      </w:r>
      <w:r w:rsidR="007053C1" w:rsidRPr="003314AE">
        <w:t>eference 3</w:t>
      </w:r>
    </w:p>
    <w:p w14:paraId="26FABFF2" w14:textId="77777777" w:rsidR="00B40903" w:rsidRPr="003314AE" w:rsidRDefault="00953452" w:rsidP="00121658">
      <w:pPr>
        <w:pStyle w:val="BodyText"/>
        <w:spacing w:before="120"/>
        <w:jc w:val="left"/>
        <w:rPr>
          <w:rFonts w:ascii="Calibri" w:hAnsi="Calibri"/>
        </w:rPr>
      </w:pPr>
      <w:proofErr w:type="spellStart"/>
      <w:r w:rsidRPr="003314AE">
        <w:rPr>
          <w:rFonts w:ascii="Calibri" w:hAnsi="Calibri"/>
        </w:rPr>
        <w:t>ToR</w:t>
      </w:r>
      <w:proofErr w:type="spellEnd"/>
      <w:r w:rsidRPr="003314AE">
        <w:rPr>
          <w:rFonts w:ascii="Calibri" w:hAnsi="Calibri"/>
        </w:rPr>
        <w:t xml:space="preserve"> 3: </w:t>
      </w:r>
      <w:r w:rsidR="00B94F5A" w:rsidRPr="003314AE">
        <w:rPr>
          <w:rFonts w:ascii="Calibri" w:hAnsi="Calibri"/>
        </w:rPr>
        <w:t>Review the clinical outcomes that are most important or clinically relevant to patients with PAH, and the extent to which these outcomes are included in the evidence previously considered by PBAC.</w:t>
      </w:r>
    </w:p>
    <w:p w14:paraId="7CA26C5F" w14:textId="77777777" w:rsidR="007053C1" w:rsidRPr="003314AE" w:rsidRDefault="007053C1" w:rsidP="00121658">
      <w:pPr>
        <w:pStyle w:val="BodyText"/>
        <w:spacing w:before="120"/>
        <w:jc w:val="left"/>
        <w:rPr>
          <w:rFonts w:ascii="Calibri" w:hAnsi="Calibri"/>
        </w:rPr>
      </w:pPr>
      <w:r w:rsidRPr="003314AE">
        <w:rPr>
          <w:rFonts w:ascii="Calibri" w:hAnsi="Calibri"/>
        </w:rPr>
        <w:t>Through a consumer forum:</w:t>
      </w:r>
    </w:p>
    <w:p w14:paraId="7E2460F5" w14:textId="77777777" w:rsidR="007053C1" w:rsidRPr="003314AE" w:rsidRDefault="007053C1" w:rsidP="00121658">
      <w:pPr>
        <w:pStyle w:val="BodyText"/>
        <w:spacing w:before="120"/>
        <w:jc w:val="left"/>
        <w:rPr>
          <w:rFonts w:ascii="Calibri" w:hAnsi="Calibri"/>
        </w:rPr>
      </w:pPr>
      <w:r w:rsidRPr="003314AE">
        <w:rPr>
          <w:rFonts w:ascii="Calibri" w:hAnsi="Calibri"/>
        </w:rPr>
        <w:t>Q1.</w:t>
      </w:r>
      <w:r w:rsidRPr="003314AE">
        <w:rPr>
          <w:rFonts w:ascii="Calibri" w:hAnsi="Calibri"/>
        </w:rPr>
        <w:tab/>
        <w:t>How have PAH medicines made a difference to your symptoms and daily life?</w:t>
      </w:r>
    </w:p>
    <w:p w14:paraId="54A89F4C" w14:textId="77777777" w:rsidR="007053C1" w:rsidRPr="003314AE" w:rsidRDefault="007053C1" w:rsidP="00121658">
      <w:pPr>
        <w:pStyle w:val="BodyText"/>
        <w:jc w:val="left"/>
        <w:rPr>
          <w:rFonts w:ascii="Calibri" w:hAnsi="Calibri"/>
        </w:rPr>
      </w:pPr>
      <w:r w:rsidRPr="003314AE">
        <w:rPr>
          <w:rFonts w:ascii="Calibri" w:hAnsi="Calibri"/>
        </w:rPr>
        <w:t>Q2.</w:t>
      </w:r>
      <w:r w:rsidRPr="003314AE">
        <w:rPr>
          <w:rFonts w:ascii="Calibri" w:hAnsi="Calibri"/>
        </w:rPr>
        <w:tab/>
        <w:t>What changes in health do you value the most?</w:t>
      </w:r>
    </w:p>
    <w:p w14:paraId="63F41008" w14:textId="77777777" w:rsidR="007053C1" w:rsidRPr="003314AE" w:rsidRDefault="007053C1" w:rsidP="00121658">
      <w:pPr>
        <w:pStyle w:val="BodyText"/>
        <w:jc w:val="left"/>
        <w:rPr>
          <w:rFonts w:ascii="Calibri" w:hAnsi="Calibri"/>
        </w:rPr>
      </w:pPr>
      <w:r w:rsidRPr="003314AE">
        <w:rPr>
          <w:rFonts w:ascii="Calibri" w:hAnsi="Calibri"/>
        </w:rPr>
        <w:t>Q3.</w:t>
      </w:r>
      <w:r w:rsidRPr="003314AE">
        <w:rPr>
          <w:rFonts w:ascii="Calibri" w:hAnsi="Calibri"/>
        </w:rPr>
        <w:tab/>
      </w:r>
      <w:proofErr w:type="gramStart"/>
      <w:r w:rsidRPr="003314AE">
        <w:rPr>
          <w:rFonts w:ascii="Calibri" w:hAnsi="Calibri"/>
        </w:rPr>
        <w:t>Are important changes in your health reflected</w:t>
      </w:r>
      <w:proofErr w:type="gramEnd"/>
      <w:r w:rsidRPr="003314AE">
        <w:rPr>
          <w:rFonts w:ascii="Calibri" w:hAnsi="Calibri"/>
        </w:rPr>
        <w:t xml:space="preserve"> in clinical measures such as </w:t>
      </w:r>
      <w:r w:rsidR="008F7C4C">
        <w:rPr>
          <w:rFonts w:ascii="Calibri" w:hAnsi="Calibri"/>
        </w:rPr>
        <w:t xml:space="preserve">the </w:t>
      </w:r>
      <w:r w:rsidR="00D94C73">
        <w:rPr>
          <w:rFonts w:ascii="Calibri" w:hAnsi="Calibri"/>
        </w:rPr>
        <w:t>six-</w:t>
      </w:r>
      <w:r w:rsidR="006E285F">
        <w:rPr>
          <w:rFonts w:ascii="Calibri" w:hAnsi="Calibri"/>
        </w:rPr>
        <w:t>minute walk distance (</w:t>
      </w:r>
      <w:r w:rsidRPr="003314AE">
        <w:rPr>
          <w:rFonts w:ascii="Calibri" w:hAnsi="Calibri"/>
        </w:rPr>
        <w:t>6MWD</w:t>
      </w:r>
      <w:r w:rsidR="006E285F">
        <w:rPr>
          <w:rFonts w:ascii="Calibri" w:hAnsi="Calibri"/>
        </w:rPr>
        <w:t>)</w:t>
      </w:r>
      <w:r w:rsidRPr="003314AE">
        <w:rPr>
          <w:rFonts w:ascii="Calibri" w:hAnsi="Calibri"/>
        </w:rPr>
        <w:t xml:space="preserve"> or rates of hospitalisation?</w:t>
      </w:r>
    </w:p>
    <w:p w14:paraId="2517F28D" w14:textId="77777777" w:rsidR="007053C1" w:rsidRPr="003314AE" w:rsidRDefault="007053C1" w:rsidP="00121658">
      <w:pPr>
        <w:pStyle w:val="BodyText"/>
        <w:jc w:val="left"/>
        <w:rPr>
          <w:rFonts w:ascii="Calibri" w:hAnsi="Calibri"/>
        </w:rPr>
      </w:pPr>
      <w:r w:rsidRPr="003314AE">
        <w:rPr>
          <w:rFonts w:ascii="Calibri" w:hAnsi="Calibri"/>
        </w:rPr>
        <w:t>Q4.</w:t>
      </w:r>
      <w:r w:rsidRPr="003314AE">
        <w:rPr>
          <w:rFonts w:ascii="Calibri" w:hAnsi="Calibri"/>
        </w:rPr>
        <w:tab/>
        <w:t xml:space="preserve">Are there side effects from PAH medicines that </w:t>
      </w:r>
      <w:proofErr w:type="gramStart"/>
      <w:r w:rsidRPr="003314AE">
        <w:rPr>
          <w:rFonts w:ascii="Calibri" w:hAnsi="Calibri"/>
        </w:rPr>
        <w:t>impact</w:t>
      </w:r>
      <w:proofErr w:type="gramEnd"/>
      <w:r w:rsidRPr="003314AE">
        <w:rPr>
          <w:rFonts w:ascii="Calibri" w:hAnsi="Calibri"/>
        </w:rPr>
        <w:t xml:space="preserve"> negatively on your daily activities and quality of life?</w:t>
      </w:r>
    </w:p>
    <w:p w14:paraId="22C0D76D" w14:textId="77777777" w:rsidR="007053C1" w:rsidRPr="003314AE" w:rsidRDefault="007053C1" w:rsidP="00121658">
      <w:pPr>
        <w:pStyle w:val="BodyText"/>
        <w:jc w:val="left"/>
        <w:rPr>
          <w:rFonts w:ascii="Calibri" w:hAnsi="Calibri"/>
        </w:rPr>
      </w:pPr>
      <w:r w:rsidRPr="003314AE">
        <w:rPr>
          <w:rFonts w:ascii="Calibri" w:hAnsi="Calibri"/>
        </w:rPr>
        <w:t>Q5.</w:t>
      </w:r>
      <w:r w:rsidRPr="003314AE">
        <w:rPr>
          <w:rFonts w:ascii="Calibri" w:hAnsi="Calibri"/>
        </w:rPr>
        <w:tab/>
        <w:t xml:space="preserve">Are there any other clinical outcomes that </w:t>
      </w:r>
      <w:proofErr w:type="gramStart"/>
      <w:r w:rsidRPr="003314AE">
        <w:rPr>
          <w:rFonts w:ascii="Calibri" w:hAnsi="Calibri"/>
        </w:rPr>
        <w:t>should be highlighted</w:t>
      </w:r>
      <w:proofErr w:type="gramEnd"/>
      <w:r w:rsidRPr="003314AE">
        <w:rPr>
          <w:rFonts w:ascii="Calibri" w:hAnsi="Calibri"/>
        </w:rPr>
        <w:t xml:space="preserve"> to the PBAC when they consider the effectiveness of PAH medicines</w:t>
      </w:r>
      <w:r w:rsidR="003D4F24" w:rsidRPr="003314AE">
        <w:rPr>
          <w:rFonts w:ascii="Calibri" w:hAnsi="Calibri"/>
        </w:rPr>
        <w:t>?</w:t>
      </w:r>
    </w:p>
    <w:p w14:paraId="5B154005" w14:textId="77777777" w:rsidR="007053C1" w:rsidRPr="003314AE" w:rsidRDefault="002F6603" w:rsidP="00121658">
      <w:pPr>
        <w:pStyle w:val="Heading4"/>
      </w:pPr>
      <w:r>
        <w:t>Term</w:t>
      </w:r>
      <w:r w:rsidR="007053C1" w:rsidRPr="003314AE">
        <w:t xml:space="preserve"> of </w:t>
      </w:r>
      <w:r>
        <w:t>R</w:t>
      </w:r>
      <w:r w:rsidR="007053C1" w:rsidRPr="003314AE">
        <w:t>eference 4</w:t>
      </w:r>
    </w:p>
    <w:p w14:paraId="5945EE56" w14:textId="77777777" w:rsidR="00953452" w:rsidRPr="003314AE" w:rsidRDefault="00953452" w:rsidP="00121658">
      <w:pPr>
        <w:pStyle w:val="BodyText"/>
        <w:spacing w:before="120"/>
        <w:jc w:val="left"/>
        <w:rPr>
          <w:rFonts w:ascii="Calibri" w:hAnsi="Calibri"/>
        </w:rPr>
      </w:pPr>
      <w:proofErr w:type="spellStart"/>
      <w:r w:rsidRPr="003314AE">
        <w:rPr>
          <w:rFonts w:ascii="Calibri" w:hAnsi="Calibri"/>
        </w:rPr>
        <w:t>ToR</w:t>
      </w:r>
      <w:proofErr w:type="spellEnd"/>
      <w:r w:rsidRPr="003314AE">
        <w:rPr>
          <w:rFonts w:ascii="Calibri" w:hAnsi="Calibri"/>
        </w:rPr>
        <w:t xml:space="preserve"> 4: </w:t>
      </w:r>
      <w:r w:rsidR="00B94F5A" w:rsidRPr="003314AE">
        <w:rPr>
          <w:rFonts w:ascii="Calibri" w:hAnsi="Calibri"/>
        </w:rPr>
        <w:t xml:space="preserve">Collate and evaluate evidence on the comparative effectiveness of PAH medicines, including combination use and use in the WHO </w:t>
      </w:r>
      <w:r w:rsidR="006E285F">
        <w:rPr>
          <w:rFonts w:ascii="Calibri" w:hAnsi="Calibri"/>
        </w:rPr>
        <w:t>FC</w:t>
      </w:r>
      <w:r w:rsidR="00B94F5A" w:rsidRPr="003314AE">
        <w:rPr>
          <w:rFonts w:ascii="Calibri" w:hAnsi="Calibri"/>
        </w:rPr>
        <w:t xml:space="preserve"> II patient populations.</w:t>
      </w:r>
    </w:p>
    <w:p w14:paraId="6AD53002" w14:textId="77777777" w:rsidR="00953452" w:rsidRPr="003314AE" w:rsidRDefault="00DA3E05" w:rsidP="00121658">
      <w:pPr>
        <w:pStyle w:val="BodyText"/>
        <w:spacing w:before="120"/>
        <w:jc w:val="left"/>
        <w:rPr>
          <w:rFonts w:ascii="Calibri" w:hAnsi="Calibri"/>
        </w:rPr>
      </w:pPr>
      <w:r>
        <w:rPr>
          <w:rFonts w:ascii="Calibri" w:hAnsi="Calibri"/>
        </w:rPr>
        <w:t>Q1.</w:t>
      </w:r>
      <w:r>
        <w:rPr>
          <w:rFonts w:ascii="Calibri" w:hAnsi="Calibri"/>
        </w:rPr>
        <w:tab/>
      </w:r>
      <w:r w:rsidR="00A8308B" w:rsidRPr="003314AE">
        <w:rPr>
          <w:rFonts w:ascii="Calibri" w:hAnsi="Calibri"/>
        </w:rPr>
        <w:t>What is the effectiveness and safety of monotherapy with a PAH medicine, compared to</w:t>
      </w:r>
      <w:r w:rsidR="00A8308B" w:rsidRPr="003314AE">
        <w:rPr>
          <w:rFonts w:ascii="Calibri" w:hAnsi="Calibri"/>
          <w:i/>
        </w:rPr>
        <w:t xml:space="preserve"> </w:t>
      </w:r>
      <w:r w:rsidR="00A8308B" w:rsidRPr="003314AE">
        <w:rPr>
          <w:rFonts w:ascii="Calibri" w:hAnsi="Calibri"/>
        </w:rPr>
        <w:t>placebo/no treatment or another PAH medicine listed on the PBS, in patients with WHO FC I or II PAH?</w:t>
      </w:r>
    </w:p>
    <w:p w14:paraId="0F9FA39B" w14:textId="77777777" w:rsidR="00A8308B" w:rsidRPr="003314AE" w:rsidRDefault="00DA3E05" w:rsidP="00121658">
      <w:pPr>
        <w:pStyle w:val="BodyText"/>
        <w:spacing w:before="120"/>
        <w:jc w:val="left"/>
        <w:rPr>
          <w:rFonts w:ascii="Calibri" w:hAnsi="Calibri"/>
        </w:rPr>
      </w:pPr>
      <w:r>
        <w:rPr>
          <w:rFonts w:ascii="Calibri" w:hAnsi="Calibri"/>
        </w:rPr>
        <w:t>Q2.</w:t>
      </w:r>
      <w:r>
        <w:rPr>
          <w:rFonts w:ascii="Calibri" w:hAnsi="Calibri"/>
        </w:rPr>
        <w:tab/>
      </w:r>
      <w:r w:rsidR="00A8308B" w:rsidRPr="003314AE">
        <w:rPr>
          <w:rFonts w:ascii="Calibri" w:hAnsi="Calibri"/>
        </w:rPr>
        <w:t>What is the new evidence concerning the effectiveness and safety of monotherapy with a PAH medicine, compared to the main comparator accepted by the PBAC, in patients with WHO FC III or IV PAH, that has not previously been considered by the PBAC?</w:t>
      </w:r>
    </w:p>
    <w:p w14:paraId="7A5433EB" w14:textId="77777777" w:rsidR="007053C1" w:rsidRPr="003314AE" w:rsidRDefault="00DA3E05" w:rsidP="00121658">
      <w:pPr>
        <w:pStyle w:val="BodyText"/>
        <w:spacing w:before="120"/>
        <w:jc w:val="left"/>
        <w:rPr>
          <w:rFonts w:ascii="Calibri" w:hAnsi="Calibri"/>
        </w:rPr>
      </w:pPr>
      <w:r>
        <w:rPr>
          <w:rFonts w:ascii="Calibri" w:hAnsi="Calibri"/>
        </w:rPr>
        <w:t>Q3.</w:t>
      </w:r>
      <w:r>
        <w:rPr>
          <w:rFonts w:ascii="Calibri" w:hAnsi="Calibri"/>
        </w:rPr>
        <w:tab/>
      </w:r>
      <w:r w:rsidR="00A8308B" w:rsidRPr="003314AE">
        <w:rPr>
          <w:rFonts w:ascii="Calibri" w:hAnsi="Calibri"/>
        </w:rPr>
        <w:t xml:space="preserve">What is the effectiveness and safety of dual combination therapy involving any combination of an </w:t>
      </w:r>
      <w:r w:rsidR="006E285F">
        <w:rPr>
          <w:rFonts w:ascii="Calibri" w:hAnsi="Calibri"/>
        </w:rPr>
        <w:t>endothelin receptor antagonist (</w:t>
      </w:r>
      <w:r w:rsidR="00A8308B" w:rsidRPr="003314AE">
        <w:rPr>
          <w:rFonts w:ascii="Calibri" w:hAnsi="Calibri"/>
        </w:rPr>
        <w:t>ERA</w:t>
      </w:r>
      <w:r w:rsidR="006E285F">
        <w:rPr>
          <w:rFonts w:ascii="Calibri" w:hAnsi="Calibri"/>
        </w:rPr>
        <w:t>)</w:t>
      </w:r>
      <w:r w:rsidR="00A8308B" w:rsidRPr="003314AE">
        <w:rPr>
          <w:rFonts w:ascii="Calibri" w:hAnsi="Calibri"/>
        </w:rPr>
        <w:t xml:space="preserve">, a </w:t>
      </w:r>
      <w:r w:rsidR="006E285F">
        <w:rPr>
          <w:rFonts w:ascii="Calibri" w:hAnsi="Calibri"/>
        </w:rPr>
        <w:t>phosphodiesterase type 5 (</w:t>
      </w:r>
      <w:r w:rsidR="00AF191D" w:rsidRPr="003314AE">
        <w:rPr>
          <w:rFonts w:ascii="Calibri" w:hAnsi="Calibri"/>
        </w:rPr>
        <w:t>PDE</w:t>
      </w:r>
      <w:r w:rsidR="00AF191D" w:rsidRPr="003314AE">
        <w:rPr>
          <w:rFonts w:ascii="Calibri" w:hAnsi="Calibri"/>
        </w:rPr>
        <w:noBreakHyphen/>
        <w:t>5</w:t>
      </w:r>
      <w:r w:rsidR="006E285F">
        <w:rPr>
          <w:rFonts w:ascii="Calibri" w:hAnsi="Calibri"/>
        </w:rPr>
        <w:t>)</w:t>
      </w:r>
      <w:r w:rsidR="00A8308B" w:rsidRPr="003314AE">
        <w:rPr>
          <w:rFonts w:ascii="Calibri" w:hAnsi="Calibri"/>
        </w:rPr>
        <w:t xml:space="preserve"> inhibitor, a prostanoid, or a </w:t>
      </w:r>
      <w:r w:rsidR="0055334C">
        <w:rPr>
          <w:rFonts w:ascii="Calibri" w:hAnsi="Calibri"/>
        </w:rPr>
        <w:t>soluble</w:t>
      </w:r>
      <w:r w:rsidR="006E285F">
        <w:rPr>
          <w:rFonts w:ascii="Calibri" w:hAnsi="Calibri"/>
        </w:rPr>
        <w:t xml:space="preserve"> guanylate cyclase (</w:t>
      </w:r>
      <w:proofErr w:type="spellStart"/>
      <w:r w:rsidR="00A8308B" w:rsidRPr="003314AE">
        <w:rPr>
          <w:rFonts w:ascii="Calibri" w:hAnsi="Calibri"/>
        </w:rPr>
        <w:t>sGC</w:t>
      </w:r>
      <w:proofErr w:type="spellEnd"/>
      <w:r w:rsidR="006E285F">
        <w:rPr>
          <w:rFonts w:ascii="Calibri" w:hAnsi="Calibri"/>
        </w:rPr>
        <w:t>)</w:t>
      </w:r>
      <w:r w:rsidR="00A8308B" w:rsidRPr="003314AE">
        <w:rPr>
          <w:rFonts w:ascii="Calibri" w:hAnsi="Calibri"/>
        </w:rPr>
        <w:t xml:space="preserve"> stimulat</w:t>
      </w:r>
      <w:r w:rsidR="00751282">
        <w:rPr>
          <w:rFonts w:ascii="Calibri" w:hAnsi="Calibri"/>
        </w:rPr>
        <w:t xml:space="preserve">or, compared to monotherapy, </w:t>
      </w:r>
      <w:proofErr w:type="gramStart"/>
      <w:r w:rsidR="00751282">
        <w:rPr>
          <w:rFonts w:ascii="Calibri" w:hAnsi="Calibri"/>
        </w:rPr>
        <w:t>in</w:t>
      </w:r>
      <w:proofErr w:type="gramEnd"/>
    </w:p>
    <w:p w14:paraId="0B58AA92" w14:textId="77777777" w:rsidR="007053C1" w:rsidRPr="003314AE" w:rsidRDefault="00A8308B" w:rsidP="00807704">
      <w:pPr>
        <w:pStyle w:val="BodyText"/>
        <w:numPr>
          <w:ilvl w:val="0"/>
          <w:numId w:val="21"/>
        </w:numPr>
        <w:spacing w:before="120"/>
        <w:ind w:left="993" w:hanging="426"/>
        <w:jc w:val="left"/>
        <w:rPr>
          <w:rFonts w:ascii="Calibri" w:hAnsi="Calibri"/>
        </w:rPr>
      </w:pPr>
      <w:r w:rsidRPr="003314AE">
        <w:rPr>
          <w:rFonts w:ascii="Calibri" w:hAnsi="Calibri"/>
        </w:rPr>
        <w:t>PAH patients, irrespective of disease severity or aetiology;</w:t>
      </w:r>
    </w:p>
    <w:p w14:paraId="6394619A" w14:textId="77777777" w:rsidR="007053C1" w:rsidRPr="003314AE" w:rsidRDefault="00A8308B" w:rsidP="00807704">
      <w:pPr>
        <w:pStyle w:val="BodyText"/>
        <w:numPr>
          <w:ilvl w:val="0"/>
          <w:numId w:val="21"/>
        </w:numPr>
        <w:spacing w:before="120"/>
        <w:ind w:left="993" w:hanging="426"/>
        <w:jc w:val="left"/>
        <w:rPr>
          <w:rFonts w:ascii="Calibri" w:hAnsi="Calibri"/>
        </w:rPr>
      </w:pPr>
      <w:r w:rsidRPr="003314AE">
        <w:rPr>
          <w:rFonts w:ascii="Calibri" w:hAnsi="Calibri"/>
        </w:rPr>
        <w:t>PAH patients with FC III or IV; and</w:t>
      </w:r>
    </w:p>
    <w:p w14:paraId="4E71447C" w14:textId="77777777" w:rsidR="00A8308B" w:rsidRPr="003314AE" w:rsidRDefault="00A8308B" w:rsidP="00807704">
      <w:pPr>
        <w:pStyle w:val="BodyText"/>
        <w:numPr>
          <w:ilvl w:val="0"/>
          <w:numId w:val="21"/>
        </w:numPr>
        <w:spacing w:before="120"/>
        <w:ind w:left="993" w:hanging="426"/>
        <w:jc w:val="left"/>
        <w:rPr>
          <w:rFonts w:ascii="Calibri" w:hAnsi="Calibri"/>
        </w:rPr>
      </w:pPr>
      <w:r w:rsidRPr="003314AE">
        <w:rPr>
          <w:rFonts w:ascii="Calibri" w:hAnsi="Calibri"/>
        </w:rPr>
        <w:t>PAH patients with different disease aetiologies?</w:t>
      </w:r>
    </w:p>
    <w:p w14:paraId="6A5D2655" w14:textId="77777777" w:rsidR="007053C1" w:rsidRPr="003314AE" w:rsidRDefault="00DA3E05" w:rsidP="00121658">
      <w:pPr>
        <w:pStyle w:val="BodyText"/>
        <w:spacing w:before="120"/>
        <w:jc w:val="left"/>
        <w:rPr>
          <w:rFonts w:ascii="Calibri" w:hAnsi="Calibri"/>
        </w:rPr>
      </w:pPr>
      <w:r>
        <w:rPr>
          <w:rFonts w:ascii="Calibri" w:hAnsi="Calibri"/>
        </w:rPr>
        <w:lastRenderedPageBreak/>
        <w:t>Q4.</w:t>
      </w:r>
      <w:r>
        <w:rPr>
          <w:rFonts w:ascii="Calibri" w:hAnsi="Calibri"/>
        </w:rPr>
        <w:tab/>
      </w:r>
      <w:r w:rsidR="00A8308B" w:rsidRPr="003314AE">
        <w:rPr>
          <w:rFonts w:ascii="Calibri" w:hAnsi="Calibri"/>
        </w:rPr>
        <w:t xml:space="preserve">What is the effectiveness and safety of triple combination therapy involving any combination of an ERA, a </w:t>
      </w:r>
      <w:r w:rsidR="00AF191D" w:rsidRPr="003314AE">
        <w:rPr>
          <w:rFonts w:ascii="Calibri" w:hAnsi="Calibri"/>
        </w:rPr>
        <w:t>PDE</w:t>
      </w:r>
      <w:r w:rsidR="00AF191D" w:rsidRPr="003314AE">
        <w:rPr>
          <w:rFonts w:ascii="Calibri" w:hAnsi="Calibri"/>
        </w:rPr>
        <w:noBreakHyphen/>
        <w:t>5</w:t>
      </w:r>
      <w:r w:rsidR="00A8308B" w:rsidRPr="003314AE">
        <w:rPr>
          <w:rFonts w:ascii="Calibri" w:hAnsi="Calibri"/>
        </w:rPr>
        <w:t xml:space="preserve"> inhibitor, a prostanoid, or a </w:t>
      </w:r>
      <w:proofErr w:type="spellStart"/>
      <w:r w:rsidR="00A8308B" w:rsidRPr="003314AE">
        <w:rPr>
          <w:rFonts w:ascii="Calibri" w:hAnsi="Calibri"/>
        </w:rPr>
        <w:t>sGC</w:t>
      </w:r>
      <w:proofErr w:type="spellEnd"/>
      <w:r w:rsidR="00A8308B" w:rsidRPr="003314AE">
        <w:rPr>
          <w:rFonts w:ascii="Calibri" w:hAnsi="Calibri"/>
        </w:rPr>
        <w:t xml:space="preserve"> stimulator, compared to dual combination th</w:t>
      </w:r>
      <w:r w:rsidR="00751282">
        <w:rPr>
          <w:rFonts w:ascii="Calibri" w:hAnsi="Calibri"/>
        </w:rPr>
        <w:t xml:space="preserve">erapy, </w:t>
      </w:r>
      <w:proofErr w:type="gramStart"/>
      <w:r w:rsidR="00751282">
        <w:rPr>
          <w:rFonts w:ascii="Calibri" w:hAnsi="Calibri"/>
        </w:rPr>
        <w:t>in</w:t>
      </w:r>
      <w:proofErr w:type="gramEnd"/>
    </w:p>
    <w:p w14:paraId="12946A31" w14:textId="77777777" w:rsidR="007053C1" w:rsidRPr="003314AE" w:rsidRDefault="00A8308B" w:rsidP="00807704">
      <w:pPr>
        <w:pStyle w:val="BodyText"/>
        <w:numPr>
          <w:ilvl w:val="0"/>
          <w:numId w:val="22"/>
        </w:numPr>
        <w:spacing w:before="120"/>
        <w:ind w:left="993" w:hanging="426"/>
        <w:jc w:val="left"/>
        <w:rPr>
          <w:rFonts w:ascii="Calibri" w:hAnsi="Calibri"/>
        </w:rPr>
      </w:pPr>
      <w:r w:rsidRPr="003314AE">
        <w:rPr>
          <w:rFonts w:ascii="Calibri" w:hAnsi="Calibri"/>
        </w:rPr>
        <w:t>PAH patients, irrespective of disease severity or aetiology;</w:t>
      </w:r>
    </w:p>
    <w:p w14:paraId="62BA8F13" w14:textId="77777777" w:rsidR="007053C1" w:rsidRPr="003314AE" w:rsidRDefault="00A8308B" w:rsidP="00807704">
      <w:pPr>
        <w:pStyle w:val="BodyText"/>
        <w:numPr>
          <w:ilvl w:val="0"/>
          <w:numId w:val="22"/>
        </w:numPr>
        <w:spacing w:before="120"/>
        <w:ind w:left="993" w:hanging="426"/>
        <w:jc w:val="left"/>
        <w:rPr>
          <w:rFonts w:ascii="Calibri" w:hAnsi="Calibri"/>
        </w:rPr>
      </w:pPr>
      <w:r w:rsidRPr="003314AE">
        <w:rPr>
          <w:rFonts w:ascii="Calibri" w:hAnsi="Calibri"/>
        </w:rPr>
        <w:t xml:space="preserve">PAH patients with FC III or IV; and </w:t>
      </w:r>
    </w:p>
    <w:p w14:paraId="2A0FAB5D" w14:textId="77777777" w:rsidR="005A77E3" w:rsidRPr="003314AE" w:rsidRDefault="00A8308B" w:rsidP="00807704">
      <w:pPr>
        <w:pStyle w:val="BodyText"/>
        <w:numPr>
          <w:ilvl w:val="0"/>
          <w:numId w:val="22"/>
        </w:numPr>
        <w:spacing w:before="120"/>
        <w:ind w:left="993" w:hanging="426"/>
        <w:jc w:val="left"/>
        <w:rPr>
          <w:rFonts w:ascii="Calibri" w:hAnsi="Calibri"/>
        </w:rPr>
      </w:pPr>
      <w:r w:rsidRPr="003314AE">
        <w:rPr>
          <w:rFonts w:ascii="Calibri" w:hAnsi="Calibri"/>
        </w:rPr>
        <w:t xml:space="preserve">PAH patients with different disease aetiologies? </w:t>
      </w:r>
    </w:p>
    <w:p w14:paraId="362DD1FF" w14:textId="77777777" w:rsidR="005A77E3" w:rsidRPr="003314AE" w:rsidRDefault="002F6603" w:rsidP="00121658">
      <w:pPr>
        <w:pStyle w:val="Heading4"/>
      </w:pPr>
      <w:r>
        <w:t>Term</w:t>
      </w:r>
      <w:r w:rsidR="005A77E3" w:rsidRPr="003314AE">
        <w:t xml:space="preserve"> of </w:t>
      </w:r>
      <w:r>
        <w:t>R</w:t>
      </w:r>
      <w:r w:rsidR="005A77E3" w:rsidRPr="003314AE">
        <w:t>eference 5</w:t>
      </w:r>
    </w:p>
    <w:p w14:paraId="16DDFADB" w14:textId="77777777" w:rsidR="00953452" w:rsidRPr="00DA3E05" w:rsidRDefault="00953452" w:rsidP="00121658">
      <w:pPr>
        <w:pStyle w:val="BodyTextnospacebefore"/>
      </w:pPr>
      <w:proofErr w:type="spellStart"/>
      <w:r w:rsidRPr="00DA3E05">
        <w:t>ToR</w:t>
      </w:r>
      <w:proofErr w:type="spellEnd"/>
      <w:r w:rsidRPr="00DA3E05">
        <w:t xml:space="preserve"> 5</w:t>
      </w:r>
      <w:r w:rsidR="00F00E40" w:rsidRPr="00DA3E05">
        <w:t>:</w:t>
      </w:r>
      <w:r w:rsidRPr="00DA3E05">
        <w:t xml:space="preserve"> </w:t>
      </w:r>
      <w:r w:rsidR="00B94F5A" w:rsidRPr="00DA3E05">
        <w:t xml:space="preserve">Following </w:t>
      </w:r>
      <w:proofErr w:type="spellStart"/>
      <w:r w:rsidR="00B94F5A" w:rsidRPr="00DA3E05">
        <w:t>ToR</w:t>
      </w:r>
      <w:proofErr w:type="spellEnd"/>
      <w:r w:rsidR="00B94F5A" w:rsidRPr="00DA3E05">
        <w:t xml:space="preserve"> 1-4</w:t>
      </w:r>
      <w:r w:rsidR="00F00E40" w:rsidRPr="00DA3E05">
        <w:t xml:space="preserve">, </w:t>
      </w:r>
      <w:r w:rsidR="00B94F5A" w:rsidRPr="00DA3E05">
        <w:t>consider reviewing the cost-effectiveness of existing PBS listings for PAH medicines, and in treatment of WHO functional class II and combination treatment in class III and class IV patients.</w:t>
      </w:r>
    </w:p>
    <w:p w14:paraId="5CED6784" w14:textId="77777777" w:rsidR="00175C85" w:rsidRPr="00DA3E05" w:rsidRDefault="00586B4B" w:rsidP="00121658">
      <w:pPr>
        <w:pStyle w:val="Heading3"/>
        <w:numPr>
          <w:ilvl w:val="0"/>
          <w:numId w:val="0"/>
        </w:numPr>
      </w:pPr>
      <w:bookmarkStart w:id="19" w:name="_Toc486514195"/>
      <w:bookmarkStart w:id="20" w:name="_Toc38377483"/>
      <w:r w:rsidRPr="00DA3E05">
        <w:t xml:space="preserve">B.3.4 </w:t>
      </w:r>
      <w:r w:rsidR="00F47F81" w:rsidRPr="00DA3E05">
        <w:t>Public s</w:t>
      </w:r>
      <w:r w:rsidR="00175C85" w:rsidRPr="00DA3E05">
        <w:t>ubmissions</w:t>
      </w:r>
      <w:bookmarkEnd w:id="19"/>
      <w:bookmarkEnd w:id="20"/>
    </w:p>
    <w:p w14:paraId="1AA9297E" w14:textId="77777777" w:rsidR="00175C85" w:rsidRPr="00B6365F" w:rsidRDefault="00175C85" w:rsidP="00121658">
      <w:pPr>
        <w:pStyle w:val="BodyTextnospacebefore"/>
      </w:pPr>
      <w:r w:rsidRPr="00B6365F">
        <w:t xml:space="preserve">Public submissions to the Review were open for seven weeks from </w:t>
      </w:r>
      <w:r w:rsidR="000B5BEC" w:rsidRPr="00B6365F">
        <w:t>13 February</w:t>
      </w:r>
      <w:r w:rsidRPr="00B6365F">
        <w:t xml:space="preserve"> to </w:t>
      </w:r>
      <w:r w:rsidR="000B5BEC" w:rsidRPr="00B6365F">
        <w:t>27 March </w:t>
      </w:r>
      <w:r w:rsidRPr="00B6365F">
        <w:t>201</w:t>
      </w:r>
      <w:r w:rsidR="000B5BEC" w:rsidRPr="00B6365F">
        <w:t>7</w:t>
      </w:r>
      <w:r w:rsidRPr="00B6365F">
        <w:t xml:space="preserve">. This process provided stakeholders with an opportunity to </w:t>
      </w:r>
      <w:r w:rsidRPr="004575B0">
        <w:t xml:space="preserve">identify relevant issues, evidence or data that may inform the Review. </w:t>
      </w:r>
      <w:r w:rsidR="00895360" w:rsidRPr="004575B0">
        <w:t>Seven s</w:t>
      </w:r>
      <w:r w:rsidR="006D232C" w:rsidRPr="004575B0">
        <w:t xml:space="preserve">ubmissions </w:t>
      </w:r>
      <w:proofErr w:type="gramStart"/>
      <w:r w:rsidR="006D232C" w:rsidRPr="004575B0">
        <w:t>were received</w:t>
      </w:r>
      <w:proofErr w:type="gramEnd"/>
      <w:r w:rsidR="006D232C" w:rsidRPr="004575B0">
        <w:t xml:space="preserve"> </w:t>
      </w:r>
      <w:r w:rsidR="006D232C" w:rsidRPr="003314AE">
        <w:t xml:space="preserve">from </w:t>
      </w:r>
      <w:r w:rsidR="000B5BEC" w:rsidRPr="004575B0">
        <w:t>health professional peak bodies</w:t>
      </w:r>
      <w:r w:rsidR="00895360" w:rsidRPr="004575B0">
        <w:t>,</w:t>
      </w:r>
      <w:r w:rsidR="006D232C" w:rsidRPr="003314AE">
        <w:t xml:space="preserve"> </w:t>
      </w:r>
      <w:r w:rsidR="003D4F24" w:rsidRPr="004575B0">
        <w:t xml:space="preserve">pharmaceutical companies </w:t>
      </w:r>
      <w:r w:rsidR="00895360" w:rsidRPr="004575B0">
        <w:t>and a health professional.</w:t>
      </w:r>
      <w:r w:rsidR="006D232C" w:rsidRPr="004575B0">
        <w:t xml:space="preserve"> </w:t>
      </w:r>
      <w:r w:rsidR="0008138B" w:rsidRPr="004575B0">
        <w:t>P</w:t>
      </w:r>
      <w:r w:rsidR="006D232C" w:rsidRPr="00B6365F">
        <w:t xml:space="preserve">ublic submissions were published on the </w:t>
      </w:r>
      <w:r w:rsidR="00FC63C1" w:rsidRPr="00F4698B">
        <w:t>PAH</w:t>
      </w:r>
      <w:r w:rsidR="006D232C" w:rsidRPr="00F4698B">
        <w:t xml:space="preserve"> Review Public Consultation</w:t>
      </w:r>
      <w:r w:rsidR="006D232C" w:rsidRPr="00B6365F">
        <w:t xml:space="preserve"> website</w:t>
      </w:r>
      <w:r w:rsidR="0008138B" w:rsidRPr="0008138B">
        <w:t xml:space="preserve"> </w:t>
      </w:r>
      <w:r w:rsidR="0008138B">
        <w:t>unless requested otherwise.</w:t>
      </w:r>
    </w:p>
    <w:p w14:paraId="66A987E2" w14:textId="77777777" w:rsidR="003746AE" w:rsidRDefault="00BE5DB6" w:rsidP="00121658">
      <w:pPr>
        <w:pStyle w:val="Heading3"/>
        <w:numPr>
          <w:ilvl w:val="0"/>
          <w:numId w:val="0"/>
        </w:numPr>
        <w:jc w:val="left"/>
      </w:pPr>
      <w:bookmarkStart w:id="21" w:name="_Toc38377484"/>
      <w:r>
        <w:t>B.3.5</w:t>
      </w:r>
      <w:r w:rsidR="009101A0">
        <w:t xml:space="preserve"> </w:t>
      </w:r>
      <w:r w:rsidR="00D70991">
        <w:t>Consumer</w:t>
      </w:r>
      <w:r w:rsidR="00F00E40">
        <w:t xml:space="preserve"> </w:t>
      </w:r>
      <w:r w:rsidR="00A47192">
        <w:t>Forum</w:t>
      </w:r>
      <w:bookmarkEnd w:id="21"/>
    </w:p>
    <w:p w14:paraId="10CEE363" w14:textId="77777777" w:rsidR="003746AE" w:rsidRDefault="003746AE" w:rsidP="00121658">
      <w:pPr>
        <w:pStyle w:val="BodyTextnospacebefore"/>
      </w:pPr>
      <w:r w:rsidRPr="0008138B">
        <w:t xml:space="preserve">A </w:t>
      </w:r>
      <w:r w:rsidR="000B5BEC" w:rsidRPr="0008138B">
        <w:t xml:space="preserve">Consumer </w:t>
      </w:r>
      <w:r w:rsidR="00A47192">
        <w:t xml:space="preserve">Forum </w:t>
      </w:r>
      <w:r w:rsidRPr="0008138B">
        <w:t xml:space="preserve">for the Post-market Review of </w:t>
      </w:r>
      <w:r w:rsidR="00B94F5A" w:rsidRPr="0008138B">
        <w:t xml:space="preserve">PAH </w:t>
      </w:r>
      <w:r w:rsidR="000B5BEC" w:rsidRPr="0008138B">
        <w:t xml:space="preserve">Medicines </w:t>
      </w:r>
      <w:proofErr w:type="gramStart"/>
      <w:r w:rsidR="000B5BEC" w:rsidRPr="0008138B">
        <w:t>was held</w:t>
      </w:r>
      <w:proofErr w:type="gramEnd"/>
      <w:r w:rsidR="000B5BEC" w:rsidRPr="0008138B">
        <w:t xml:space="preserve"> in Sydney</w:t>
      </w:r>
      <w:r w:rsidRPr="0008138B">
        <w:t xml:space="preserve"> on </w:t>
      </w:r>
      <w:r w:rsidR="00B94F5A" w:rsidRPr="0008138B">
        <w:t>1</w:t>
      </w:r>
      <w:r w:rsidR="00D70991" w:rsidRPr="0008138B">
        <w:t>4 </w:t>
      </w:r>
      <w:r w:rsidR="00B94F5A" w:rsidRPr="0008138B">
        <w:t>October</w:t>
      </w:r>
      <w:r w:rsidR="00D70991" w:rsidRPr="0008138B">
        <w:t> </w:t>
      </w:r>
      <w:r w:rsidRPr="0008138B">
        <w:t>2017</w:t>
      </w:r>
      <w:r w:rsidR="00895360">
        <w:t>, as part of t</w:t>
      </w:r>
      <w:r w:rsidR="00895360" w:rsidRPr="0008138B">
        <w:t>he</w:t>
      </w:r>
      <w:r w:rsidR="00895360">
        <w:t xml:space="preserve"> </w:t>
      </w:r>
      <w:r w:rsidR="00895360" w:rsidRPr="0008138B">
        <w:t xml:space="preserve">Pulmonary Hypertension Association Australia </w:t>
      </w:r>
      <w:r w:rsidR="00895360">
        <w:t>(</w:t>
      </w:r>
      <w:r w:rsidR="00895360" w:rsidRPr="0008138B">
        <w:t>PHAA</w:t>
      </w:r>
      <w:r w:rsidR="00895360">
        <w:t>)</w:t>
      </w:r>
      <w:r w:rsidR="00895360" w:rsidRPr="0008138B">
        <w:t xml:space="preserve"> Members &amp; Carers Day</w:t>
      </w:r>
      <w:r w:rsidR="00895360">
        <w:t>. A</w:t>
      </w:r>
      <w:r w:rsidRPr="0008138B">
        <w:t xml:space="preserve">ttendees </w:t>
      </w:r>
      <w:proofErr w:type="gramStart"/>
      <w:r w:rsidRPr="0008138B">
        <w:t>were provided</w:t>
      </w:r>
      <w:proofErr w:type="gramEnd"/>
      <w:r w:rsidRPr="0008138B">
        <w:t xml:space="preserve"> with a background discussion paper </w:t>
      </w:r>
      <w:r w:rsidR="00895360">
        <w:t>p</w:t>
      </w:r>
      <w:r w:rsidR="00895360" w:rsidRPr="0008138B">
        <w:t>rior to the meeting</w:t>
      </w:r>
      <w:r w:rsidR="00895360">
        <w:t>. The discussion paper</w:t>
      </w:r>
      <w:r w:rsidRPr="0008138B">
        <w:t xml:space="preserve"> included information on the Review </w:t>
      </w:r>
      <w:proofErr w:type="spellStart"/>
      <w:r w:rsidRPr="0008138B">
        <w:t>ToR</w:t>
      </w:r>
      <w:proofErr w:type="spellEnd"/>
      <w:r w:rsidRPr="0008138B">
        <w:t>, and identified key issues and questions for</w:t>
      </w:r>
      <w:r w:rsidR="00895360">
        <w:t xml:space="preserve"> discussion</w:t>
      </w:r>
      <w:r w:rsidRPr="0008138B">
        <w:t xml:space="preserve">. A brief </w:t>
      </w:r>
      <w:r w:rsidR="000B5BEC" w:rsidRPr="0008138B">
        <w:t xml:space="preserve">overview of the review process </w:t>
      </w:r>
      <w:proofErr w:type="gramStart"/>
      <w:r w:rsidR="000B5BEC" w:rsidRPr="0008138B">
        <w:t>was provided</w:t>
      </w:r>
      <w:proofErr w:type="gramEnd"/>
      <w:r w:rsidR="00164341">
        <w:t xml:space="preserve"> during the Forum.</w:t>
      </w:r>
      <w:r w:rsidR="00011758">
        <w:t xml:space="preserve"> </w:t>
      </w:r>
      <w:r w:rsidRPr="0008138B">
        <w:t>Foc</w:t>
      </w:r>
      <w:r w:rsidR="00B94F5A" w:rsidRPr="0008138B">
        <w:t xml:space="preserve">us questions were posed </w:t>
      </w:r>
      <w:r w:rsidRPr="0008138B">
        <w:t xml:space="preserve">to prompt discussion and there </w:t>
      </w:r>
      <w:proofErr w:type="gramStart"/>
      <w:r w:rsidRPr="0008138B">
        <w:t>was also</w:t>
      </w:r>
      <w:proofErr w:type="gramEnd"/>
      <w:r w:rsidRPr="0008138B">
        <w:t xml:space="preserve"> an opportunity for open discussion not </w:t>
      </w:r>
      <w:r w:rsidR="00164341">
        <w:t xml:space="preserve">directly </w:t>
      </w:r>
      <w:r w:rsidRPr="0008138B">
        <w:t xml:space="preserve">related to the focus </w:t>
      </w:r>
      <w:r w:rsidRPr="00EA39F6">
        <w:t>questions</w:t>
      </w:r>
      <w:r w:rsidR="00C6734D" w:rsidRPr="00EA39F6">
        <w:t xml:space="preserve">. </w:t>
      </w:r>
      <w:r w:rsidRPr="00EA39F6">
        <w:t xml:space="preserve">The </w:t>
      </w:r>
      <w:r w:rsidR="00B94F5A" w:rsidRPr="00EA39F6">
        <w:t>Consumer Outcome Statement</w:t>
      </w:r>
      <w:r w:rsidRPr="00EA39F6">
        <w:t xml:space="preserve"> </w:t>
      </w:r>
      <w:r w:rsidR="00164341" w:rsidRPr="00EA39F6">
        <w:t xml:space="preserve">from the Forum </w:t>
      </w:r>
      <w:r w:rsidRPr="00EA39F6">
        <w:t xml:space="preserve">is presented in </w:t>
      </w:r>
      <w:proofErr w:type="spellStart"/>
      <w:r w:rsidR="00CB2724" w:rsidRPr="00EA39F6">
        <w:t>ToR</w:t>
      </w:r>
      <w:proofErr w:type="spellEnd"/>
      <w:r w:rsidR="00CB2724" w:rsidRPr="00EA39F6">
        <w:t xml:space="preserve"> 3 Appendix 3A</w:t>
      </w:r>
      <w:r w:rsidRPr="00EA39F6">
        <w:t xml:space="preserve"> and </w:t>
      </w:r>
      <w:proofErr w:type="gramStart"/>
      <w:r w:rsidRPr="00EA39F6">
        <w:t>is also</w:t>
      </w:r>
      <w:proofErr w:type="gramEnd"/>
      <w:r w:rsidRPr="00EA39F6">
        <w:t xml:space="preserve"> available on the </w:t>
      </w:r>
      <w:r w:rsidR="00B94F5A" w:rsidRPr="00F4698B">
        <w:t>PAH</w:t>
      </w:r>
      <w:r w:rsidRPr="00F4698B">
        <w:t xml:space="preserve"> Review</w:t>
      </w:r>
      <w:r w:rsidRPr="00EA39F6">
        <w:t xml:space="preserve"> website. Key findings from the </w:t>
      </w:r>
      <w:r w:rsidR="00B94F5A" w:rsidRPr="00EA39F6">
        <w:t xml:space="preserve">Consumer </w:t>
      </w:r>
      <w:r w:rsidR="00895360" w:rsidRPr="00EA39F6">
        <w:t>Forum</w:t>
      </w:r>
      <w:r w:rsidRPr="00EA39F6">
        <w:t xml:space="preserve"> </w:t>
      </w:r>
      <w:proofErr w:type="gramStart"/>
      <w:r w:rsidRPr="00EA39F6">
        <w:t xml:space="preserve">are </w:t>
      </w:r>
      <w:r w:rsidR="00B94F5A" w:rsidRPr="00EA39F6">
        <w:t>presented</w:t>
      </w:r>
      <w:proofErr w:type="gramEnd"/>
      <w:r w:rsidRPr="00EA39F6">
        <w:t xml:space="preserve"> under </w:t>
      </w:r>
      <w:proofErr w:type="spellStart"/>
      <w:r w:rsidRPr="00EA39F6">
        <w:t>ToR</w:t>
      </w:r>
      <w:proofErr w:type="spellEnd"/>
      <w:r w:rsidR="00B94F5A" w:rsidRPr="00EA39F6">
        <w:t xml:space="preserve"> 3, and w</w:t>
      </w:r>
      <w:r w:rsidR="0008138B" w:rsidRPr="00EA39F6">
        <w:t>h</w:t>
      </w:r>
      <w:r w:rsidR="00B94F5A" w:rsidRPr="00EA39F6">
        <w:t>ere appropriate,</w:t>
      </w:r>
      <w:r w:rsidR="00B94F5A" w:rsidRPr="0008138B">
        <w:t xml:space="preserve"> summarised</w:t>
      </w:r>
      <w:r w:rsidR="00A94CDB">
        <w:t>,</w:t>
      </w:r>
      <w:r w:rsidR="00B94F5A" w:rsidRPr="0008138B">
        <w:t xml:space="preserve"> under</w:t>
      </w:r>
      <w:r w:rsidR="00D70991" w:rsidRPr="0008138B">
        <w:t xml:space="preserve"> </w:t>
      </w:r>
      <w:r w:rsidR="000B5BEC" w:rsidRPr="0008138B">
        <w:t>other</w:t>
      </w:r>
      <w:r w:rsidR="00D70991" w:rsidRPr="0008138B">
        <w:t xml:space="preserve"> </w:t>
      </w:r>
      <w:proofErr w:type="spellStart"/>
      <w:r w:rsidR="00D70991" w:rsidRPr="0008138B">
        <w:t>ToR</w:t>
      </w:r>
      <w:proofErr w:type="spellEnd"/>
      <w:r w:rsidRPr="0008138B">
        <w:t>.</w:t>
      </w:r>
    </w:p>
    <w:p w14:paraId="6BF61139" w14:textId="77777777" w:rsidR="005256C7" w:rsidRPr="005256C7" w:rsidRDefault="005256C7" w:rsidP="005256C7">
      <w:pPr>
        <w:pStyle w:val="BodyTextnospacebefore"/>
      </w:pPr>
      <w:r>
        <w:t>The Reference Group decided not to hold a stakeholder forum.</w:t>
      </w:r>
    </w:p>
    <w:p w14:paraId="59FFA3C1" w14:textId="77777777" w:rsidR="00DC3834" w:rsidRDefault="00895360" w:rsidP="00121658">
      <w:pPr>
        <w:pStyle w:val="Heading3"/>
        <w:numPr>
          <w:ilvl w:val="0"/>
          <w:numId w:val="0"/>
        </w:numPr>
        <w:jc w:val="left"/>
      </w:pPr>
      <w:bookmarkStart w:id="22" w:name="_Toc486514198"/>
      <w:bookmarkStart w:id="23" w:name="_Toc38377485"/>
      <w:bookmarkStart w:id="24" w:name="_Toc480371860"/>
      <w:r>
        <w:t>B.3.6</w:t>
      </w:r>
      <w:r w:rsidR="009101A0">
        <w:t xml:space="preserve"> </w:t>
      </w:r>
      <w:r w:rsidR="00F47F81">
        <w:t>Public consultation on the d</w:t>
      </w:r>
      <w:r w:rsidR="00175C85">
        <w:t>raft Report</w:t>
      </w:r>
      <w:bookmarkStart w:id="25" w:name="_Toc486514199"/>
      <w:bookmarkEnd w:id="22"/>
      <w:bookmarkEnd w:id="23"/>
    </w:p>
    <w:p w14:paraId="3F39FA41" w14:textId="77777777" w:rsidR="00AE1717" w:rsidRPr="003314AE" w:rsidRDefault="00AE1717" w:rsidP="00121658">
      <w:pPr>
        <w:pStyle w:val="BodyTextnospacebefore"/>
      </w:pPr>
      <w:r w:rsidRPr="00C0246B">
        <w:t xml:space="preserve">The draft </w:t>
      </w:r>
      <w:r w:rsidR="00164341" w:rsidRPr="00C0246B">
        <w:t xml:space="preserve">PMR of </w:t>
      </w:r>
      <w:r w:rsidRPr="00C0246B">
        <w:t xml:space="preserve">PAH Report was made available for public </w:t>
      </w:r>
      <w:r w:rsidR="003D4F24" w:rsidRPr="00C0246B">
        <w:t>comment on</w:t>
      </w:r>
      <w:r w:rsidR="00164341" w:rsidRPr="00C0246B">
        <w:t xml:space="preserve"> the PAH Review website </w:t>
      </w:r>
      <w:r w:rsidR="00C0246B" w:rsidRPr="000D79D5">
        <w:t xml:space="preserve">between </w:t>
      </w:r>
      <w:r w:rsidR="000D79D5" w:rsidRPr="000D79D5">
        <w:t>21 May</w:t>
      </w:r>
      <w:r w:rsidR="00C0246B" w:rsidRPr="000D79D5">
        <w:t xml:space="preserve"> and </w:t>
      </w:r>
      <w:r w:rsidR="000D79D5" w:rsidRPr="000D79D5">
        <w:t>10 June</w:t>
      </w:r>
      <w:r w:rsidRPr="000D79D5">
        <w:t xml:space="preserve"> 2018</w:t>
      </w:r>
      <w:r w:rsidR="00921FFD" w:rsidRPr="000D79D5">
        <w:t>. Pharmaceutical</w:t>
      </w:r>
      <w:r w:rsidR="00921FFD" w:rsidRPr="00C0246B">
        <w:t xml:space="preserve"> sponsor companies </w:t>
      </w:r>
      <w:proofErr w:type="gramStart"/>
      <w:r w:rsidR="00921FFD" w:rsidRPr="00C0246B">
        <w:t>were also provided</w:t>
      </w:r>
      <w:proofErr w:type="gramEnd"/>
      <w:r w:rsidR="00921FFD" w:rsidRPr="00C0246B">
        <w:t xml:space="preserve"> with the opportunity to comment on the draft report prior to consideration by the DUSC and the Economic Sub-Committee of the PBAC</w:t>
      </w:r>
      <w:r w:rsidR="000E6B13" w:rsidRPr="00C0246B">
        <w:t>, and</w:t>
      </w:r>
      <w:r w:rsidR="00553460" w:rsidRPr="00C0246B">
        <w:t xml:space="preserve"> again to comment on the sub-committee</w:t>
      </w:r>
      <w:r w:rsidR="00164341" w:rsidRPr="00C0246B">
        <w:t>s</w:t>
      </w:r>
      <w:r w:rsidR="00553460" w:rsidRPr="00C0246B">
        <w:t xml:space="preserve"> </w:t>
      </w:r>
      <w:r w:rsidR="003D4F24" w:rsidRPr="00C0246B">
        <w:t xml:space="preserve">advice </w:t>
      </w:r>
      <w:r w:rsidR="000E6B13" w:rsidRPr="00C0246B">
        <w:t xml:space="preserve">prior </w:t>
      </w:r>
      <w:r w:rsidR="000E6B13" w:rsidRPr="005C0AEF">
        <w:t>to PBAC consideration</w:t>
      </w:r>
      <w:r w:rsidR="00553460" w:rsidRPr="005C0AEF">
        <w:t xml:space="preserve"> of the report</w:t>
      </w:r>
      <w:r w:rsidR="00164341" w:rsidRPr="005C0AEF">
        <w:t xml:space="preserve"> in </w:t>
      </w:r>
      <w:r w:rsidR="00FC7F67" w:rsidRPr="005C0AEF">
        <w:t>November</w:t>
      </w:r>
      <w:r w:rsidR="00164341" w:rsidRPr="005C0AEF">
        <w:t xml:space="preserve"> 2018</w:t>
      </w:r>
      <w:r w:rsidR="00553460" w:rsidRPr="005C0AEF">
        <w:t>.</w:t>
      </w:r>
    </w:p>
    <w:p w14:paraId="2E4272F8" w14:textId="77777777" w:rsidR="005F46F0" w:rsidRPr="00DA3E05" w:rsidRDefault="00B6365F" w:rsidP="00121658">
      <w:pPr>
        <w:pStyle w:val="Heading2"/>
        <w:numPr>
          <w:ilvl w:val="0"/>
          <w:numId w:val="0"/>
        </w:numPr>
      </w:pPr>
      <w:bookmarkStart w:id="26" w:name="_Toc38377486"/>
      <w:r w:rsidRPr="00DA3E05">
        <w:lastRenderedPageBreak/>
        <w:t xml:space="preserve">B.4 </w:t>
      </w:r>
      <w:r w:rsidR="00D70991" w:rsidRPr="00DA3E05">
        <w:t>P</w:t>
      </w:r>
      <w:r w:rsidR="00F00E40" w:rsidRPr="00DA3E05">
        <w:t xml:space="preserve">ulmonary </w:t>
      </w:r>
      <w:r w:rsidR="00D70991" w:rsidRPr="00DA3E05">
        <w:t>A</w:t>
      </w:r>
      <w:r w:rsidR="00F00E40" w:rsidRPr="00DA3E05">
        <w:t xml:space="preserve">rterial </w:t>
      </w:r>
      <w:r w:rsidR="00D70991" w:rsidRPr="00DA3E05">
        <w:t>H</w:t>
      </w:r>
      <w:r w:rsidR="00F00E40" w:rsidRPr="00DA3E05">
        <w:t>ypertension</w:t>
      </w:r>
      <w:r w:rsidR="00676B78" w:rsidRPr="00DA3E05">
        <w:t xml:space="preserve"> in Australia</w:t>
      </w:r>
      <w:bookmarkEnd w:id="24"/>
      <w:bookmarkEnd w:id="25"/>
      <w:bookmarkEnd w:id="26"/>
    </w:p>
    <w:p w14:paraId="46416863" w14:textId="77777777" w:rsidR="005C4B20" w:rsidRPr="00DA3E05" w:rsidRDefault="005C4B20" w:rsidP="00121658">
      <w:pPr>
        <w:pStyle w:val="Heading3"/>
        <w:numPr>
          <w:ilvl w:val="0"/>
          <w:numId w:val="0"/>
        </w:numPr>
      </w:pPr>
      <w:bookmarkStart w:id="27" w:name="_Toc38377487"/>
      <w:r w:rsidRPr="00DA3E05">
        <w:t>B.4.1 Description of the condition</w:t>
      </w:r>
      <w:bookmarkEnd w:id="27"/>
    </w:p>
    <w:p w14:paraId="564E8511" w14:textId="77777777" w:rsidR="005C4B20" w:rsidRPr="00AC2A2B" w:rsidRDefault="005C4B20" w:rsidP="00121658">
      <w:pPr>
        <w:pStyle w:val="BodyTextnospacebefore"/>
      </w:pPr>
      <w:r w:rsidRPr="00AC2A2B">
        <w:t>PAH is a rare</w:t>
      </w:r>
      <w:r w:rsidR="0095063B" w:rsidRPr="00AC2A2B">
        <w:t>, progressive</w:t>
      </w:r>
      <w:r w:rsidRPr="00AC2A2B">
        <w:t xml:space="preserve"> and debilitating chronic disease of the pulmonary vasculature, characterised by vascular proliferation and remodelling of the small pulmonary arteries. This results in a progressive increase in pulmonary vascular resistance (PVR) that, if not treated, ultimately leads to right heart failure and premature death</w:t>
      </w:r>
      <w:r w:rsidR="009C556B" w:rsidRPr="00AC2A2B">
        <w:rPr>
          <w:noProof/>
          <w:vertAlign w:val="superscript"/>
        </w:rPr>
        <w:t>1</w:t>
      </w:r>
      <w:r w:rsidRPr="00AC2A2B">
        <w:t>. There is no cure for PAH other than lung transplantation</w:t>
      </w:r>
      <w:r w:rsidR="009C556B" w:rsidRPr="00AC2A2B">
        <w:rPr>
          <w:noProof/>
          <w:vertAlign w:val="superscript"/>
        </w:rPr>
        <w:t>1</w:t>
      </w:r>
      <w:r w:rsidRPr="00AC2A2B">
        <w:t xml:space="preserve">. </w:t>
      </w:r>
      <w:proofErr w:type="gramStart"/>
      <w:r w:rsidRPr="00AC2A2B">
        <w:t>PAH</w:t>
      </w:r>
      <w:proofErr w:type="gramEnd"/>
      <w:r w:rsidRPr="00AC2A2B">
        <w:t xml:space="preserve"> medicines may help improve sympto</w:t>
      </w:r>
      <w:r w:rsidR="00F20537">
        <w:t xml:space="preserve">ms and slow the progress of </w:t>
      </w:r>
      <w:r w:rsidR="003913AB">
        <w:t>pulmonary hypertension (</w:t>
      </w:r>
      <w:r w:rsidR="00F20537">
        <w:t>PH</w:t>
      </w:r>
      <w:r w:rsidR="003913AB">
        <w:t>)</w:t>
      </w:r>
      <w:r w:rsidR="00F20537">
        <w:t>.</w:t>
      </w:r>
    </w:p>
    <w:p w14:paraId="1D53B49F" w14:textId="77777777" w:rsidR="00676B78" w:rsidRPr="00DA3E05" w:rsidRDefault="005C4B20" w:rsidP="00121658">
      <w:pPr>
        <w:pStyle w:val="Heading3"/>
        <w:numPr>
          <w:ilvl w:val="0"/>
          <w:numId w:val="0"/>
        </w:numPr>
      </w:pPr>
      <w:bookmarkStart w:id="28" w:name="_Toc480371861"/>
      <w:bookmarkStart w:id="29" w:name="_Toc486514200"/>
      <w:bookmarkStart w:id="30" w:name="_Toc38377488"/>
      <w:r w:rsidRPr="00DA3E05">
        <w:t xml:space="preserve">B.4.2 </w:t>
      </w:r>
      <w:r w:rsidR="00676B78" w:rsidRPr="00DA3E05">
        <w:t xml:space="preserve">Prevalence of </w:t>
      </w:r>
      <w:bookmarkEnd w:id="28"/>
      <w:bookmarkEnd w:id="29"/>
      <w:r w:rsidR="00D70991" w:rsidRPr="00DA3E05">
        <w:t>PAH</w:t>
      </w:r>
      <w:bookmarkEnd w:id="30"/>
    </w:p>
    <w:p w14:paraId="2F44EA44" w14:textId="77777777" w:rsidR="007C5F1D" w:rsidRPr="00AC2A2B" w:rsidRDefault="007C5F1D" w:rsidP="00121658">
      <w:pPr>
        <w:pStyle w:val="BodyTextnospacebefore"/>
      </w:pPr>
      <w:bookmarkStart w:id="31" w:name="_Toc480371862"/>
      <w:bookmarkStart w:id="32" w:name="_Toc486514201"/>
      <w:r w:rsidRPr="00AC2A2B">
        <w:t>There are no published nationwide data on the prevalence of PAH in Australia. In a community-based observational cohort study in Western Australia (population of 165,450), Strange et al (2012)</w:t>
      </w:r>
      <w:r w:rsidR="009C556B" w:rsidRPr="00AC2A2B">
        <w:rPr>
          <w:noProof/>
          <w:vertAlign w:val="superscript"/>
        </w:rPr>
        <w:t>2</w:t>
      </w:r>
      <w:r w:rsidRPr="00AC2A2B">
        <w:t xml:space="preserve"> estimated an indicative prevalence of 151 cases per million population for PAH. This equates to over 3,700 Australians (based on the Australian population as at 30 June 2017). It </w:t>
      </w:r>
      <w:proofErr w:type="gramStart"/>
      <w:r w:rsidRPr="00AC2A2B">
        <w:t>was noted</w:t>
      </w:r>
      <w:proofErr w:type="gramEnd"/>
      <w:r w:rsidRPr="00AC2A2B">
        <w:t xml:space="preserve"> that the prevalence rate from </w:t>
      </w:r>
      <w:r w:rsidR="00D24285">
        <w:t>the s</w:t>
      </w:r>
      <w:r w:rsidRPr="00AC2A2B">
        <w:t>tudy</w:t>
      </w:r>
      <w:r w:rsidR="00D24285">
        <w:t xml:space="preserve"> by</w:t>
      </w:r>
      <w:r w:rsidRPr="00AC2A2B">
        <w:t xml:space="preserve"> Strange </w:t>
      </w:r>
      <w:r w:rsidR="00D24285">
        <w:t xml:space="preserve">et al </w:t>
      </w:r>
      <w:r w:rsidR="00FB5000">
        <w:t>(</w:t>
      </w:r>
      <w:r w:rsidRPr="00AC2A2B">
        <w:t>2012</w:t>
      </w:r>
      <w:r w:rsidR="00FB5000">
        <w:t>)</w:t>
      </w:r>
      <w:r w:rsidRPr="00AC2A2B">
        <w:t xml:space="preserve"> was much higher than previous reports in other western countries. Peacock et al</w:t>
      </w:r>
      <w:r w:rsidR="009C556B" w:rsidRPr="00AC2A2B">
        <w:rPr>
          <w:noProof/>
          <w:vertAlign w:val="superscript"/>
        </w:rPr>
        <w:t>3</w:t>
      </w:r>
      <w:r w:rsidRPr="00AC2A2B">
        <w:t xml:space="preserve"> reported a PAH prevalence rate of 15 to 52 cases per million population, using three sources, one from France and two from Scotland. </w:t>
      </w:r>
      <w:proofErr w:type="spellStart"/>
      <w:r w:rsidRPr="00AC2A2B">
        <w:t>Jansa</w:t>
      </w:r>
      <w:proofErr w:type="spellEnd"/>
      <w:r w:rsidRPr="00AC2A2B">
        <w:t xml:space="preserve"> et al</w:t>
      </w:r>
      <w:r w:rsidR="009C556B" w:rsidRPr="00AC2A2B">
        <w:rPr>
          <w:noProof/>
          <w:vertAlign w:val="superscript"/>
        </w:rPr>
        <w:t>4</w:t>
      </w:r>
      <w:r w:rsidRPr="00AC2A2B">
        <w:t xml:space="preserve"> reported PAH prevalence estimates of between 15 and 26 cases per million adults based on data from Czech Republic, Scotland, France,</w:t>
      </w:r>
      <w:r w:rsidR="00DA3E05">
        <w:t xml:space="preserve"> Spain, Switzerland and the US.</w:t>
      </w:r>
    </w:p>
    <w:p w14:paraId="01DBF684" w14:textId="77777777" w:rsidR="007C5F1D" w:rsidRPr="00AC2A2B" w:rsidRDefault="007C5F1D" w:rsidP="00121658">
      <w:pPr>
        <w:pStyle w:val="BodyTextnospacebefore"/>
      </w:pPr>
      <w:proofErr w:type="gramStart"/>
      <w:r w:rsidRPr="00AC2A2B">
        <w:t>Previous reports have assessed prevalence using patient referrals to specialist centres and thus probably underestimate the true prevalence of PAH within the community.</w:t>
      </w:r>
      <w:proofErr w:type="gramEnd"/>
      <w:r w:rsidRPr="00AC2A2B">
        <w:t xml:space="preserve"> In addition, the wide range in the reported prevalence of PAH is probably due to differences in the methods/criteria used to make a diagnosis and to differences in th</w:t>
      </w:r>
      <w:r w:rsidR="00DA3E05">
        <w:t>e selected patient populations.</w:t>
      </w:r>
    </w:p>
    <w:p w14:paraId="6E8CE830" w14:textId="77777777" w:rsidR="007C5F1D" w:rsidRPr="00AC2A2B" w:rsidRDefault="007C5F1D" w:rsidP="00121658">
      <w:pPr>
        <w:pStyle w:val="BodyTextnospacebefore"/>
      </w:pPr>
      <w:r w:rsidRPr="00AC2A2B">
        <w:t>No Australian data were available on the incidence of PAH. The incidence rate varied from 2.4 to 10.7 case per million population in other countries</w:t>
      </w:r>
      <w:r w:rsidR="009C556B" w:rsidRPr="00001BDA">
        <w:rPr>
          <w:noProof/>
          <w:vertAlign w:val="superscript"/>
        </w:rPr>
        <w:t>3</w:t>
      </w:r>
      <w:r w:rsidR="00001BDA" w:rsidRPr="00001BDA">
        <w:rPr>
          <w:noProof/>
          <w:vertAlign w:val="superscript"/>
        </w:rPr>
        <w:t xml:space="preserve">, </w:t>
      </w:r>
      <w:r w:rsidR="009C556B" w:rsidRPr="00001BDA">
        <w:rPr>
          <w:noProof/>
          <w:vertAlign w:val="superscript"/>
        </w:rPr>
        <w:t>4</w:t>
      </w:r>
      <w:r w:rsidRPr="00AC2A2B">
        <w:t>.</w:t>
      </w:r>
    </w:p>
    <w:p w14:paraId="2EB46929" w14:textId="77777777" w:rsidR="007C5F1D" w:rsidRPr="00AC2A2B" w:rsidRDefault="007C5F1D" w:rsidP="00121658">
      <w:pPr>
        <w:pStyle w:val="BodyTextnospacebefore"/>
      </w:pPr>
      <w:r w:rsidRPr="00AC2A2B">
        <w:t xml:space="preserve">The February 2015 DUSC </w:t>
      </w:r>
      <w:r w:rsidR="00D24285">
        <w:t xml:space="preserve">Review of </w:t>
      </w:r>
      <w:r w:rsidR="00FB5000">
        <w:t>PAH medicines utilisation</w:t>
      </w:r>
      <w:r w:rsidR="00553460" w:rsidRPr="00AC2A2B">
        <w:t xml:space="preserve"> </w:t>
      </w:r>
      <w:r w:rsidRPr="00AC2A2B">
        <w:t xml:space="preserve">estimated the prevalent and incident patients receiving PAH treatment, using the </w:t>
      </w:r>
      <w:r w:rsidRPr="004C66FF">
        <w:t xml:space="preserve">Services </w:t>
      </w:r>
      <w:r w:rsidR="00E83776" w:rsidRPr="004C66FF">
        <w:t xml:space="preserve">Australia </w:t>
      </w:r>
      <w:r w:rsidR="00D049FF">
        <w:t xml:space="preserve">(formerly the Department of Human Services) </w:t>
      </w:r>
      <w:r w:rsidRPr="004C66FF">
        <w:t>Authority</w:t>
      </w:r>
      <w:r w:rsidRPr="00AC2A2B">
        <w:t xml:space="preserve"> Approvals data</w:t>
      </w:r>
      <w:r w:rsidR="00FD1CB2" w:rsidRPr="00AC2A2B">
        <w:t>. This included data</w:t>
      </w:r>
      <w:r w:rsidRPr="00AC2A2B">
        <w:t xml:space="preserve"> on the total number of patients treated with a PAH medicine and the number of patients initiating a PAH medicine for the first time, as well as the total Australian population as at 30 June 2013</w:t>
      </w:r>
      <w:r w:rsidR="00DA3E05">
        <w:t>.</w:t>
      </w:r>
      <w:r w:rsidRPr="00AC2A2B">
        <w:t xml:space="preserve"> The estimated prevalence and incident rates of PAH treatment are 87.6 and 18.6 per </w:t>
      </w:r>
      <w:proofErr w:type="gramStart"/>
      <w:r w:rsidRPr="00AC2A2B">
        <w:t>million</w:t>
      </w:r>
      <w:proofErr w:type="gramEnd"/>
      <w:r w:rsidRPr="00AC2A2B">
        <w:t xml:space="preserve"> population, respectively. Based on these estimates, the Australian prevalent data reported</w:t>
      </w:r>
      <w:r w:rsidR="00D24285">
        <w:t xml:space="preserve"> by</w:t>
      </w:r>
      <w:r w:rsidRPr="00AC2A2B">
        <w:t xml:space="preserve"> Strange </w:t>
      </w:r>
      <w:r w:rsidR="00D24285">
        <w:t>et al (</w:t>
      </w:r>
      <w:r w:rsidRPr="00AC2A2B">
        <w:t>2012</w:t>
      </w:r>
      <w:r w:rsidR="00D24285">
        <w:t>)</w:t>
      </w:r>
      <w:r w:rsidRPr="00AC2A2B">
        <w:t xml:space="preserve"> (151 cases per million population) </w:t>
      </w:r>
      <w:r w:rsidR="00D24285">
        <w:t>and the DUSC Review</w:t>
      </w:r>
      <w:r w:rsidR="00FB5000">
        <w:t>,</w:t>
      </w:r>
      <w:r w:rsidR="00D24285">
        <w:t xml:space="preserve"> it </w:t>
      </w:r>
      <w:r w:rsidRPr="00AC2A2B">
        <w:t xml:space="preserve">appears </w:t>
      </w:r>
      <w:r w:rsidR="00D24285">
        <w:t>t</w:t>
      </w:r>
      <w:r w:rsidRPr="00AC2A2B">
        <w:t>he PAH prevalence and incidence</w:t>
      </w:r>
      <w:r w:rsidR="00D24285">
        <w:t xml:space="preserve"> rates</w:t>
      </w:r>
      <w:r w:rsidRPr="00AC2A2B">
        <w:t xml:space="preserve"> </w:t>
      </w:r>
      <w:r w:rsidR="00D24285">
        <w:t xml:space="preserve">in Australia are higher than the </w:t>
      </w:r>
      <w:r w:rsidRPr="00AC2A2B">
        <w:t>rates reported in other countries</w:t>
      </w:r>
      <w:r w:rsidR="00D24285">
        <w:t>.</w:t>
      </w:r>
      <w:r w:rsidRPr="00AC2A2B">
        <w:t xml:space="preserve"> </w:t>
      </w:r>
    </w:p>
    <w:p w14:paraId="5A330DB4" w14:textId="77777777" w:rsidR="000E7B29" w:rsidRPr="00AC2A2B" w:rsidRDefault="000E7B29" w:rsidP="00121658">
      <w:pPr>
        <w:pStyle w:val="BodyTextnospacebefore"/>
      </w:pPr>
      <w:r w:rsidRPr="00AC2A2B">
        <w:t>B</w:t>
      </w:r>
      <w:r w:rsidR="007C5F1D" w:rsidRPr="00AC2A2B">
        <w:t>ased on the PHSANZ Registry data on incident cases of primary PAH (including idiopathic, heritable and drug-induced PAH) diagnosed between 2012 and 2016</w:t>
      </w:r>
      <w:r w:rsidR="009C556B" w:rsidRPr="00AC2A2B">
        <w:rPr>
          <w:noProof/>
          <w:vertAlign w:val="superscript"/>
        </w:rPr>
        <w:t>5</w:t>
      </w:r>
      <w:r w:rsidRPr="00AC2A2B">
        <w:t>, the 1-year and 3-year estimated survival rates were 96% and 77%, respectively</w:t>
      </w:r>
      <w:r w:rsidR="007C5F1D" w:rsidRPr="00AC2A2B">
        <w:t xml:space="preserve">. In comparison, the US Registry to </w:t>
      </w:r>
      <w:r w:rsidR="007C5F1D" w:rsidRPr="00AC2A2B">
        <w:lastRenderedPageBreak/>
        <w:t>Evaluate Early and Long-Term Pulmonary Arterial Hypertension Disease Management (REVEAL) found 1-year and 3-year survival rates of 91% and 74%, respectively, for idiopathic/heritable PAH enrolled between 2006 and 2009</w:t>
      </w:r>
      <w:r w:rsidR="009C556B" w:rsidRPr="00AC2A2B">
        <w:rPr>
          <w:noProof/>
          <w:vertAlign w:val="superscript"/>
        </w:rPr>
        <w:t>6</w:t>
      </w:r>
      <w:r w:rsidR="007C5F1D" w:rsidRPr="00AC2A2B">
        <w:t xml:space="preserve">. In an older incident cohort of </w:t>
      </w:r>
      <w:proofErr w:type="gramStart"/>
      <w:r w:rsidR="007C5F1D" w:rsidRPr="00AC2A2B">
        <w:t>primary</w:t>
      </w:r>
      <w:proofErr w:type="gramEnd"/>
      <w:r w:rsidR="007C5F1D" w:rsidRPr="00AC2A2B">
        <w:t xml:space="preserve"> PAH patients diagnosed between 2002 and 2003 from the French Registry database, the survival was 86% at Year 1 and 55% at Year 3</w:t>
      </w:r>
      <w:r w:rsidR="009C556B" w:rsidRPr="00AC2A2B">
        <w:rPr>
          <w:noProof/>
          <w:vertAlign w:val="superscript"/>
        </w:rPr>
        <w:t>7</w:t>
      </w:r>
      <w:r w:rsidR="007C5F1D" w:rsidRPr="00AC2A2B">
        <w:t>.</w:t>
      </w:r>
    </w:p>
    <w:p w14:paraId="73A19AFD" w14:textId="77777777" w:rsidR="007C5F1D" w:rsidRPr="00AC2A2B" w:rsidRDefault="007C5F1D" w:rsidP="00121658">
      <w:pPr>
        <w:pStyle w:val="BodyTextnospacebefore"/>
      </w:pPr>
      <w:r w:rsidRPr="00AC2A2B">
        <w:t>Survival differs between primary and secondary PAH aetiologies</w:t>
      </w:r>
      <w:r w:rsidR="00422204" w:rsidRPr="00AC2A2B">
        <w:t>/subtypes (see Classification below)</w:t>
      </w:r>
      <w:r w:rsidRPr="00AC2A2B">
        <w:t xml:space="preserve">. The REVEAL study reported that, compared with idiopathic/heritable PAH, the 3-year survival rate was higher for PAH associated with congenital heart disease (PAH-CHD) and PAH associated with human immunodeficiency virus infection (PAH-HIV) (81% and 75% vs 74%), but lower for PAH associated with connective tissue disease (PAH-CTD) and </w:t>
      </w:r>
      <w:proofErr w:type="spellStart"/>
      <w:r w:rsidRPr="00AC2A2B">
        <w:t>portopulmonary</w:t>
      </w:r>
      <w:proofErr w:type="spellEnd"/>
      <w:r w:rsidRPr="00AC2A2B">
        <w:t xml:space="preserve"> hypertension (57% and 52% vs 74%)</w:t>
      </w:r>
      <w:r w:rsidR="009C556B" w:rsidRPr="00AC2A2B">
        <w:rPr>
          <w:noProof/>
          <w:vertAlign w:val="superscript"/>
        </w:rPr>
        <w:t>6</w:t>
      </w:r>
      <w:r w:rsidR="00DA3E05">
        <w:t>.</w:t>
      </w:r>
    </w:p>
    <w:p w14:paraId="19C3CBA2" w14:textId="77777777" w:rsidR="009A7B6B" w:rsidRPr="00AC2A2B" w:rsidRDefault="009A7B6B" w:rsidP="00121658">
      <w:pPr>
        <w:pStyle w:val="BodyTextnospacebefore"/>
      </w:pPr>
      <w:r w:rsidRPr="00AC2A2B">
        <w:t xml:space="preserve">In children, </w:t>
      </w:r>
      <w:r w:rsidR="009604F9" w:rsidRPr="00AC2A2B">
        <w:t>PAH</w:t>
      </w:r>
      <w:r w:rsidRPr="00AC2A2B">
        <w:t xml:space="preserve"> usually presents as </w:t>
      </w:r>
      <w:r w:rsidR="00640F5B">
        <w:t>idiopathic PAH (</w:t>
      </w:r>
      <w:r w:rsidRPr="00AC2A2B">
        <w:t>IPAH</w:t>
      </w:r>
      <w:r w:rsidR="00640F5B">
        <w:t>)</w:t>
      </w:r>
      <w:r w:rsidRPr="00AC2A2B">
        <w:t xml:space="preserve">, </w:t>
      </w:r>
      <w:r w:rsidR="004F0200" w:rsidRPr="00AC2A2B">
        <w:t>heritable</w:t>
      </w:r>
      <w:r w:rsidRPr="00AC2A2B">
        <w:t xml:space="preserve"> PAH</w:t>
      </w:r>
      <w:r w:rsidR="00640F5B">
        <w:t xml:space="preserve"> (HPAH)</w:t>
      </w:r>
      <w:r w:rsidRPr="00AC2A2B">
        <w:t xml:space="preserve"> or PAH</w:t>
      </w:r>
      <w:r w:rsidR="00645504">
        <w:t>-CHD</w:t>
      </w:r>
      <w:r w:rsidR="009C556B" w:rsidRPr="00AC2A2B">
        <w:rPr>
          <w:noProof/>
          <w:vertAlign w:val="superscript"/>
        </w:rPr>
        <w:t>8</w:t>
      </w:r>
      <w:r w:rsidR="00BB0922">
        <w:t>.</w:t>
      </w:r>
    </w:p>
    <w:p w14:paraId="0767B2BD" w14:textId="77777777" w:rsidR="007D4AD1" w:rsidRPr="00133CE7" w:rsidRDefault="005C4B20" w:rsidP="00121658">
      <w:pPr>
        <w:pStyle w:val="Heading3"/>
        <w:numPr>
          <w:ilvl w:val="0"/>
          <w:numId w:val="0"/>
        </w:numPr>
      </w:pPr>
      <w:bookmarkStart w:id="33" w:name="_Toc38377489"/>
      <w:bookmarkStart w:id="34" w:name="_Toc480371863"/>
      <w:bookmarkStart w:id="35" w:name="_Toc486514202"/>
      <w:bookmarkEnd w:id="31"/>
      <w:bookmarkEnd w:id="32"/>
      <w:r>
        <w:t>B.4.</w:t>
      </w:r>
      <w:r w:rsidR="00BC5581">
        <w:t>3</w:t>
      </w:r>
      <w:r>
        <w:t xml:space="preserve"> </w:t>
      </w:r>
      <w:r w:rsidR="0092086B">
        <w:t>WHO</w:t>
      </w:r>
      <w:r w:rsidR="007D4AD1" w:rsidRPr="00133CE7">
        <w:t xml:space="preserve"> classification</w:t>
      </w:r>
      <w:r w:rsidR="007D4AD1" w:rsidRPr="009B2F8F">
        <w:t xml:space="preserve"> </w:t>
      </w:r>
      <w:r w:rsidR="007D4AD1">
        <w:t xml:space="preserve">and </w:t>
      </w:r>
      <w:r w:rsidR="0092086B">
        <w:t>functional classes</w:t>
      </w:r>
      <w:bookmarkEnd w:id="33"/>
    </w:p>
    <w:p w14:paraId="3040A892" w14:textId="77777777" w:rsidR="00B6720F" w:rsidRPr="00AC2A2B" w:rsidRDefault="00EC7581" w:rsidP="00121658">
      <w:pPr>
        <w:pStyle w:val="BodyTextnospacebefore"/>
      </w:pPr>
      <w:r w:rsidRPr="00AC2A2B">
        <w:t xml:space="preserve">The current </w:t>
      </w:r>
      <w:r w:rsidR="00FD1CB2" w:rsidRPr="00AC2A2B">
        <w:t xml:space="preserve">restrictions for </w:t>
      </w:r>
      <w:r w:rsidRPr="00AC2A2B">
        <w:t xml:space="preserve">PBS </w:t>
      </w:r>
      <w:r w:rsidR="00FD1CB2" w:rsidRPr="00AC2A2B">
        <w:t xml:space="preserve">subsidised PAH medicines include reference to </w:t>
      </w:r>
      <w:r w:rsidRPr="00AC2A2B">
        <w:t>specific subtypes of PAH</w:t>
      </w:r>
      <w:r w:rsidR="007D4AD1" w:rsidRPr="00AC2A2B">
        <w:t>, and to disease severity</w:t>
      </w:r>
      <w:r w:rsidR="0095063B" w:rsidRPr="00AC2A2B">
        <w:t>.</w:t>
      </w:r>
    </w:p>
    <w:p w14:paraId="3B8FAD73" w14:textId="77777777" w:rsidR="007D4AD1" w:rsidRPr="00252749" w:rsidRDefault="00252749" w:rsidP="00121658">
      <w:pPr>
        <w:pStyle w:val="Heading4"/>
      </w:pPr>
      <w:r w:rsidRPr="00252749">
        <w:t>B.</w:t>
      </w:r>
      <w:r w:rsidR="005C4B20" w:rsidRPr="00252749">
        <w:t>4.3.1</w:t>
      </w:r>
      <w:r w:rsidR="00FC6F35" w:rsidRPr="00252749">
        <w:t xml:space="preserve"> </w:t>
      </w:r>
      <w:r w:rsidR="007D4AD1" w:rsidRPr="00252749">
        <w:t>WHO classification of pulmonary hypertension</w:t>
      </w:r>
    </w:p>
    <w:p w14:paraId="11FDE867" w14:textId="77777777" w:rsidR="007D4AD1" w:rsidRPr="00AC2A2B" w:rsidRDefault="00EC7581" w:rsidP="00121658">
      <w:pPr>
        <w:rPr>
          <w:rFonts w:asciiTheme="minorHAnsi" w:hAnsiTheme="minorHAnsi"/>
        </w:rPr>
      </w:pPr>
      <w:r w:rsidRPr="00AC2A2B">
        <w:rPr>
          <w:rFonts w:asciiTheme="minorHAnsi" w:hAnsiTheme="minorHAnsi"/>
        </w:rPr>
        <w:t xml:space="preserve">The WHO classification of </w:t>
      </w:r>
      <w:r w:rsidR="00640F5B">
        <w:rPr>
          <w:rFonts w:asciiTheme="minorHAnsi" w:hAnsiTheme="minorHAnsi"/>
        </w:rPr>
        <w:t>p</w:t>
      </w:r>
      <w:r w:rsidR="00640F5B" w:rsidRPr="00AC2A2B">
        <w:rPr>
          <w:rFonts w:asciiTheme="minorHAnsi" w:hAnsiTheme="minorHAnsi"/>
        </w:rPr>
        <w:t xml:space="preserve">ulmonary </w:t>
      </w:r>
      <w:r w:rsidR="00640F5B">
        <w:rPr>
          <w:rFonts w:asciiTheme="minorHAnsi" w:hAnsiTheme="minorHAnsi"/>
        </w:rPr>
        <w:t>h</w:t>
      </w:r>
      <w:r w:rsidRPr="00AC2A2B">
        <w:rPr>
          <w:rFonts w:asciiTheme="minorHAnsi" w:hAnsiTheme="minorHAnsi"/>
        </w:rPr>
        <w:t>ypertension</w:t>
      </w:r>
      <w:r w:rsidR="007D4AD1" w:rsidRPr="00AC2A2B">
        <w:rPr>
          <w:rFonts w:asciiTheme="minorHAnsi" w:hAnsiTheme="minorHAnsi"/>
        </w:rPr>
        <w:t xml:space="preserve"> (PH)</w:t>
      </w:r>
      <w:r w:rsidRPr="00AC2A2B">
        <w:rPr>
          <w:rFonts w:asciiTheme="minorHAnsi" w:hAnsiTheme="minorHAnsi"/>
        </w:rPr>
        <w:t xml:space="preserve"> is determined at the</w:t>
      </w:r>
      <w:r w:rsidR="007D4AD1" w:rsidRPr="00AC2A2B">
        <w:rPr>
          <w:rFonts w:asciiTheme="minorHAnsi" w:hAnsiTheme="minorHAnsi"/>
        </w:rPr>
        <w:t xml:space="preserve"> meetings of the</w:t>
      </w:r>
      <w:r w:rsidRPr="00AC2A2B">
        <w:rPr>
          <w:rFonts w:asciiTheme="minorHAnsi" w:hAnsiTheme="minorHAnsi"/>
        </w:rPr>
        <w:t xml:space="preserve"> World Sympo</w:t>
      </w:r>
      <w:r w:rsidR="00BB0922">
        <w:rPr>
          <w:rFonts w:asciiTheme="minorHAnsi" w:hAnsiTheme="minorHAnsi"/>
        </w:rPr>
        <w:t>sium on Pulmonary Hypertension.</w:t>
      </w:r>
    </w:p>
    <w:p w14:paraId="54C95FCE" w14:textId="77777777" w:rsidR="0004089D" w:rsidRPr="00AC2A2B" w:rsidRDefault="00EC7581" w:rsidP="00121658">
      <w:pPr>
        <w:rPr>
          <w:rFonts w:asciiTheme="minorHAnsi" w:hAnsiTheme="minorHAnsi"/>
        </w:rPr>
      </w:pPr>
      <w:r w:rsidRPr="00AC2A2B">
        <w:rPr>
          <w:rFonts w:asciiTheme="minorHAnsi" w:hAnsiTheme="minorHAnsi"/>
        </w:rPr>
        <w:t>The current classification of PH and PAH from the 2013 Nice symposium is</w:t>
      </w:r>
      <w:r w:rsidR="00AD61AE" w:rsidRPr="00AC2A2B">
        <w:rPr>
          <w:rFonts w:asciiTheme="minorHAnsi" w:hAnsiTheme="minorHAnsi"/>
        </w:rPr>
        <w:t xml:space="preserve"> given in </w:t>
      </w:r>
      <w:r w:rsidR="00505D99">
        <w:t>Table B.</w:t>
      </w:r>
      <w:r w:rsidR="00505D99">
        <w:rPr>
          <w:noProof/>
        </w:rPr>
        <w:t>1</w:t>
      </w:r>
      <w:r w:rsidR="009C556B" w:rsidRPr="00AC2A2B">
        <w:rPr>
          <w:rFonts w:asciiTheme="minorHAnsi" w:hAnsiTheme="minorHAnsi"/>
          <w:noProof/>
          <w:vertAlign w:val="superscript"/>
        </w:rPr>
        <w:t>9</w:t>
      </w:r>
      <w:r w:rsidR="00C6734D" w:rsidRPr="00AC2A2B">
        <w:rPr>
          <w:rFonts w:asciiTheme="minorHAnsi" w:hAnsiTheme="minorHAnsi"/>
        </w:rPr>
        <w:t xml:space="preserve">. </w:t>
      </w:r>
      <w:r w:rsidR="007D4AD1" w:rsidRPr="00AC2A2B">
        <w:rPr>
          <w:rFonts w:asciiTheme="minorHAnsi" w:hAnsiTheme="minorHAnsi"/>
        </w:rPr>
        <w:t xml:space="preserve">PAH represents Group 1 within the PH classification system. PAH is further divided into four subtypes </w:t>
      </w:r>
      <w:proofErr w:type="gramStart"/>
      <w:r w:rsidR="007D4AD1" w:rsidRPr="00AC2A2B">
        <w:rPr>
          <w:rFonts w:asciiTheme="minorHAnsi" w:hAnsiTheme="minorHAnsi"/>
        </w:rPr>
        <w:t>on the basis of</w:t>
      </w:r>
      <w:proofErr w:type="gramEnd"/>
      <w:r w:rsidR="007D4AD1" w:rsidRPr="00AC2A2B">
        <w:rPr>
          <w:rFonts w:asciiTheme="minorHAnsi" w:hAnsiTheme="minorHAnsi"/>
        </w:rPr>
        <w:t xml:space="preserve"> aetiology</w:t>
      </w:r>
      <w:r w:rsidR="004A000D" w:rsidRPr="00AC2A2B">
        <w:rPr>
          <w:rFonts w:asciiTheme="minorHAnsi" w:hAnsiTheme="minorHAnsi"/>
        </w:rPr>
        <w:t xml:space="preserve">. </w:t>
      </w:r>
      <w:r w:rsidR="007D4AD1" w:rsidRPr="00AC2A2B">
        <w:rPr>
          <w:rFonts w:asciiTheme="minorHAnsi" w:hAnsiTheme="minorHAnsi"/>
        </w:rPr>
        <w:t xml:space="preserve">PH and PAH are not interchangeable terms though sometimes they are used to mean the same thing in the literature. </w:t>
      </w:r>
      <w:r w:rsidR="00630BA9" w:rsidRPr="00AC2A2B">
        <w:rPr>
          <w:rFonts w:asciiTheme="minorHAnsi" w:hAnsiTheme="minorHAnsi"/>
        </w:rPr>
        <w:t>T</w:t>
      </w:r>
      <w:r w:rsidR="00AD61AE" w:rsidRPr="00AC2A2B">
        <w:rPr>
          <w:rFonts w:asciiTheme="minorHAnsi" w:hAnsiTheme="minorHAnsi"/>
        </w:rPr>
        <w:t>he term Primary Pulmonary Hypertension</w:t>
      </w:r>
      <w:r w:rsidR="00630BA9" w:rsidRPr="00AC2A2B">
        <w:rPr>
          <w:rFonts w:asciiTheme="minorHAnsi" w:hAnsiTheme="minorHAnsi"/>
        </w:rPr>
        <w:t xml:space="preserve"> </w:t>
      </w:r>
      <w:proofErr w:type="gramStart"/>
      <w:r w:rsidR="00630BA9" w:rsidRPr="00AC2A2B">
        <w:rPr>
          <w:rFonts w:asciiTheme="minorHAnsi" w:hAnsiTheme="minorHAnsi"/>
        </w:rPr>
        <w:t>was previously used</w:t>
      </w:r>
      <w:proofErr w:type="gramEnd"/>
      <w:r w:rsidR="00630BA9" w:rsidRPr="00AC2A2B">
        <w:rPr>
          <w:rFonts w:asciiTheme="minorHAnsi" w:hAnsiTheme="minorHAnsi"/>
        </w:rPr>
        <w:t xml:space="preserve"> for </w:t>
      </w:r>
      <w:r w:rsidR="00AD61AE" w:rsidRPr="00AC2A2B">
        <w:rPr>
          <w:rFonts w:asciiTheme="minorHAnsi" w:hAnsiTheme="minorHAnsi"/>
        </w:rPr>
        <w:t>Group 1 conditions</w:t>
      </w:r>
      <w:r w:rsidR="00923B60" w:rsidRPr="00AC2A2B">
        <w:rPr>
          <w:rFonts w:asciiTheme="minorHAnsi" w:hAnsiTheme="minorHAnsi"/>
        </w:rPr>
        <w:t>.</w:t>
      </w:r>
      <w:r w:rsidR="00AD61AE" w:rsidRPr="00AC2A2B">
        <w:rPr>
          <w:rFonts w:asciiTheme="minorHAnsi" w:hAnsiTheme="minorHAnsi"/>
        </w:rPr>
        <w:t xml:space="preserve"> </w:t>
      </w:r>
      <w:r w:rsidR="00C6661C" w:rsidRPr="00AC2A2B">
        <w:rPr>
          <w:rFonts w:asciiTheme="minorHAnsi" w:hAnsiTheme="minorHAnsi"/>
        </w:rPr>
        <w:t>Some subtypes previously in Group 1 have been moved to other groups within the classification (</w:t>
      </w:r>
      <w:r w:rsidR="004C66FF" w:rsidRPr="00AC2A2B">
        <w:rPr>
          <w:rFonts w:asciiTheme="minorHAnsi" w:hAnsiTheme="minorHAnsi"/>
        </w:rPr>
        <w:t>P</w:t>
      </w:r>
      <w:r w:rsidR="004C66FF">
        <w:rPr>
          <w:rFonts w:asciiTheme="minorHAnsi" w:hAnsiTheme="minorHAnsi"/>
        </w:rPr>
        <w:t>ersistent</w:t>
      </w:r>
      <w:r w:rsidR="00640F5B" w:rsidRPr="00AC2A2B">
        <w:rPr>
          <w:rFonts w:asciiTheme="minorHAnsi" w:hAnsiTheme="minorHAnsi"/>
        </w:rPr>
        <w:t xml:space="preserve"> </w:t>
      </w:r>
      <w:r w:rsidR="00C6661C" w:rsidRPr="00AC2A2B">
        <w:rPr>
          <w:rFonts w:asciiTheme="minorHAnsi" w:hAnsiTheme="minorHAnsi"/>
        </w:rPr>
        <w:t>Pulmonary Hypertension of the Newborn</w:t>
      </w:r>
      <w:r w:rsidR="00C6661C" w:rsidRPr="00640F5B">
        <w:rPr>
          <w:rFonts w:asciiTheme="minorHAnsi" w:hAnsiTheme="minorHAnsi"/>
        </w:rPr>
        <w:t>, PPHN</w:t>
      </w:r>
      <w:r w:rsidR="00C6661C" w:rsidRPr="00AC2A2B">
        <w:rPr>
          <w:rFonts w:asciiTheme="minorHAnsi" w:hAnsiTheme="minorHAnsi"/>
        </w:rPr>
        <w:t xml:space="preserve">), and have not </w:t>
      </w:r>
      <w:r w:rsidR="00BB0922">
        <w:rPr>
          <w:rFonts w:asciiTheme="minorHAnsi" w:hAnsiTheme="minorHAnsi"/>
        </w:rPr>
        <w:t>been considered in this review.</w:t>
      </w:r>
      <w:r w:rsidR="0004089D" w:rsidRPr="00AC2A2B">
        <w:rPr>
          <w:rFonts w:asciiTheme="minorHAnsi" w:hAnsiTheme="minorHAnsi" w:cstheme="minorHAnsi"/>
          <w:sz w:val="4"/>
        </w:rPr>
        <w:br w:type="page"/>
      </w:r>
    </w:p>
    <w:p w14:paraId="4C6D3801" w14:textId="77777777" w:rsidR="005C4B20" w:rsidRPr="00713160" w:rsidRDefault="005C4B20" w:rsidP="00121658">
      <w:pPr>
        <w:pStyle w:val="05Tabletext"/>
        <w:ind w:left="0"/>
        <w:rPr>
          <w:rFonts w:asciiTheme="minorHAnsi" w:eastAsia="Times New Roman" w:hAnsiTheme="minorHAnsi" w:cs="Arial"/>
          <w:color w:val="505050"/>
          <w:sz w:val="20"/>
          <w:szCs w:val="20"/>
          <w:lang w:eastAsia="en-AU"/>
        </w:rPr>
      </w:pPr>
      <w:bookmarkStart w:id="36" w:name="_Ref505268221"/>
    </w:p>
    <w:p w14:paraId="150A53DC" w14:textId="77777777" w:rsidR="00CA30EE" w:rsidRDefault="00CA30EE" w:rsidP="00D14982">
      <w:pPr>
        <w:pStyle w:val="ToR1TableHeader"/>
      </w:pPr>
      <w:bookmarkStart w:id="37" w:name="_Ref510019444"/>
      <w:bookmarkStart w:id="38" w:name="_Toc29377238"/>
      <w:r>
        <w:t>Table B.</w:t>
      </w:r>
      <w:r w:rsidR="00505D99">
        <w:rPr>
          <w:noProof/>
        </w:rPr>
        <w:t>1</w:t>
      </w:r>
      <w:bookmarkEnd w:id="37"/>
      <w:r>
        <w:tab/>
      </w:r>
      <w:r w:rsidRPr="00301BDC">
        <w:t>WHO classification of PH and Group 1 PAH disease subtypes</w:t>
      </w:r>
      <w:bookmarkEnd w:id="38"/>
    </w:p>
    <w:tbl>
      <w:tblPr>
        <w:tblStyle w:val="TableGrid"/>
        <w:tblW w:w="9077" w:type="dxa"/>
        <w:tblLook w:val="04A0" w:firstRow="1" w:lastRow="0" w:firstColumn="1" w:lastColumn="0" w:noHBand="0" w:noVBand="1"/>
        <w:tblCaption w:val="WHO classification of PH and Group 1 PAH disease subtypes"/>
      </w:tblPr>
      <w:tblGrid>
        <w:gridCol w:w="9077"/>
      </w:tblGrid>
      <w:tr w:rsidR="005C4B20" w:rsidRPr="00CA3F42" w14:paraId="31744822" w14:textId="77777777" w:rsidTr="0060413E">
        <w:trPr>
          <w:cnfStyle w:val="100000000000" w:firstRow="1" w:lastRow="0" w:firstColumn="0" w:lastColumn="0" w:oddVBand="0" w:evenVBand="0" w:oddHBand="0" w:evenHBand="0" w:firstRowFirstColumn="0" w:firstRowLastColumn="0" w:lastRowFirstColumn="0" w:lastRowLastColumn="0"/>
        </w:trPr>
        <w:tc>
          <w:tcPr>
            <w:tcW w:w="90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83FDC10" w14:textId="77777777" w:rsidR="005C4B20" w:rsidRPr="00DE3ABD" w:rsidRDefault="005C4B20" w:rsidP="00807704">
            <w:pPr>
              <w:pStyle w:val="ListParagraph"/>
              <w:numPr>
                <w:ilvl w:val="0"/>
                <w:numId w:val="23"/>
              </w:numPr>
              <w:spacing w:before="60" w:after="60"/>
              <w:ind w:left="572" w:hanging="425"/>
              <w:rPr>
                <w:rFonts w:ascii="Arial" w:eastAsia="Times New Roman" w:hAnsi="Arial" w:cs="Arial"/>
                <w:b/>
                <w:sz w:val="20"/>
                <w:szCs w:val="20"/>
                <w:lang w:eastAsia="en-AU"/>
              </w:rPr>
            </w:pPr>
            <w:r w:rsidRPr="00DE3ABD">
              <w:rPr>
                <w:rFonts w:ascii="Arial" w:eastAsia="Times New Roman" w:hAnsi="Arial" w:cs="Arial"/>
                <w:b/>
                <w:sz w:val="20"/>
                <w:szCs w:val="20"/>
                <w:lang w:eastAsia="en-AU"/>
              </w:rPr>
              <w:t>Pulmonary arterial hypertension</w:t>
            </w:r>
          </w:p>
          <w:p w14:paraId="54EA340B" w14:textId="77777777" w:rsidR="00124C32" w:rsidRPr="00DE3ABD" w:rsidRDefault="005C4B20" w:rsidP="0060413E">
            <w:pPr>
              <w:pStyle w:val="ListParagraph"/>
              <w:spacing w:before="60" w:after="60"/>
              <w:ind w:left="572"/>
              <w:rPr>
                <w:rFonts w:ascii="Arial" w:eastAsia="Times New Roman" w:hAnsi="Arial" w:cs="Arial"/>
                <w:sz w:val="20"/>
                <w:szCs w:val="20"/>
                <w:lang w:eastAsia="en-AU"/>
              </w:rPr>
            </w:pPr>
            <w:r w:rsidRPr="00DE3ABD">
              <w:rPr>
                <w:rFonts w:ascii="Arial" w:eastAsia="Times New Roman" w:hAnsi="Arial" w:cs="Arial"/>
                <w:sz w:val="20"/>
                <w:szCs w:val="20"/>
                <w:lang w:eastAsia="en-AU"/>
              </w:rPr>
              <w:t>1.1 Idiopathic PAH</w:t>
            </w:r>
            <w:r w:rsidRPr="00DE3ABD">
              <w:rPr>
                <w:rFonts w:ascii="Arial" w:eastAsia="Times New Roman" w:hAnsi="Arial" w:cs="Arial"/>
                <w:sz w:val="20"/>
                <w:szCs w:val="20"/>
                <w:lang w:eastAsia="en-AU"/>
              </w:rPr>
              <w:br/>
              <w:t>1.2 Heritable PAH</w:t>
            </w:r>
          </w:p>
          <w:p w14:paraId="37DB68DB" w14:textId="77777777" w:rsidR="005C4B20" w:rsidRPr="00DE3ABD" w:rsidRDefault="005C4B20" w:rsidP="0060413E">
            <w:pPr>
              <w:pStyle w:val="ListParagraph"/>
              <w:spacing w:before="60" w:after="60"/>
              <w:ind w:left="572"/>
              <w:rPr>
                <w:rFonts w:ascii="Arial" w:eastAsia="Times New Roman" w:hAnsi="Arial" w:cs="Arial"/>
                <w:sz w:val="20"/>
                <w:szCs w:val="20"/>
                <w:lang w:eastAsia="en-AU"/>
              </w:rPr>
            </w:pPr>
            <w:r w:rsidRPr="00DE3ABD">
              <w:rPr>
                <w:rFonts w:ascii="Arial" w:eastAsia="Times New Roman" w:hAnsi="Arial" w:cs="Arial"/>
                <w:sz w:val="20"/>
                <w:szCs w:val="20"/>
                <w:lang w:eastAsia="en-AU"/>
              </w:rPr>
              <w:t>1.2.1 BMPR2</w:t>
            </w:r>
            <w:r w:rsidRPr="00DE3ABD">
              <w:rPr>
                <w:rFonts w:ascii="Arial" w:eastAsia="Times New Roman" w:hAnsi="Arial" w:cs="Arial"/>
                <w:sz w:val="20"/>
                <w:szCs w:val="20"/>
                <w:lang w:eastAsia="en-AU"/>
              </w:rPr>
              <w:br/>
              <w:t>1.2.2 ALK-1, ENG, SMAD9, CAV1, KCNK3</w:t>
            </w:r>
            <w:r w:rsidRPr="00DE3ABD">
              <w:rPr>
                <w:rFonts w:ascii="Arial" w:eastAsia="Times New Roman" w:hAnsi="Arial" w:cs="Arial"/>
                <w:sz w:val="20"/>
                <w:szCs w:val="20"/>
                <w:lang w:eastAsia="en-AU"/>
              </w:rPr>
              <w:br/>
              <w:t>1.2.3 Unknown</w:t>
            </w:r>
          </w:p>
          <w:p w14:paraId="775271BF" w14:textId="77777777" w:rsidR="00124C32" w:rsidRPr="00DE3ABD" w:rsidRDefault="005C4B20" w:rsidP="0060413E">
            <w:pPr>
              <w:pStyle w:val="ListParagraph"/>
              <w:spacing w:before="60" w:after="60"/>
              <w:ind w:left="572"/>
              <w:rPr>
                <w:rFonts w:ascii="Arial" w:eastAsia="Times New Roman" w:hAnsi="Arial" w:cs="Arial"/>
                <w:sz w:val="20"/>
                <w:szCs w:val="20"/>
                <w:lang w:eastAsia="en-AU"/>
              </w:rPr>
            </w:pPr>
            <w:r w:rsidRPr="00DE3ABD">
              <w:rPr>
                <w:rFonts w:ascii="Arial" w:eastAsia="Times New Roman" w:hAnsi="Arial" w:cs="Arial"/>
                <w:sz w:val="20"/>
                <w:szCs w:val="20"/>
                <w:lang w:eastAsia="en-AU"/>
              </w:rPr>
              <w:t>1.3 Drug and toxin induced</w:t>
            </w:r>
            <w:r w:rsidRPr="00DE3ABD">
              <w:rPr>
                <w:rFonts w:ascii="Arial" w:eastAsia="Times New Roman" w:hAnsi="Arial" w:cs="Arial"/>
                <w:sz w:val="20"/>
                <w:szCs w:val="20"/>
                <w:lang w:eastAsia="en-AU"/>
              </w:rPr>
              <w:br/>
              <w:t>1.4 Associated with:</w:t>
            </w:r>
          </w:p>
          <w:p w14:paraId="30E2A493" w14:textId="77777777" w:rsidR="00124C32" w:rsidRPr="00DE3ABD" w:rsidRDefault="005C4B20" w:rsidP="0060413E">
            <w:pPr>
              <w:pStyle w:val="ListParagraph"/>
              <w:spacing w:before="60" w:after="60"/>
              <w:ind w:left="572"/>
              <w:rPr>
                <w:rFonts w:ascii="Arial" w:eastAsia="Times New Roman" w:hAnsi="Arial" w:cs="Arial"/>
                <w:sz w:val="20"/>
                <w:szCs w:val="20"/>
                <w:lang w:eastAsia="en-AU"/>
              </w:rPr>
            </w:pPr>
            <w:r w:rsidRPr="00DE3ABD">
              <w:rPr>
                <w:rFonts w:ascii="Arial" w:eastAsia="Times New Roman" w:hAnsi="Arial" w:cs="Arial"/>
                <w:sz w:val="20"/>
                <w:szCs w:val="20"/>
                <w:lang w:eastAsia="en-AU"/>
              </w:rPr>
              <w:t>1.4.1 Connective tissue disease</w:t>
            </w:r>
            <w:r w:rsidRPr="00DE3ABD">
              <w:rPr>
                <w:rFonts w:ascii="Arial" w:eastAsia="Times New Roman" w:hAnsi="Arial" w:cs="Arial"/>
                <w:sz w:val="20"/>
                <w:szCs w:val="20"/>
                <w:lang w:eastAsia="en-AU"/>
              </w:rPr>
              <w:br/>
              <w:t>1.4.2 HIV infection</w:t>
            </w:r>
            <w:r w:rsidRPr="00DE3ABD">
              <w:rPr>
                <w:rFonts w:ascii="Arial" w:eastAsia="Times New Roman" w:hAnsi="Arial" w:cs="Arial"/>
                <w:sz w:val="20"/>
                <w:szCs w:val="20"/>
                <w:lang w:eastAsia="en-AU"/>
              </w:rPr>
              <w:br/>
              <w:t>1.4.3 Portal hypertension</w:t>
            </w:r>
            <w:r w:rsidRPr="00DE3ABD">
              <w:rPr>
                <w:rFonts w:ascii="Arial" w:eastAsia="Times New Roman" w:hAnsi="Arial" w:cs="Arial"/>
                <w:sz w:val="20"/>
                <w:szCs w:val="20"/>
                <w:lang w:eastAsia="en-AU"/>
              </w:rPr>
              <w:br/>
              <w:t>1.4.4 Congenital heart diseases</w:t>
            </w:r>
            <w:r w:rsidRPr="00DE3ABD">
              <w:rPr>
                <w:rFonts w:ascii="Arial" w:eastAsia="Times New Roman" w:hAnsi="Arial" w:cs="Arial"/>
                <w:sz w:val="20"/>
                <w:szCs w:val="20"/>
                <w:lang w:eastAsia="en-AU"/>
              </w:rPr>
              <w:br/>
              <w:t>1.4.5 Schistosomiasis</w:t>
            </w:r>
          </w:p>
          <w:p w14:paraId="01D05C5F" w14:textId="77777777" w:rsidR="005C4B20" w:rsidRPr="00192520" w:rsidRDefault="00192520" w:rsidP="00192520">
            <w:pPr>
              <w:tabs>
                <w:tab w:val="left" w:pos="567"/>
              </w:tabs>
              <w:ind w:left="142"/>
            </w:pPr>
            <w:r w:rsidRPr="00DE3ABD">
              <w:rPr>
                <w:rFonts w:ascii="Arial" w:eastAsia="Times New Roman" w:hAnsi="Arial" w:cs="Arial"/>
                <w:b/>
                <w:sz w:val="20"/>
                <w:szCs w:val="20"/>
                <w:lang w:eastAsia="en-AU"/>
              </w:rPr>
              <w:t>1′</w:t>
            </w:r>
            <w:r>
              <w:rPr>
                <w:rFonts w:ascii="Arial" w:eastAsia="Times New Roman" w:hAnsi="Arial" w:cs="Arial"/>
                <w:b/>
                <w:sz w:val="20"/>
                <w:szCs w:val="20"/>
                <w:lang w:eastAsia="en-AU"/>
              </w:rPr>
              <w:t>.</w:t>
            </w:r>
            <w:r>
              <w:rPr>
                <w:rFonts w:ascii="Arial" w:eastAsia="Times New Roman" w:hAnsi="Arial" w:cs="Arial"/>
                <w:b/>
                <w:sz w:val="20"/>
                <w:szCs w:val="20"/>
                <w:lang w:eastAsia="en-AU"/>
              </w:rPr>
              <w:tab/>
            </w:r>
            <w:r w:rsidRPr="00DE3ABD">
              <w:rPr>
                <w:rFonts w:ascii="Arial" w:eastAsia="Times New Roman" w:hAnsi="Arial" w:cs="Arial"/>
                <w:b/>
                <w:sz w:val="20"/>
                <w:szCs w:val="20"/>
                <w:lang w:eastAsia="en-AU"/>
              </w:rPr>
              <w:t xml:space="preserve">Pulmonary </w:t>
            </w:r>
            <w:proofErr w:type="spellStart"/>
            <w:r w:rsidRPr="00DE3ABD">
              <w:rPr>
                <w:rFonts w:ascii="Arial" w:eastAsia="Times New Roman" w:hAnsi="Arial" w:cs="Arial"/>
                <w:b/>
                <w:sz w:val="20"/>
                <w:szCs w:val="20"/>
                <w:lang w:eastAsia="en-AU"/>
              </w:rPr>
              <w:t>veno</w:t>
            </w:r>
            <w:proofErr w:type="spellEnd"/>
            <w:r w:rsidRPr="00DE3ABD">
              <w:rPr>
                <w:rFonts w:ascii="Arial" w:eastAsia="Times New Roman" w:hAnsi="Arial" w:cs="Arial"/>
                <w:b/>
                <w:sz w:val="20"/>
                <w:szCs w:val="20"/>
                <w:lang w:eastAsia="en-AU"/>
              </w:rPr>
              <w:t>-occlusive disease and/or pulmonary</w:t>
            </w:r>
            <w:r>
              <w:rPr>
                <w:rFonts w:ascii="Arial" w:eastAsia="Times New Roman" w:hAnsi="Arial" w:cs="Arial"/>
                <w:b/>
                <w:sz w:val="20"/>
                <w:szCs w:val="20"/>
                <w:lang w:eastAsia="en-AU"/>
              </w:rPr>
              <w:t xml:space="preserve"> capillary </w:t>
            </w:r>
            <w:proofErr w:type="spellStart"/>
            <w:r>
              <w:rPr>
                <w:rFonts w:ascii="Arial" w:eastAsia="Times New Roman" w:hAnsi="Arial" w:cs="Arial"/>
                <w:b/>
                <w:sz w:val="20"/>
                <w:szCs w:val="20"/>
                <w:lang w:eastAsia="en-AU"/>
              </w:rPr>
              <w:t>hemangiomatosis</w:t>
            </w:r>
            <w:proofErr w:type="spellEnd"/>
            <w:r>
              <w:rPr>
                <w:rFonts w:ascii="Arial" w:eastAsia="Times New Roman" w:hAnsi="Arial" w:cs="Arial"/>
                <w:b/>
                <w:sz w:val="20"/>
                <w:szCs w:val="20"/>
                <w:lang w:eastAsia="en-AU"/>
              </w:rPr>
              <w:br/>
              <w:t>1′′.</w:t>
            </w:r>
            <w:r>
              <w:rPr>
                <w:rFonts w:ascii="Arial" w:eastAsia="Times New Roman" w:hAnsi="Arial" w:cs="Arial"/>
                <w:b/>
                <w:sz w:val="20"/>
                <w:szCs w:val="20"/>
                <w:lang w:eastAsia="en-AU"/>
              </w:rPr>
              <w:tab/>
            </w:r>
            <w:r w:rsidRPr="00DE3ABD">
              <w:rPr>
                <w:rFonts w:ascii="Arial" w:eastAsia="Times New Roman" w:hAnsi="Arial" w:cs="Arial"/>
                <w:b/>
                <w:sz w:val="20"/>
                <w:szCs w:val="20"/>
                <w:lang w:eastAsia="en-AU"/>
              </w:rPr>
              <w:t>Persistent pulmonary hypertension of the newborn (PPHN)</w:t>
            </w:r>
          </w:p>
        </w:tc>
      </w:tr>
      <w:tr w:rsidR="005C4B20" w:rsidRPr="00CA3F42" w14:paraId="7C4B221A" w14:textId="77777777" w:rsidTr="0060413E">
        <w:tc>
          <w:tcPr>
            <w:tcW w:w="9077" w:type="dxa"/>
            <w:tcBorders>
              <w:top w:val="single" w:sz="4" w:space="0" w:color="auto"/>
            </w:tcBorders>
            <w:hideMark/>
          </w:tcPr>
          <w:p w14:paraId="55000CDB" w14:textId="77777777" w:rsidR="005C4B20" w:rsidRPr="00DE3ABD" w:rsidRDefault="005C4B20" w:rsidP="00807704">
            <w:pPr>
              <w:pStyle w:val="ListParagraph"/>
              <w:numPr>
                <w:ilvl w:val="0"/>
                <w:numId w:val="23"/>
              </w:numPr>
              <w:spacing w:before="60" w:after="60"/>
              <w:ind w:left="572" w:hanging="425"/>
              <w:rPr>
                <w:rFonts w:ascii="Arial" w:eastAsia="Times New Roman" w:hAnsi="Arial" w:cs="Arial"/>
                <w:b/>
                <w:sz w:val="20"/>
                <w:szCs w:val="20"/>
                <w:lang w:eastAsia="en-AU"/>
              </w:rPr>
            </w:pPr>
            <w:r w:rsidRPr="00DE3ABD">
              <w:rPr>
                <w:rFonts w:ascii="Arial" w:eastAsia="Times New Roman" w:hAnsi="Arial" w:cs="Arial"/>
                <w:b/>
                <w:sz w:val="20"/>
                <w:szCs w:val="20"/>
                <w:lang w:eastAsia="en-AU"/>
              </w:rPr>
              <w:t>Pulmonary hypertension due to left heart disease</w:t>
            </w:r>
          </w:p>
          <w:p w14:paraId="7DFA097E" w14:textId="77777777" w:rsidR="005C4B20" w:rsidRPr="00DE3ABD" w:rsidRDefault="005C4B20" w:rsidP="0060413E">
            <w:pPr>
              <w:pStyle w:val="ListParagraph"/>
              <w:spacing w:before="60" w:after="60"/>
              <w:ind w:left="572"/>
              <w:rPr>
                <w:rFonts w:ascii="Arial" w:eastAsia="Times New Roman" w:hAnsi="Arial" w:cs="Arial"/>
                <w:sz w:val="20"/>
                <w:szCs w:val="20"/>
                <w:lang w:eastAsia="en-AU"/>
              </w:rPr>
            </w:pPr>
            <w:r w:rsidRPr="00DE3ABD">
              <w:rPr>
                <w:rFonts w:ascii="Arial" w:eastAsia="Times New Roman" w:hAnsi="Arial" w:cs="Arial"/>
                <w:sz w:val="20"/>
                <w:szCs w:val="20"/>
                <w:lang w:eastAsia="en-AU"/>
              </w:rPr>
              <w:t>2.1 Left ventricular systolic dysfunction</w:t>
            </w:r>
            <w:r w:rsidRPr="00DE3ABD">
              <w:rPr>
                <w:rFonts w:ascii="Arial" w:eastAsia="Times New Roman" w:hAnsi="Arial" w:cs="Arial"/>
                <w:sz w:val="20"/>
                <w:szCs w:val="20"/>
                <w:lang w:eastAsia="en-AU"/>
              </w:rPr>
              <w:br/>
              <w:t>2.2 Left ventricular diastolic dysfunction</w:t>
            </w:r>
            <w:r w:rsidRPr="00DE3ABD">
              <w:rPr>
                <w:rFonts w:ascii="Arial" w:eastAsia="Times New Roman" w:hAnsi="Arial" w:cs="Arial"/>
                <w:sz w:val="20"/>
                <w:szCs w:val="20"/>
                <w:lang w:eastAsia="en-AU"/>
              </w:rPr>
              <w:br/>
              <w:t>2.3 Valvular disease</w:t>
            </w:r>
            <w:r w:rsidRPr="00DE3ABD">
              <w:rPr>
                <w:rFonts w:ascii="Arial" w:eastAsia="Times New Roman" w:hAnsi="Arial" w:cs="Arial"/>
                <w:sz w:val="20"/>
                <w:szCs w:val="20"/>
                <w:lang w:eastAsia="en-AU"/>
              </w:rPr>
              <w:br/>
            </w:r>
            <w:r w:rsidRPr="0060413E">
              <w:rPr>
                <w:rFonts w:ascii="Arial" w:eastAsia="Times New Roman" w:hAnsi="Arial" w:cs="Arial"/>
                <w:sz w:val="20"/>
                <w:szCs w:val="20"/>
                <w:lang w:eastAsia="en-AU"/>
              </w:rPr>
              <w:t>2.4 Congenital/acquired left heart inflow/outflow tract obstruction and congenital cardiomyopathies</w:t>
            </w:r>
          </w:p>
        </w:tc>
      </w:tr>
      <w:tr w:rsidR="005C4B20" w:rsidRPr="00CA3F42" w14:paraId="5855A4F4" w14:textId="77777777" w:rsidTr="0060413E">
        <w:tc>
          <w:tcPr>
            <w:tcW w:w="9077" w:type="dxa"/>
            <w:hideMark/>
          </w:tcPr>
          <w:p w14:paraId="69683F0C" w14:textId="77777777" w:rsidR="005C4B20" w:rsidRPr="00DE3ABD" w:rsidRDefault="005C4B20" w:rsidP="00807704">
            <w:pPr>
              <w:pStyle w:val="ListParagraph"/>
              <w:numPr>
                <w:ilvl w:val="0"/>
                <w:numId w:val="23"/>
              </w:numPr>
              <w:spacing w:before="60" w:after="60"/>
              <w:ind w:left="572" w:hanging="425"/>
              <w:rPr>
                <w:rFonts w:ascii="Arial" w:eastAsia="Times New Roman" w:hAnsi="Arial" w:cs="Arial"/>
                <w:b/>
                <w:sz w:val="20"/>
                <w:szCs w:val="20"/>
                <w:lang w:eastAsia="en-AU"/>
              </w:rPr>
            </w:pPr>
            <w:r w:rsidRPr="00DE3ABD">
              <w:rPr>
                <w:rFonts w:ascii="Arial" w:eastAsia="Times New Roman" w:hAnsi="Arial" w:cs="Arial"/>
                <w:b/>
                <w:sz w:val="20"/>
                <w:szCs w:val="20"/>
                <w:lang w:eastAsia="en-AU"/>
              </w:rPr>
              <w:t>Pulmonary hypertension due to lung diseases and/or hypoxia</w:t>
            </w:r>
          </w:p>
          <w:p w14:paraId="5F479616" w14:textId="77777777" w:rsidR="005C4B20" w:rsidRPr="00DE3ABD" w:rsidRDefault="005C4B20" w:rsidP="0060413E">
            <w:pPr>
              <w:pStyle w:val="ListParagraph"/>
              <w:spacing w:before="60" w:after="60"/>
              <w:ind w:left="572"/>
              <w:rPr>
                <w:rFonts w:ascii="Arial" w:eastAsia="Times New Roman" w:hAnsi="Arial" w:cs="Arial"/>
                <w:sz w:val="20"/>
                <w:szCs w:val="20"/>
                <w:lang w:eastAsia="en-AU"/>
              </w:rPr>
            </w:pPr>
            <w:r w:rsidRPr="00DE3ABD">
              <w:rPr>
                <w:rFonts w:ascii="Arial" w:eastAsia="Times New Roman" w:hAnsi="Arial" w:cs="Arial"/>
                <w:sz w:val="20"/>
                <w:szCs w:val="20"/>
                <w:lang w:eastAsia="en-AU"/>
              </w:rPr>
              <w:t>3.1 Chronic obstructive pulmonary disease</w:t>
            </w:r>
            <w:r w:rsidRPr="00DE3ABD">
              <w:rPr>
                <w:rFonts w:ascii="Arial" w:eastAsia="Times New Roman" w:hAnsi="Arial" w:cs="Arial"/>
                <w:sz w:val="20"/>
                <w:szCs w:val="20"/>
                <w:lang w:eastAsia="en-AU"/>
              </w:rPr>
              <w:br/>
              <w:t>3.2 Interstitial lung disease</w:t>
            </w:r>
            <w:r w:rsidRPr="00DE3ABD">
              <w:rPr>
                <w:rFonts w:ascii="Arial" w:eastAsia="Times New Roman" w:hAnsi="Arial" w:cs="Arial"/>
                <w:sz w:val="20"/>
                <w:szCs w:val="20"/>
                <w:lang w:eastAsia="en-AU"/>
              </w:rPr>
              <w:br/>
              <w:t>3.3 Other pulmonary diseases with mixed restrictive and obstructive pattern</w:t>
            </w:r>
            <w:r w:rsidRPr="00DE3ABD">
              <w:rPr>
                <w:rFonts w:ascii="Arial" w:eastAsia="Times New Roman" w:hAnsi="Arial" w:cs="Arial"/>
                <w:sz w:val="20"/>
                <w:szCs w:val="20"/>
                <w:lang w:eastAsia="en-AU"/>
              </w:rPr>
              <w:br/>
              <w:t>3.4 Sleep-disordered breathing</w:t>
            </w:r>
            <w:r w:rsidRPr="00DE3ABD">
              <w:rPr>
                <w:rFonts w:ascii="Arial" w:eastAsia="Times New Roman" w:hAnsi="Arial" w:cs="Arial"/>
                <w:sz w:val="20"/>
                <w:szCs w:val="20"/>
                <w:lang w:eastAsia="en-AU"/>
              </w:rPr>
              <w:br/>
              <w:t>3.5 Alveolar hypoventilation disorders</w:t>
            </w:r>
            <w:r w:rsidRPr="00DE3ABD">
              <w:rPr>
                <w:rFonts w:ascii="Arial" w:eastAsia="Times New Roman" w:hAnsi="Arial" w:cs="Arial"/>
                <w:sz w:val="20"/>
                <w:szCs w:val="20"/>
                <w:lang w:eastAsia="en-AU"/>
              </w:rPr>
              <w:br/>
              <w:t>3.6 Chronic exposure to high altitude</w:t>
            </w:r>
            <w:r w:rsidRPr="00DE3ABD">
              <w:rPr>
                <w:rFonts w:ascii="Arial" w:eastAsia="Times New Roman" w:hAnsi="Arial" w:cs="Arial"/>
                <w:sz w:val="20"/>
                <w:szCs w:val="20"/>
                <w:lang w:eastAsia="en-AU"/>
              </w:rPr>
              <w:br/>
              <w:t>3.7 Developmental lung diseases</w:t>
            </w:r>
          </w:p>
        </w:tc>
      </w:tr>
      <w:tr w:rsidR="005C4B20" w:rsidRPr="00CA3F42" w14:paraId="4611A479" w14:textId="77777777" w:rsidTr="0060413E">
        <w:tc>
          <w:tcPr>
            <w:tcW w:w="9077" w:type="dxa"/>
            <w:hideMark/>
          </w:tcPr>
          <w:p w14:paraId="68A6121C" w14:textId="77777777" w:rsidR="005C4B20" w:rsidRPr="00DE3ABD" w:rsidRDefault="005C4B20" w:rsidP="00807704">
            <w:pPr>
              <w:pStyle w:val="ListParagraph"/>
              <w:numPr>
                <w:ilvl w:val="0"/>
                <w:numId w:val="23"/>
              </w:numPr>
              <w:spacing w:before="60" w:after="60"/>
              <w:ind w:left="572" w:hanging="425"/>
              <w:rPr>
                <w:rFonts w:ascii="Arial" w:eastAsia="Times New Roman" w:hAnsi="Arial" w:cs="Arial"/>
                <w:b/>
                <w:sz w:val="20"/>
                <w:szCs w:val="20"/>
                <w:lang w:eastAsia="en-AU"/>
              </w:rPr>
            </w:pPr>
            <w:r w:rsidRPr="00DE3ABD">
              <w:rPr>
                <w:rFonts w:ascii="Arial" w:eastAsia="Times New Roman" w:hAnsi="Arial" w:cs="Arial"/>
                <w:b/>
                <w:sz w:val="20"/>
                <w:szCs w:val="20"/>
                <w:lang w:eastAsia="en-AU"/>
              </w:rPr>
              <w:t>Chronic thromboembolic pulmonary hypertension (CTEPH)</w:t>
            </w:r>
          </w:p>
        </w:tc>
      </w:tr>
      <w:tr w:rsidR="005C4B20" w:rsidRPr="00CA3F42" w14:paraId="36B8F8CB" w14:textId="77777777" w:rsidTr="0060413E">
        <w:tc>
          <w:tcPr>
            <w:tcW w:w="9077" w:type="dxa"/>
            <w:hideMark/>
          </w:tcPr>
          <w:p w14:paraId="2DDF89CE" w14:textId="77777777" w:rsidR="005C4B20" w:rsidRPr="00DE3ABD" w:rsidRDefault="005C4B20" w:rsidP="00807704">
            <w:pPr>
              <w:pStyle w:val="ListParagraph"/>
              <w:numPr>
                <w:ilvl w:val="0"/>
                <w:numId w:val="23"/>
              </w:numPr>
              <w:spacing w:before="60" w:after="60"/>
              <w:ind w:left="572" w:hanging="425"/>
              <w:rPr>
                <w:rFonts w:ascii="Arial" w:eastAsia="Times New Roman" w:hAnsi="Arial" w:cs="Arial"/>
                <w:b/>
                <w:sz w:val="20"/>
                <w:szCs w:val="20"/>
                <w:lang w:eastAsia="en-AU"/>
              </w:rPr>
            </w:pPr>
            <w:r w:rsidRPr="00DE3ABD">
              <w:rPr>
                <w:rFonts w:ascii="Arial" w:eastAsia="Times New Roman" w:hAnsi="Arial" w:cs="Arial"/>
                <w:b/>
                <w:sz w:val="20"/>
                <w:szCs w:val="20"/>
                <w:lang w:eastAsia="en-AU"/>
              </w:rPr>
              <w:t>Pulmonary hypertension with unclear multifactorial mechanisms</w:t>
            </w:r>
          </w:p>
          <w:p w14:paraId="73B66120" w14:textId="77777777" w:rsidR="005C4B20" w:rsidRPr="00DE3ABD" w:rsidRDefault="005C4B20" w:rsidP="0060413E">
            <w:pPr>
              <w:pStyle w:val="ListParagraph"/>
              <w:spacing w:before="60" w:after="60"/>
              <w:ind w:left="572"/>
              <w:rPr>
                <w:rFonts w:ascii="Arial" w:eastAsia="Times New Roman" w:hAnsi="Arial" w:cs="Arial"/>
                <w:sz w:val="20"/>
                <w:szCs w:val="20"/>
                <w:lang w:eastAsia="en-AU"/>
              </w:rPr>
            </w:pPr>
            <w:r w:rsidRPr="00DE3ABD">
              <w:rPr>
                <w:rFonts w:ascii="Arial" w:eastAsia="Times New Roman" w:hAnsi="Arial" w:cs="Arial"/>
                <w:sz w:val="20"/>
                <w:szCs w:val="20"/>
                <w:lang w:eastAsia="en-AU"/>
              </w:rPr>
              <w:t>5.1 Hematologic disorders: </w:t>
            </w:r>
            <w:r w:rsidRPr="00DE3ABD">
              <w:rPr>
                <w:rFonts w:ascii="Arial" w:eastAsia="Times New Roman" w:hAnsi="Arial" w:cs="Arial"/>
                <w:bCs/>
                <w:sz w:val="20"/>
                <w:szCs w:val="20"/>
                <w:lang w:eastAsia="en-AU"/>
              </w:rPr>
              <w:t xml:space="preserve">chronic </w:t>
            </w:r>
            <w:proofErr w:type="spellStart"/>
            <w:r w:rsidRPr="00DE3ABD">
              <w:rPr>
                <w:rFonts w:ascii="Arial" w:eastAsia="Times New Roman" w:hAnsi="Arial" w:cs="Arial"/>
                <w:bCs/>
                <w:sz w:val="20"/>
                <w:szCs w:val="20"/>
                <w:lang w:eastAsia="en-AU"/>
              </w:rPr>
              <w:t>hemolytic</w:t>
            </w:r>
            <w:proofErr w:type="spellEnd"/>
            <w:r w:rsidRPr="00DE3ABD">
              <w:rPr>
                <w:rFonts w:ascii="Arial" w:eastAsia="Times New Roman" w:hAnsi="Arial" w:cs="Arial"/>
                <w:bCs/>
                <w:sz w:val="20"/>
                <w:szCs w:val="20"/>
                <w:lang w:eastAsia="en-AU"/>
              </w:rPr>
              <w:t xml:space="preserve"> </w:t>
            </w:r>
            <w:proofErr w:type="spellStart"/>
            <w:r w:rsidRPr="00DE3ABD">
              <w:rPr>
                <w:rFonts w:ascii="Arial" w:eastAsia="Times New Roman" w:hAnsi="Arial" w:cs="Arial"/>
                <w:bCs/>
                <w:sz w:val="20"/>
                <w:szCs w:val="20"/>
                <w:lang w:eastAsia="en-AU"/>
              </w:rPr>
              <w:t>anemia</w:t>
            </w:r>
            <w:proofErr w:type="spellEnd"/>
            <w:r w:rsidRPr="00DE3ABD">
              <w:rPr>
                <w:rFonts w:ascii="Arial" w:eastAsia="Times New Roman" w:hAnsi="Arial" w:cs="Arial"/>
                <w:sz w:val="20"/>
                <w:szCs w:val="20"/>
                <w:lang w:eastAsia="en-AU"/>
              </w:rPr>
              <w:t>, myeloproliferative disorders, splenectomy</w:t>
            </w:r>
            <w:r w:rsidRPr="00DE3ABD">
              <w:rPr>
                <w:rFonts w:ascii="Arial" w:eastAsia="Times New Roman" w:hAnsi="Arial" w:cs="Arial"/>
                <w:sz w:val="20"/>
                <w:szCs w:val="20"/>
                <w:lang w:eastAsia="en-AU"/>
              </w:rPr>
              <w:br/>
              <w:t xml:space="preserve">5.2 Systemic disorders: sarcoidosis, pulmonary </w:t>
            </w:r>
            <w:proofErr w:type="spellStart"/>
            <w:r w:rsidRPr="00DE3ABD">
              <w:rPr>
                <w:rFonts w:ascii="Arial" w:eastAsia="Times New Roman" w:hAnsi="Arial" w:cs="Arial"/>
                <w:sz w:val="20"/>
                <w:szCs w:val="20"/>
                <w:lang w:eastAsia="en-AU"/>
              </w:rPr>
              <w:t>histiocytosis</w:t>
            </w:r>
            <w:proofErr w:type="spellEnd"/>
            <w:r w:rsidRPr="00DE3ABD">
              <w:rPr>
                <w:rFonts w:ascii="Arial" w:eastAsia="Times New Roman" w:hAnsi="Arial" w:cs="Arial"/>
                <w:sz w:val="20"/>
                <w:szCs w:val="20"/>
                <w:lang w:eastAsia="en-AU"/>
              </w:rPr>
              <w:t xml:space="preserve">, </w:t>
            </w:r>
            <w:proofErr w:type="spellStart"/>
            <w:r w:rsidRPr="00DE3ABD">
              <w:rPr>
                <w:rFonts w:ascii="Arial" w:eastAsia="Times New Roman" w:hAnsi="Arial" w:cs="Arial"/>
                <w:sz w:val="20"/>
                <w:szCs w:val="20"/>
                <w:lang w:eastAsia="en-AU"/>
              </w:rPr>
              <w:t>lymphangioleiomyomatosis</w:t>
            </w:r>
            <w:proofErr w:type="spellEnd"/>
            <w:r w:rsidRPr="00DE3ABD">
              <w:rPr>
                <w:rFonts w:ascii="Arial" w:eastAsia="Times New Roman" w:hAnsi="Arial" w:cs="Arial"/>
                <w:sz w:val="20"/>
                <w:szCs w:val="20"/>
                <w:lang w:eastAsia="en-AU"/>
              </w:rPr>
              <w:br/>
              <w:t xml:space="preserve">5.3 Metabolic disorders: glycogen storage disease, </w:t>
            </w:r>
            <w:proofErr w:type="spellStart"/>
            <w:r w:rsidRPr="00DE3ABD">
              <w:rPr>
                <w:rFonts w:ascii="Arial" w:eastAsia="Times New Roman" w:hAnsi="Arial" w:cs="Arial"/>
                <w:sz w:val="20"/>
                <w:szCs w:val="20"/>
                <w:lang w:eastAsia="en-AU"/>
              </w:rPr>
              <w:t>Gaucher</w:t>
            </w:r>
            <w:proofErr w:type="spellEnd"/>
            <w:r w:rsidRPr="00DE3ABD">
              <w:rPr>
                <w:rFonts w:ascii="Arial" w:eastAsia="Times New Roman" w:hAnsi="Arial" w:cs="Arial"/>
                <w:sz w:val="20"/>
                <w:szCs w:val="20"/>
                <w:lang w:eastAsia="en-AU"/>
              </w:rPr>
              <w:t xml:space="preserve"> disease, thyroid disorders</w:t>
            </w:r>
            <w:r w:rsidRPr="00DE3ABD">
              <w:rPr>
                <w:rFonts w:ascii="Arial" w:eastAsia="Times New Roman" w:hAnsi="Arial" w:cs="Arial"/>
                <w:sz w:val="20"/>
                <w:szCs w:val="20"/>
                <w:lang w:eastAsia="en-AU"/>
              </w:rPr>
              <w:br/>
              <w:t xml:space="preserve">5.4 Others: </w:t>
            </w:r>
            <w:proofErr w:type="spellStart"/>
            <w:r w:rsidRPr="00DE3ABD">
              <w:rPr>
                <w:rFonts w:ascii="Arial" w:eastAsia="Times New Roman" w:hAnsi="Arial" w:cs="Arial"/>
                <w:sz w:val="20"/>
                <w:szCs w:val="20"/>
                <w:lang w:eastAsia="en-AU"/>
              </w:rPr>
              <w:t>tumoral</w:t>
            </w:r>
            <w:proofErr w:type="spellEnd"/>
            <w:r w:rsidRPr="00DE3ABD">
              <w:rPr>
                <w:rFonts w:ascii="Arial" w:eastAsia="Times New Roman" w:hAnsi="Arial" w:cs="Arial"/>
                <w:sz w:val="20"/>
                <w:szCs w:val="20"/>
                <w:lang w:eastAsia="en-AU"/>
              </w:rPr>
              <w:t xml:space="preserve"> obstruction, fibrosing </w:t>
            </w:r>
            <w:proofErr w:type="spellStart"/>
            <w:r w:rsidRPr="00DE3ABD">
              <w:rPr>
                <w:rFonts w:ascii="Arial" w:eastAsia="Times New Roman" w:hAnsi="Arial" w:cs="Arial"/>
                <w:sz w:val="20"/>
                <w:szCs w:val="20"/>
                <w:lang w:eastAsia="en-AU"/>
              </w:rPr>
              <w:t>mediastinitis</w:t>
            </w:r>
            <w:proofErr w:type="spellEnd"/>
            <w:r w:rsidRPr="00DE3ABD">
              <w:rPr>
                <w:rFonts w:ascii="Arial" w:eastAsia="Times New Roman" w:hAnsi="Arial" w:cs="Arial"/>
                <w:sz w:val="20"/>
                <w:szCs w:val="20"/>
                <w:lang w:eastAsia="en-AU"/>
              </w:rPr>
              <w:t>, chronic renal failure, </w:t>
            </w:r>
            <w:r w:rsidRPr="00DE3ABD">
              <w:rPr>
                <w:rFonts w:ascii="Arial" w:eastAsia="Times New Roman" w:hAnsi="Arial" w:cs="Arial"/>
                <w:bCs/>
                <w:sz w:val="20"/>
                <w:szCs w:val="20"/>
                <w:lang w:eastAsia="en-AU"/>
              </w:rPr>
              <w:t>segmental PH</w:t>
            </w:r>
          </w:p>
        </w:tc>
      </w:tr>
    </w:tbl>
    <w:p w14:paraId="712D5A6F" w14:textId="77777777" w:rsidR="005C4B20" w:rsidRPr="002E566F" w:rsidRDefault="005C4B20" w:rsidP="00121658">
      <w:pPr>
        <w:pStyle w:val="Tablenote"/>
        <w:spacing w:after="120"/>
        <w:rPr>
          <w:rFonts w:ascii="Arial" w:hAnsi="Arial" w:cs="Arial"/>
          <w:sz w:val="16"/>
          <w:szCs w:val="16"/>
        </w:rPr>
      </w:pPr>
      <w:r w:rsidRPr="002E566F">
        <w:rPr>
          <w:rFonts w:ascii="Arial" w:hAnsi="Arial" w:cs="Arial"/>
          <w:sz w:val="16"/>
          <w:szCs w:val="16"/>
        </w:rPr>
        <w:t>Source: WHO Classification of PH</w:t>
      </w:r>
      <w:r w:rsidR="009C556B" w:rsidRPr="002E566F">
        <w:rPr>
          <w:rFonts w:ascii="Arial" w:hAnsi="Arial" w:cs="Arial"/>
          <w:noProof/>
          <w:sz w:val="16"/>
          <w:szCs w:val="16"/>
          <w:vertAlign w:val="superscript"/>
        </w:rPr>
        <w:t>9</w:t>
      </w:r>
    </w:p>
    <w:bookmarkEnd w:id="36"/>
    <w:p w14:paraId="73F35A98" w14:textId="77777777" w:rsidR="007D4AD1" w:rsidRPr="00133CE7" w:rsidRDefault="00BC5581" w:rsidP="00121658">
      <w:pPr>
        <w:pStyle w:val="Heading4"/>
        <w:jc w:val="left"/>
      </w:pPr>
      <w:r>
        <w:t>4.3.2</w:t>
      </w:r>
      <w:r>
        <w:tab/>
      </w:r>
      <w:r w:rsidR="007D4AD1">
        <w:t>WHO functional classes</w:t>
      </w:r>
    </w:p>
    <w:p w14:paraId="59E7663D" w14:textId="77777777" w:rsidR="00462974" w:rsidRPr="00CA30EE" w:rsidRDefault="007D4AD1" w:rsidP="00121658">
      <w:pPr>
        <w:spacing w:after="240"/>
        <w:rPr>
          <w:rFonts w:asciiTheme="minorHAnsi" w:hAnsiTheme="minorHAnsi"/>
        </w:rPr>
      </w:pPr>
      <w:r w:rsidRPr="00AC2A2B">
        <w:rPr>
          <w:rFonts w:asciiTheme="minorHAnsi" w:hAnsiTheme="minorHAnsi"/>
        </w:rPr>
        <w:t>The clinical severity of PAH is classified according to a system of functional classes originally developed for heart failure by the New York Heart Association (NYHA) and then modified by the WHO for patients with PH at t</w:t>
      </w:r>
      <w:r w:rsidR="00AD61AE" w:rsidRPr="00AC2A2B">
        <w:rPr>
          <w:rFonts w:asciiTheme="minorHAnsi" w:hAnsiTheme="minorHAnsi"/>
        </w:rPr>
        <w:t xml:space="preserve">he 1998 meeting </w:t>
      </w:r>
      <w:r w:rsidRPr="00AC2A2B">
        <w:rPr>
          <w:rFonts w:asciiTheme="minorHAnsi" w:hAnsiTheme="minorHAnsi"/>
        </w:rPr>
        <w:t xml:space="preserve">of the World Symposium. The current </w:t>
      </w:r>
      <w:r w:rsidR="00C6661C" w:rsidRPr="00AC2A2B">
        <w:rPr>
          <w:rFonts w:asciiTheme="minorHAnsi" w:hAnsiTheme="minorHAnsi"/>
        </w:rPr>
        <w:t>criteria</w:t>
      </w:r>
      <w:r w:rsidR="009C556B" w:rsidRPr="00AC2A2B">
        <w:rPr>
          <w:rFonts w:asciiTheme="minorHAnsi" w:hAnsiTheme="minorHAnsi"/>
          <w:noProof/>
          <w:vertAlign w:val="superscript"/>
        </w:rPr>
        <w:t>8</w:t>
      </w:r>
      <w:r w:rsidRPr="00AC2A2B">
        <w:rPr>
          <w:rFonts w:asciiTheme="minorHAnsi" w:hAnsiTheme="minorHAnsi"/>
        </w:rPr>
        <w:t xml:space="preserve"> </w:t>
      </w:r>
      <w:r w:rsidR="00C6661C" w:rsidRPr="00AC2A2B">
        <w:rPr>
          <w:rFonts w:asciiTheme="minorHAnsi" w:hAnsiTheme="minorHAnsi"/>
        </w:rPr>
        <w:t>are</w:t>
      </w:r>
      <w:r w:rsidRPr="00AC2A2B">
        <w:rPr>
          <w:rFonts w:asciiTheme="minorHAnsi" w:hAnsiTheme="minorHAnsi"/>
        </w:rPr>
        <w:t xml:space="preserve"> in</w:t>
      </w:r>
      <w:r w:rsidR="00AD61AE" w:rsidRPr="00AC2A2B">
        <w:rPr>
          <w:rFonts w:asciiTheme="minorHAnsi" w:hAnsiTheme="minorHAnsi"/>
        </w:rPr>
        <w:t xml:space="preserve"> </w:t>
      </w:r>
      <w:r w:rsidR="00505D99" w:rsidRPr="00505D99">
        <w:rPr>
          <w:rFonts w:asciiTheme="minorHAnsi" w:hAnsiTheme="minorHAnsi"/>
        </w:rPr>
        <w:t>Table</w:t>
      </w:r>
      <w:r w:rsidR="00505D99">
        <w:t xml:space="preserve"> B.</w:t>
      </w:r>
      <w:r w:rsidR="00505D99">
        <w:rPr>
          <w:noProof/>
        </w:rPr>
        <w:t>2</w:t>
      </w:r>
      <w:r w:rsidR="004575B0" w:rsidRPr="00AC2A2B">
        <w:rPr>
          <w:rFonts w:asciiTheme="minorHAnsi" w:hAnsiTheme="minorHAnsi"/>
        </w:rPr>
        <w:t>.</w:t>
      </w:r>
    </w:p>
    <w:p w14:paraId="1D4A1717" w14:textId="77777777" w:rsidR="00CA30EE" w:rsidRDefault="00CA30EE" w:rsidP="00D14982">
      <w:pPr>
        <w:pStyle w:val="ToR1TableHeader"/>
      </w:pPr>
      <w:bookmarkStart w:id="39" w:name="_Ref510019524"/>
      <w:bookmarkStart w:id="40" w:name="_Toc29377239"/>
      <w:r>
        <w:lastRenderedPageBreak/>
        <w:t>Table B.</w:t>
      </w:r>
      <w:r w:rsidR="00505D99">
        <w:rPr>
          <w:noProof/>
        </w:rPr>
        <w:t>2</w:t>
      </w:r>
      <w:bookmarkEnd w:id="39"/>
      <w:r>
        <w:tab/>
        <w:t>WHO functional classes for PAH</w:t>
      </w:r>
      <w:bookmarkEnd w:id="40"/>
    </w:p>
    <w:tbl>
      <w:tblPr>
        <w:tblStyle w:val="TableGrid"/>
        <w:tblW w:w="0" w:type="auto"/>
        <w:tblLook w:val="04A0" w:firstRow="1" w:lastRow="0" w:firstColumn="1" w:lastColumn="0" w:noHBand="0" w:noVBand="1"/>
        <w:tblCaption w:val="WHO functional classes for PAH"/>
      </w:tblPr>
      <w:tblGrid>
        <w:gridCol w:w="9628"/>
      </w:tblGrid>
      <w:tr w:rsidR="00462974" w14:paraId="5ED7BF28" w14:textId="77777777" w:rsidTr="005C51EE">
        <w:trPr>
          <w:cnfStyle w:val="100000000000" w:firstRow="1" w:lastRow="0" w:firstColumn="0" w:lastColumn="0" w:oddVBand="0" w:evenVBand="0" w:oddHBand="0" w:evenHBand="0" w:firstRowFirstColumn="0" w:firstRowLastColumn="0" w:lastRowFirstColumn="0" w:lastRowLastColumn="0"/>
        </w:trPr>
        <w:tc>
          <w:tcPr>
            <w:tcW w:w="9648" w:type="dxa"/>
            <w:shd w:val="clear" w:color="auto" w:fill="auto"/>
          </w:tcPr>
          <w:p w14:paraId="3E649A88" w14:textId="77777777" w:rsidR="00462974" w:rsidRPr="00DE3ABD" w:rsidRDefault="00462974" w:rsidP="001F2CF5">
            <w:pPr>
              <w:spacing w:beforeLines="120" w:before="288" w:after="120"/>
              <w:ind w:left="147" w:right="147"/>
              <w:rPr>
                <w:rFonts w:ascii="Arial" w:hAnsi="Arial" w:cs="Arial"/>
                <w:sz w:val="20"/>
                <w:szCs w:val="20"/>
              </w:rPr>
            </w:pPr>
            <w:r w:rsidRPr="00DE3ABD">
              <w:rPr>
                <w:rFonts w:ascii="Arial" w:hAnsi="Arial" w:cs="Arial"/>
                <w:sz w:val="20"/>
                <w:szCs w:val="20"/>
              </w:rPr>
              <w:t>Class I – Patients with pulmonary hypertension but without resulting limitation of physical activity. Ordinary physical activity does not cause undue dyspnoea or fatigue, chest pain or near syncope.</w:t>
            </w:r>
          </w:p>
          <w:p w14:paraId="348930B1" w14:textId="77777777" w:rsidR="00462974" w:rsidRPr="00DE3ABD" w:rsidRDefault="00462974" w:rsidP="001F2CF5">
            <w:pPr>
              <w:spacing w:beforeLines="120" w:before="288" w:after="120"/>
              <w:ind w:left="147" w:right="147"/>
              <w:rPr>
                <w:rFonts w:ascii="Arial" w:hAnsi="Arial" w:cs="Arial"/>
                <w:sz w:val="20"/>
                <w:szCs w:val="20"/>
              </w:rPr>
            </w:pPr>
            <w:r w:rsidRPr="00DE3ABD">
              <w:rPr>
                <w:rFonts w:ascii="Arial" w:hAnsi="Arial" w:cs="Arial"/>
                <w:sz w:val="20"/>
                <w:szCs w:val="20"/>
              </w:rPr>
              <w:t>Class II – Patients with pulmonary hypertension resulting in slight limitation of physical activity. They are comfortable at rest. Ordinary physical activity causes undue dyspnoea or fatigue, chest pain or near syncope.</w:t>
            </w:r>
          </w:p>
          <w:p w14:paraId="0E1DD59D" w14:textId="77777777" w:rsidR="00462974" w:rsidRPr="00DE3ABD" w:rsidRDefault="00462974" w:rsidP="001F2CF5">
            <w:pPr>
              <w:spacing w:beforeLines="120" w:before="288" w:after="120"/>
              <w:ind w:left="147" w:right="147"/>
              <w:rPr>
                <w:rFonts w:ascii="Arial" w:hAnsi="Arial" w:cs="Arial"/>
                <w:sz w:val="20"/>
                <w:szCs w:val="20"/>
              </w:rPr>
            </w:pPr>
            <w:r w:rsidRPr="00DE3ABD">
              <w:rPr>
                <w:rFonts w:ascii="Arial" w:hAnsi="Arial" w:cs="Arial"/>
                <w:sz w:val="20"/>
                <w:szCs w:val="20"/>
              </w:rPr>
              <w:t>Class III – Patients with pulmonary hypertension resulting in marked limitation of physical activity. They are comfortable at rest. Less than ordinary activity causes undue dyspnoea or fatigue, chest pain or near syncope.</w:t>
            </w:r>
          </w:p>
          <w:p w14:paraId="29989D50" w14:textId="77777777" w:rsidR="00462974" w:rsidRDefault="00462974" w:rsidP="001F2CF5">
            <w:pPr>
              <w:spacing w:beforeLines="120" w:before="288" w:after="120"/>
              <w:ind w:left="147" w:right="147"/>
            </w:pPr>
            <w:r w:rsidRPr="00DE3ABD">
              <w:rPr>
                <w:rFonts w:ascii="Arial" w:hAnsi="Arial" w:cs="Arial"/>
                <w:sz w:val="20"/>
                <w:szCs w:val="20"/>
              </w:rPr>
              <w:t xml:space="preserve">Class IV – Patients with pulmonary hypertension with inability to carry out any physical activity without symptoms. These patients manifest signs of right heart failure. Dyspnoea and/or fatigue may even be present at rest. Discomfort </w:t>
            </w:r>
            <w:proofErr w:type="gramStart"/>
            <w:r w:rsidRPr="00DE3ABD">
              <w:rPr>
                <w:rFonts w:ascii="Arial" w:hAnsi="Arial" w:cs="Arial"/>
                <w:sz w:val="20"/>
                <w:szCs w:val="20"/>
              </w:rPr>
              <w:t>is increased</w:t>
            </w:r>
            <w:proofErr w:type="gramEnd"/>
            <w:r w:rsidRPr="00DE3ABD">
              <w:rPr>
                <w:rFonts w:ascii="Arial" w:hAnsi="Arial" w:cs="Arial"/>
                <w:sz w:val="20"/>
                <w:szCs w:val="20"/>
              </w:rPr>
              <w:t xml:space="preserve"> by any physical activity.</w:t>
            </w:r>
          </w:p>
        </w:tc>
      </w:tr>
    </w:tbl>
    <w:p w14:paraId="15CD4B1C" w14:textId="77777777" w:rsidR="00462974" w:rsidRPr="002E566F" w:rsidRDefault="00462974" w:rsidP="00121658">
      <w:pPr>
        <w:spacing w:before="0" w:after="120" w:line="240" w:lineRule="auto"/>
        <w:rPr>
          <w:rFonts w:ascii="Arial" w:hAnsi="Arial" w:cs="Arial"/>
          <w:sz w:val="16"/>
          <w:szCs w:val="16"/>
        </w:rPr>
      </w:pPr>
      <w:r w:rsidRPr="002E566F">
        <w:rPr>
          <w:rFonts w:ascii="Arial" w:hAnsi="Arial" w:cs="Arial"/>
          <w:sz w:val="16"/>
          <w:szCs w:val="16"/>
        </w:rPr>
        <w:t xml:space="preserve">Source: </w:t>
      </w:r>
      <w:proofErr w:type="spellStart"/>
      <w:r w:rsidRPr="002E566F">
        <w:rPr>
          <w:rFonts w:ascii="Arial" w:hAnsi="Arial" w:cs="Arial"/>
          <w:sz w:val="16"/>
          <w:szCs w:val="16"/>
        </w:rPr>
        <w:t>Galie</w:t>
      </w:r>
      <w:proofErr w:type="spellEnd"/>
      <w:r w:rsidRPr="002E566F">
        <w:rPr>
          <w:rFonts w:ascii="Arial" w:hAnsi="Arial" w:cs="Arial"/>
          <w:sz w:val="16"/>
          <w:szCs w:val="16"/>
        </w:rPr>
        <w:t xml:space="preserve"> et al 2015</w:t>
      </w:r>
      <w:r w:rsidR="009C556B" w:rsidRPr="002E566F">
        <w:rPr>
          <w:rFonts w:ascii="Arial" w:hAnsi="Arial" w:cs="Arial"/>
          <w:noProof/>
          <w:sz w:val="16"/>
          <w:szCs w:val="16"/>
          <w:vertAlign w:val="superscript"/>
        </w:rPr>
        <w:t>8</w:t>
      </w:r>
    </w:p>
    <w:p w14:paraId="7FC72206" w14:textId="77777777" w:rsidR="00BC5581" w:rsidRPr="00252749" w:rsidRDefault="00BC5581" w:rsidP="00121658">
      <w:pPr>
        <w:pStyle w:val="Heading3"/>
        <w:numPr>
          <w:ilvl w:val="0"/>
          <w:numId w:val="0"/>
        </w:numPr>
      </w:pPr>
      <w:bookmarkStart w:id="41" w:name="_Toc38377490"/>
      <w:r w:rsidRPr="00252749">
        <w:t>B.4.4</w:t>
      </w:r>
      <w:r w:rsidRPr="00252749">
        <w:tab/>
      </w:r>
      <w:r w:rsidR="009101A0" w:rsidRPr="00252749">
        <w:t xml:space="preserve"> </w:t>
      </w:r>
      <w:r w:rsidRPr="00252749">
        <w:t>Description of the intervention</w:t>
      </w:r>
      <w:bookmarkEnd w:id="41"/>
    </w:p>
    <w:p w14:paraId="15712A82" w14:textId="77777777" w:rsidR="0004089D" w:rsidRPr="007F5708" w:rsidRDefault="00252749" w:rsidP="00121658">
      <w:pPr>
        <w:pStyle w:val="Heading4"/>
      </w:pPr>
      <w:r>
        <w:t>B.4.4.1</w:t>
      </w:r>
      <w:r w:rsidR="009101A0" w:rsidRPr="007F5708">
        <w:t xml:space="preserve"> </w:t>
      </w:r>
      <w:r w:rsidR="0004089D" w:rsidRPr="007F5708">
        <w:t>Pharmacological management of PAH</w:t>
      </w:r>
    </w:p>
    <w:p w14:paraId="3178671D" w14:textId="77777777" w:rsidR="004B312F" w:rsidRPr="00FC25C7" w:rsidRDefault="006C589F" w:rsidP="00121658">
      <w:pPr>
        <w:pStyle w:val="BodyTextnospacebefore"/>
      </w:pPr>
      <w:r w:rsidRPr="00252749">
        <w:t>In the past, medicines such as anticoagulants</w:t>
      </w:r>
      <w:r w:rsidR="004B312F" w:rsidRPr="00252749">
        <w:t xml:space="preserve"> (e.g. warfarin</w:t>
      </w:r>
      <w:r w:rsidR="004B312F" w:rsidRPr="00FC25C7">
        <w:t>), vasodilators (e.g. calcium channel blockers)</w:t>
      </w:r>
      <w:r w:rsidR="00AC2A2B" w:rsidRPr="00FC25C7">
        <w:t>, digoxin,</w:t>
      </w:r>
      <w:r w:rsidR="004B312F" w:rsidRPr="00FC25C7">
        <w:t xml:space="preserve"> </w:t>
      </w:r>
      <w:r w:rsidRPr="00FC25C7">
        <w:t xml:space="preserve">diuretics </w:t>
      </w:r>
      <w:r w:rsidR="00AC2A2B" w:rsidRPr="00FC25C7">
        <w:t xml:space="preserve">and supportive care such as </w:t>
      </w:r>
      <w:r w:rsidRPr="00FC25C7">
        <w:t xml:space="preserve">supplemental oxygen </w:t>
      </w:r>
      <w:proofErr w:type="gramStart"/>
      <w:r w:rsidR="00AC2A2B" w:rsidRPr="00FC25C7">
        <w:t xml:space="preserve">were </w:t>
      </w:r>
      <w:r w:rsidR="00502F2A" w:rsidRPr="00FC25C7">
        <w:t>prescribed</w:t>
      </w:r>
      <w:proofErr w:type="gramEnd"/>
      <w:r w:rsidR="00502F2A" w:rsidRPr="00FC25C7">
        <w:t xml:space="preserve"> </w:t>
      </w:r>
      <w:r w:rsidRPr="00FC25C7">
        <w:t>as specific treatments for PAH</w:t>
      </w:r>
      <w:r w:rsidR="004B312F" w:rsidRPr="00FC25C7">
        <w:t>.</w:t>
      </w:r>
      <w:r w:rsidRPr="00FC25C7">
        <w:t xml:space="preserve"> </w:t>
      </w:r>
      <w:r w:rsidR="007F5708" w:rsidRPr="00FC25C7">
        <w:t xml:space="preserve">While </w:t>
      </w:r>
      <w:r w:rsidRPr="00FC25C7">
        <w:t xml:space="preserve">still </w:t>
      </w:r>
      <w:proofErr w:type="gramStart"/>
      <w:r w:rsidRPr="00FC25C7">
        <w:t>described</w:t>
      </w:r>
      <w:proofErr w:type="gramEnd"/>
      <w:r w:rsidRPr="00FC25C7">
        <w:t xml:space="preserve"> as supportive treatment in PAH literature </w:t>
      </w:r>
      <w:r w:rsidR="008E3E65" w:rsidRPr="00FC25C7">
        <w:t xml:space="preserve">to manage PAH and </w:t>
      </w:r>
      <w:r w:rsidR="007F5708" w:rsidRPr="00FC25C7">
        <w:t xml:space="preserve">associated </w:t>
      </w:r>
      <w:r w:rsidR="008E3E65" w:rsidRPr="00FC25C7">
        <w:t xml:space="preserve">symptoms, </w:t>
      </w:r>
      <w:r w:rsidR="00B66E09" w:rsidRPr="00FC25C7">
        <w:t xml:space="preserve">and unlike targeted PAH medicines, </w:t>
      </w:r>
      <w:r w:rsidR="00640F5B">
        <w:t xml:space="preserve">these medicines </w:t>
      </w:r>
      <w:r w:rsidR="007F5708" w:rsidRPr="00FC25C7">
        <w:t xml:space="preserve">have broader uses and are not TGA approved/PBS-listed specifically </w:t>
      </w:r>
      <w:r w:rsidRPr="00FC25C7">
        <w:t xml:space="preserve">for </w:t>
      </w:r>
      <w:r w:rsidR="007F5708" w:rsidRPr="00FC25C7">
        <w:t>treatment of PAH.</w:t>
      </w:r>
    </w:p>
    <w:p w14:paraId="73188B9D" w14:textId="77777777" w:rsidR="006C589F" w:rsidRPr="00252749" w:rsidRDefault="006C589F" w:rsidP="00121658">
      <w:pPr>
        <w:pStyle w:val="BodyTextnospacebefore"/>
      </w:pPr>
      <w:r w:rsidRPr="00FC25C7">
        <w:t xml:space="preserve">Calcium channel blockers such as diltiazem, or </w:t>
      </w:r>
      <w:proofErr w:type="spellStart"/>
      <w:r w:rsidRPr="00FC25C7">
        <w:t>dihydropyridine</w:t>
      </w:r>
      <w:proofErr w:type="spellEnd"/>
      <w:r w:rsidRPr="00FC25C7">
        <w:t xml:space="preserve"> derivatives (mainly </w:t>
      </w:r>
      <w:proofErr w:type="spellStart"/>
      <w:r w:rsidRPr="00FC25C7">
        <w:t>nifedipine</w:t>
      </w:r>
      <w:proofErr w:type="spellEnd"/>
      <w:r w:rsidRPr="00FC25C7">
        <w:t xml:space="preserve">) were in common use for PAH before </w:t>
      </w:r>
      <w:r w:rsidR="004B312F" w:rsidRPr="00FC25C7">
        <w:t xml:space="preserve">targeted </w:t>
      </w:r>
      <w:r w:rsidRPr="00FC25C7">
        <w:t>PAH medicines became available (see for example the 2004 PAH European guideline</w:t>
      </w:r>
      <w:r w:rsidR="009C556B" w:rsidRPr="00FC25C7">
        <w:rPr>
          <w:noProof/>
          <w:vertAlign w:val="superscript"/>
        </w:rPr>
        <w:t>10</w:t>
      </w:r>
      <w:r w:rsidRPr="00FC25C7">
        <w:t>) and continue to be indicated as vasodilators</w:t>
      </w:r>
      <w:r w:rsidRPr="00252749">
        <w:t xml:space="preserve"> for a small sub-set of PAH patients.</w:t>
      </w:r>
    </w:p>
    <w:p w14:paraId="0FB0FC33" w14:textId="77777777" w:rsidR="004B312F" w:rsidRDefault="004B312F" w:rsidP="00121658">
      <w:pPr>
        <w:pStyle w:val="Heading4"/>
      </w:pPr>
      <w:r>
        <w:t>B.4.4.2</w:t>
      </w:r>
      <w:r w:rsidR="009101A0">
        <w:t xml:space="preserve"> </w:t>
      </w:r>
      <w:r w:rsidR="00502F2A">
        <w:t xml:space="preserve">Targeted </w:t>
      </w:r>
      <w:r>
        <w:t>PAH</w:t>
      </w:r>
      <w:r w:rsidR="00502F2A">
        <w:t xml:space="preserve"> medicines</w:t>
      </w:r>
    </w:p>
    <w:p w14:paraId="13C7F53D" w14:textId="77777777" w:rsidR="006C589F" w:rsidRPr="007F5708" w:rsidRDefault="006C589F" w:rsidP="00121658">
      <w:pPr>
        <w:pStyle w:val="BodyTextnospacebefore"/>
      </w:pPr>
      <w:r w:rsidRPr="007F5708">
        <w:t xml:space="preserve">Targeted PAH medicines </w:t>
      </w:r>
      <w:r w:rsidR="00135335" w:rsidRPr="007F5708">
        <w:rPr>
          <w:rFonts w:cstheme="minorHAnsi"/>
        </w:rPr>
        <w:t xml:space="preserve">(PAH agents, PAH therapies) </w:t>
      </w:r>
      <w:r w:rsidRPr="007F5708">
        <w:t>belong to four therapeutic</w:t>
      </w:r>
      <w:r w:rsidR="00502F2A" w:rsidRPr="007F5708">
        <w:t xml:space="preserve"> </w:t>
      </w:r>
      <w:r w:rsidRPr="007F5708">
        <w:t>classes based on the medicine’s mode of action:</w:t>
      </w:r>
    </w:p>
    <w:p w14:paraId="7917EE49" w14:textId="77777777" w:rsidR="006C589F" w:rsidRPr="007F5708" w:rsidRDefault="006C589F" w:rsidP="00121658">
      <w:pPr>
        <w:pStyle w:val="Heading5"/>
        <w:numPr>
          <w:ilvl w:val="4"/>
          <w:numId w:val="0"/>
        </w:numPr>
        <w:jc w:val="left"/>
        <w:rPr>
          <w:rFonts w:asciiTheme="minorHAnsi" w:hAnsiTheme="minorHAnsi"/>
        </w:rPr>
      </w:pPr>
      <w:r w:rsidRPr="007F5708">
        <w:rPr>
          <w:rFonts w:asciiTheme="minorHAnsi" w:hAnsiTheme="minorHAnsi"/>
        </w:rPr>
        <w:t>Endothelin Receptor Antagonists</w:t>
      </w:r>
    </w:p>
    <w:p w14:paraId="261D7183" w14:textId="77777777" w:rsidR="00124A0B" w:rsidRDefault="006C589F" w:rsidP="00121658">
      <w:pPr>
        <w:pStyle w:val="BodyTextnospacebefore"/>
      </w:pPr>
      <w:r w:rsidRPr="007F5708" w:rsidDel="009101A0">
        <w:t xml:space="preserve">Bosentan, macitentan and ambrisentan are </w:t>
      </w:r>
      <w:r w:rsidRPr="007F5708">
        <w:t>endothelin receptor antagonists (</w:t>
      </w:r>
      <w:r w:rsidRPr="007F5708" w:rsidDel="009101A0">
        <w:t>ERAs</w:t>
      </w:r>
      <w:r w:rsidRPr="007F5708">
        <w:t>)</w:t>
      </w:r>
      <w:r w:rsidRPr="007F5708" w:rsidDel="009101A0">
        <w:t xml:space="preserve">. An </w:t>
      </w:r>
      <w:r w:rsidRPr="007F5708">
        <w:t>ERA reverses the effect of endothelin, a substance in the walls of blood vessels that causes them to narrow.</w:t>
      </w:r>
      <w:r w:rsidR="009101A0" w:rsidRPr="007F5708">
        <w:t xml:space="preserve"> </w:t>
      </w:r>
      <w:r w:rsidRPr="007F5708">
        <w:t>Bosentan was one of the first PAH-specific medicines on the market in both Australia and overseas,</w:t>
      </w:r>
      <w:r w:rsidR="009101A0" w:rsidRPr="007F5708">
        <w:t xml:space="preserve"> </w:t>
      </w:r>
      <w:proofErr w:type="gramStart"/>
      <w:r w:rsidRPr="007F5708">
        <w:t>and also</w:t>
      </w:r>
      <w:proofErr w:type="gramEnd"/>
      <w:r w:rsidRPr="007F5708">
        <w:t xml:space="preserve"> the first PAH medicine available as a </w:t>
      </w:r>
      <w:r w:rsidRPr="00252749">
        <w:t xml:space="preserve">tablet. </w:t>
      </w:r>
      <w:proofErr w:type="gramStart"/>
      <w:r w:rsidRPr="00252749">
        <w:t xml:space="preserve">Another ERA, </w:t>
      </w:r>
      <w:proofErr w:type="spellStart"/>
      <w:r w:rsidRPr="00252749">
        <w:t>sitaxentan</w:t>
      </w:r>
      <w:proofErr w:type="spellEnd"/>
      <w:r w:rsidRPr="00252749">
        <w:t xml:space="preserve"> (</w:t>
      </w:r>
      <w:proofErr w:type="spellStart"/>
      <w:r w:rsidRPr="00252749">
        <w:t>Thelin</w:t>
      </w:r>
      <w:proofErr w:type="spellEnd"/>
      <w:r w:rsidR="00252749" w:rsidRPr="00252749">
        <w:t>®</w:t>
      </w:r>
      <w:r w:rsidRPr="00252749">
        <w:t>)</w:t>
      </w:r>
      <w:r w:rsidR="009101A0" w:rsidRPr="00252749">
        <w:t>,</w:t>
      </w:r>
      <w:r w:rsidRPr="00252749">
        <w:t xml:space="preserve"> was withdrawn globally by Pfizer</w:t>
      </w:r>
      <w:proofErr w:type="gramEnd"/>
      <w:r w:rsidRPr="00252749">
        <w:t xml:space="preserve"> in 2010 due to reported cases of acute liver failure</w:t>
      </w:r>
      <w:r w:rsidR="009C556B" w:rsidRPr="009C556B">
        <w:rPr>
          <w:noProof/>
          <w:vertAlign w:val="superscript"/>
        </w:rPr>
        <w:t>11</w:t>
      </w:r>
      <w:r w:rsidR="00124A0B" w:rsidRPr="00252749">
        <w:t>.</w:t>
      </w:r>
    </w:p>
    <w:p w14:paraId="52988654" w14:textId="77777777" w:rsidR="006C589F" w:rsidRPr="007F5708" w:rsidRDefault="006C589F" w:rsidP="00121658">
      <w:pPr>
        <w:pStyle w:val="Heading5"/>
        <w:numPr>
          <w:ilvl w:val="4"/>
          <w:numId w:val="0"/>
        </w:numPr>
        <w:jc w:val="left"/>
        <w:rPr>
          <w:rFonts w:asciiTheme="minorHAnsi" w:hAnsiTheme="minorHAnsi"/>
        </w:rPr>
      </w:pPr>
      <w:r w:rsidRPr="007F5708">
        <w:rPr>
          <w:rFonts w:asciiTheme="minorHAnsi" w:hAnsiTheme="minorHAnsi"/>
        </w:rPr>
        <w:t>Phosphodiesterase type 5 inhibitors</w:t>
      </w:r>
    </w:p>
    <w:p w14:paraId="40663941" w14:textId="77777777" w:rsidR="006C589F" w:rsidRPr="00252749" w:rsidRDefault="006C589F" w:rsidP="00121658">
      <w:pPr>
        <w:pStyle w:val="BodyTextnospacebefore"/>
      </w:pPr>
      <w:r w:rsidRPr="00252749">
        <w:t xml:space="preserve">Sildenafil and tadalafil are phosphodiesterase type </w:t>
      </w:r>
      <w:proofErr w:type="gramStart"/>
      <w:r w:rsidRPr="00252749">
        <w:t>5</w:t>
      </w:r>
      <w:proofErr w:type="gramEnd"/>
      <w:r w:rsidRPr="00252749">
        <w:t xml:space="preserve"> (PDE</w:t>
      </w:r>
      <w:r w:rsidRPr="00252749">
        <w:noBreakHyphen/>
        <w:t>5) inhibitors</w:t>
      </w:r>
      <w:r w:rsidR="00252749" w:rsidRPr="00252749">
        <w:t xml:space="preserve">. </w:t>
      </w:r>
      <w:r w:rsidRPr="00252749" w:rsidDel="009101A0">
        <w:t>A PDE</w:t>
      </w:r>
      <w:r w:rsidR="004575B0" w:rsidRPr="00252749">
        <w:t>-</w:t>
      </w:r>
      <w:r w:rsidRPr="00252749" w:rsidDel="009101A0">
        <w:t xml:space="preserve">5 inhibitor works by opening the blood vessels in the lungs to allow blood to flow through more easily. </w:t>
      </w:r>
      <w:r w:rsidRPr="00252749">
        <w:t>The advent of PDE</w:t>
      </w:r>
      <w:r w:rsidRPr="00252749">
        <w:noBreakHyphen/>
        <w:t>5 inhibitors for PAH treatment introduced a second class of oral agents in addition to ERAs</w:t>
      </w:r>
      <w:r w:rsidR="00252749">
        <w:t>,</w:t>
      </w:r>
      <w:r w:rsidRPr="00252749">
        <w:t xml:space="preserve"> </w:t>
      </w:r>
      <w:r w:rsidRPr="00252749">
        <w:lastRenderedPageBreak/>
        <w:t>but with comparatively fewer toxicity issues. Sildenafil and tadalafil are marketed as brands specific for PAH (</w:t>
      </w:r>
      <w:proofErr w:type="spellStart"/>
      <w:r w:rsidRPr="00252749">
        <w:t>Revatio</w:t>
      </w:r>
      <w:r w:rsidR="00252749" w:rsidRPr="00252749">
        <w:t>®</w:t>
      </w:r>
      <w:r w:rsidRPr="00252749">
        <w:t>and</w:t>
      </w:r>
      <w:proofErr w:type="spellEnd"/>
      <w:r w:rsidRPr="00252749">
        <w:t xml:space="preserve"> </w:t>
      </w:r>
      <w:proofErr w:type="spellStart"/>
      <w:r w:rsidRPr="00252749">
        <w:t>Adcirca</w:t>
      </w:r>
      <w:proofErr w:type="spellEnd"/>
      <w:r w:rsidR="00252749" w:rsidRPr="00252749">
        <w:t>®</w:t>
      </w:r>
      <w:r w:rsidRPr="00252749">
        <w:t xml:space="preserve">, respectively) to distinguish </w:t>
      </w:r>
      <w:r w:rsidR="00AD580C" w:rsidRPr="00252749">
        <w:t xml:space="preserve">them </w:t>
      </w:r>
      <w:r w:rsidRPr="00252749">
        <w:t>from those registered for erectile dysfunction (Viagra</w:t>
      </w:r>
      <w:r w:rsidR="00252749" w:rsidRPr="00252749">
        <w:t>®</w:t>
      </w:r>
      <w:r w:rsidRPr="00252749">
        <w:t xml:space="preserve"> and Cialis</w:t>
      </w:r>
      <w:r w:rsidR="00252749" w:rsidRPr="00252749">
        <w:t>®</w:t>
      </w:r>
      <w:r w:rsidRPr="00252749">
        <w:t xml:space="preserve">). The strengths and pack sizes are different for </w:t>
      </w:r>
      <w:proofErr w:type="spellStart"/>
      <w:r w:rsidRPr="00252749">
        <w:t>Revatio</w:t>
      </w:r>
      <w:proofErr w:type="spellEnd"/>
      <w:r w:rsidR="00252749" w:rsidRPr="00252749">
        <w:t>®</w:t>
      </w:r>
      <w:r w:rsidRPr="00252749">
        <w:t xml:space="preserve"> and </w:t>
      </w:r>
      <w:proofErr w:type="spellStart"/>
      <w:r w:rsidRPr="00252749">
        <w:t>Adcirca</w:t>
      </w:r>
      <w:proofErr w:type="spellEnd"/>
      <w:r w:rsidR="00252749" w:rsidRPr="00252749">
        <w:t>®</w:t>
      </w:r>
      <w:r w:rsidRPr="00252749">
        <w:t xml:space="preserve"> compared to </w:t>
      </w:r>
      <w:proofErr w:type="spellStart"/>
      <w:r w:rsidRPr="00252749">
        <w:t>Viagra</w:t>
      </w:r>
      <w:r w:rsidR="00252749" w:rsidRPr="00252749">
        <w:t>®</w:t>
      </w:r>
      <w:r w:rsidRPr="00252749">
        <w:t>and</w:t>
      </w:r>
      <w:proofErr w:type="spellEnd"/>
      <w:r w:rsidRPr="00252749">
        <w:t xml:space="preserve"> Cialis</w:t>
      </w:r>
      <w:r w:rsidR="00252749" w:rsidRPr="00252749">
        <w:t>®</w:t>
      </w:r>
      <w:r w:rsidRPr="00252749">
        <w:t xml:space="preserve">. The same separation of brands and indications also applies to the generic versions registered for each molecule. An injectable form of sildenafil </w:t>
      </w:r>
      <w:proofErr w:type="gramStart"/>
      <w:r w:rsidRPr="00252749">
        <w:t>is registered</w:t>
      </w:r>
      <w:proofErr w:type="gramEnd"/>
      <w:r w:rsidRPr="00252749">
        <w:t xml:space="preserve"> in Australia for use in PAH patients but is not PBS-listed.</w:t>
      </w:r>
    </w:p>
    <w:p w14:paraId="2CAF4C4E" w14:textId="77777777" w:rsidR="006C589F" w:rsidRPr="007F5708" w:rsidRDefault="006C589F" w:rsidP="00121658">
      <w:pPr>
        <w:pStyle w:val="Heading5"/>
        <w:numPr>
          <w:ilvl w:val="4"/>
          <w:numId w:val="0"/>
        </w:numPr>
        <w:jc w:val="left"/>
        <w:rPr>
          <w:rFonts w:asciiTheme="minorHAnsi" w:hAnsiTheme="minorHAnsi"/>
        </w:rPr>
      </w:pPr>
      <w:r w:rsidRPr="004C66FF">
        <w:rPr>
          <w:rFonts w:asciiTheme="minorHAnsi" w:hAnsiTheme="minorHAnsi"/>
        </w:rPr>
        <w:t>Prostanoids</w:t>
      </w:r>
    </w:p>
    <w:p w14:paraId="5C0F1012" w14:textId="77777777" w:rsidR="006C589F" w:rsidRPr="00252749" w:rsidRDefault="006C589F" w:rsidP="00121658">
      <w:pPr>
        <w:pStyle w:val="BodyTextnospacebefore"/>
      </w:pPr>
      <w:r w:rsidRPr="00252749">
        <w:t xml:space="preserve">Iloprost and epoprostenol are </w:t>
      </w:r>
      <w:r w:rsidR="004C66FF" w:rsidRPr="00252749">
        <w:t xml:space="preserve">prostanoids </w:t>
      </w:r>
      <w:r w:rsidRPr="00252749">
        <w:t xml:space="preserve">(or </w:t>
      </w:r>
      <w:r w:rsidR="004C66FF" w:rsidRPr="00252749">
        <w:t>prostacyclin analogues</w:t>
      </w:r>
      <w:r w:rsidRPr="00252749">
        <w:t xml:space="preserve">). </w:t>
      </w:r>
      <w:r w:rsidRPr="00252749" w:rsidDel="009101A0">
        <w:t xml:space="preserve">A </w:t>
      </w:r>
      <w:r w:rsidR="004C66FF">
        <w:t>prostanoid</w:t>
      </w:r>
      <w:r w:rsidRPr="00252749" w:rsidDel="009101A0">
        <w:t xml:space="preserve"> exerts its effects by promoting direct arterial vasodilation and inhibiting platelet aggregation. </w:t>
      </w:r>
      <w:r w:rsidRPr="00252749">
        <w:t xml:space="preserve">The prostanoids epoprostenol and iloprost are </w:t>
      </w:r>
      <w:proofErr w:type="gramStart"/>
      <w:r w:rsidRPr="00252749">
        <w:t>short-acting</w:t>
      </w:r>
      <w:proofErr w:type="gramEnd"/>
      <w:r w:rsidRPr="00252749">
        <w:t xml:space="preserve"> which necessitates continuous administration via infusion and </w:t>
      </w:r>
      <w:r w:rsidR="007B2088">
        <w:t xml:space="preserve">frequent </w:t>
      </w:r>
      <w:r w:rsidRPr="00252749">
        <w:t>nebu</w:t>
      </w:r>
      <w:r w:rsidR="00BB0922">
        <w:t>lisation respectively.</w:t>
      </w:r>
    </w:p>
    <w:p w14:paraId="48E8642C" w14:textId="77777777" w:rsidR="00AD580C" w:rsidRPr="00252749" w:rsidRDefault="006C589F" w:rsidP="00121658">
      <w:pPr>
        <w:pStyle w:val="BodyTextnospacebefore"/>
      </w:pPr>
      <w:r w:rsidRPr="00252749">
        <w:t xml:space="preserve">These features of delivery </w:t>
      </w:r>
      <w:proofErr w:type="gramStart"/>
      <w:r w:rsidRPr="00252749">
        <w:t>are considered</w:t>
      </w:r>
      <w:proofErr w:type="gramEnd"/>
      <w:r w:rsidRPr="00252749">
        <w:t xml:space="preserve"> inconvenient by prescribers and patients</w:t>
      </w:r>
      <w:r w:rsidR="007B2088">
        <w:t>. There is</w:t>
      </w:r>
      <w:r w:rsidRPr="00252749">
        <w:t xml:space="preserve"> reportedly limited use of epoprostenol and iloprost in Australia</w:t>
      </w:r>
      <w:r w:rsidR="009C556B" w:rsidRPr="009C556B">
        <w:rPr>
          <w:noProof/>
          <w:vertAlign w:val="superscript"/>
        </w:rPr>
        <w:t>12-14</w:t>
      </w:r>
      <w:r w:rsidRPr="00252749">
        <w:t xml:space="preserve"> and of </w:t>
      </w:r>
      <w:proofErr w:type="spellStart"/>
      <w:r w:rsidRPr="00252749">
        <w:t>prostacyclins</w:t>
      </w:r>
      <w:proofErr w:type="spellEnd"/>
      <w:r w:rsidRPr="00252749">
        <w:t xml:space="preserve"> </w:t>
      </w:r>
      <w:r w:rsidR="009101A0" w:rsidRPr="00252749">
        <w:t xml:space="preserve">available </w:t>
      </w:r>
      <w:r w:rsidRPr="00252749">
        <w:t>overseas</w:t>
      </w:r>
      <w:r w:rsidR="009C556B">
        <w:rPr>
          <w:noProof/>
          <w:vertAlign w:val="superscript"/>
        </w:rPr>
        <w:t>15</w:t>
      </w:r>
      <w:r w:rsidR="00BB4FAE" w:rsidRPr="00252749">
        <w:t>.</w:t>
      </w:r>
      <w:r w:rsidR="009101A0" w:rsidRPr="00252749">
        <w:t xml:space="preserve"> </w:t>
      </w:r>
      <w:proofErr w:type="spellStart"/>
      <w:r w:rsidR="00BB4FAE" w:rsidRPr="00252749">
        <w:t>T</w:t>
      </w:r>
      <w:r w:rsidRPr="00252749">
        <w:t>reprostinil</w:t>
      </w:r>
      <w:proofErr w:type="spellEnd"/>
      <w:r w:rsidRPr="00252749">
        <w:t xml:space="preserve"> </w:t>
      </w:r>
      <w:proofErr w:type="gramStart"/>
      <w:r w:rsidRPr="00252749">
        <w:t>was recommended</w:t>
      </w:r>
      <w:proofErr w:type="gramEnd"/>
      <w:r w:rsidRPr="00252749">
        <w:t xml:space="preserve"> for PBS listing by the PBAC in November 2005, but was never listed and was withdrawn from</w:t>
      </w:r>
      <w:r w:rsidR="00BB0922">
        <w:t xml:space="preserve"> the Australian market in 2016.</w:t>
      </w:r>
    </w:p>
    <w:p w14:paraId="1657B977" w14:textId="77777777" w:rsidR="006C589F" w:rsidRPr="00252749" w:rsidRDefault="006C589F" w:rsidP="00121658">
      <w:pPr>
        <w:pStyle w:val="BodyTextnospacebefore"/>
      </w:pPr>
      <w:r w:rsidRPr="00751282">
        <w:t>Selexipag</w:t>
      </w:r>
      <w:r w:rsidR="00AD580C" w:rsidRPr="00751282">
        <w:t xml:space="preserve">, which </w:t>
      </w:r>
      <w:proofErr w:type="gramStart"/>
      <w:r w:rsidR="00AD580C" w:rsidRPr="00751282">
        <w:t>is currently not listed</w:t>
      </w:r>
      <w:proofErr w:type="gramEnd"/>
      <w:r w:rsidR="00AD580C" w:rsidRPr="00751282">
        <w:t xml:space="preserve"> on the PBS,</w:t>
      </w:r>
      <w:r w:rsidRPr="00751282">
        <w:t xml:space="preserve"> acts on the same pathway as the prostanoids but is a non-prostanoid</w:t>
      </w:r>
      <w:r w:rsidR="00BB0922" w:rsidRPr="00751282">
        <w:t xml:space="preserve"> prostacyclin receptor agonist.</w:t>
      </w:r>
      <w:r w:rsidR="00DE3ABD" w:rsidRPr="00751282">
        <w:t xml:space="preserve"> </w:t>
      </w:r>
      <w:r w:rsidR="004D652A" w:rsidRPr="00751282">
        <w:t xml:space="preserve">The PBAC </w:t>
      </w:r>
      <w:r w:rsidR="00FB3840" w:rsidRPr="00751282">
        <w:t>rejected</w:t>
      </w:r>
      <w:r w:rsidR="004D652A" w:rsidRPr="00751282">
        <w:t xml:space="preserve"> </w:t>
      </w:r>
      <w:r w:rsidR="00BF1C38" w:rsidRPr="00751282">
        <w:t>submissions</w:t>
      </w:r>
      <w:r w:rsidR="004D652A" w:rsidRPr="00751282">
        <w:t xml:space="preserve"> for PBS listing of selexipag in March 2016 and in March 2017.</w:t>
      </w:r>
    </w:p>
    <w:p w14:paraId="3E72B6AA" w14:textId="77777777" w:rsidR="008E3E65" w:rsidRPr="00252749" w:rsidRDefault="006C589F" w:rsidP="00121658">
      <w:pPr>
        <w:pStyle w:val="Heading5"/>
        <w:numPr>
          <w:ilvl w:val="4"/>
          <w:numId w:val="0"/>
        </w:numPr>
        <w:jc w:val="left"/>
        <w:rPr>
          <w:rFonts w:asciiTheme="minorHAnsi" w:hAnsiTheme="minorHAnsi"/>
        </w:rPr>
      </w:pPr>
      <w:r w:rsidRPr="00252749">
        <w:rPr>
          <w:rFonts w:asciiTheme="minorHAnsi" w:hAnsiTheme="minorHAnsi"/>
        </w:rPr>
        <w:t>Guanylate cyclase stimulator</w:t>
      </w:r>
    </w:p>
    <w:p w14:paraId="51D66695" w14:textId="77777777" w:rsidR="008E3E65" w:rsidRDefault="008E3E65" w:rsidP="00121658">
      <w:pPr>
        <w:pStyle w:val="BodyTextnospacebefore"/>
        <w:rPr>
          <w:rFonts w:cstheme="minorHAnsi"/>
        </w:rPr>
      </w:pPr>
      <w:r w:rsidRPr="007F5708">
        <w:t>Riociguat is</w:t>
      </w:r>
      <w:r w:rsidRPr="007F5708">
        <w:rPr>
          <w:rFonts w:cstheme="minorHAnsi"/>
        </w:rPr>
        <w:t xml:space="preserve"> a s</w:t>
      </w:r>
      <w:r w:rsidRPr="007F5708">
        <w:t>oluble guanylate cyclase (</w:t>
      </w:r>
      <w:proofErr w:type="spellStart"/>
      <w:r w:rsidRPr="007F5708">
        <w:t>sGC</w:t>
      </w:r>
      <w:proofErr w:type="spellEnd"/>
      <w:r w:rsidRPr="007F5708">
        <w:t xml:space="preserve">) stimulator. A </w:t>
      </w:r>
      <w:proofErr w:type="spellStart"/>
      <w:r w:rsidRPr="007F5708">
        <w:t>sGC</w:t>
      </w:r>
      <w:proofErr w:type="spellEnd"/>
      <w:r w:rsidRPr="007F5708">
        <w:t xml:space="preserve"> stimulator </w:t>
      </w:r>
      <w:r w:rsidR="00BF1C38">
        <w:t xml:space="preserve">increases the activity of guanylate cyclase, which </w:t>
      </w:r>
      <w:r w:rsidRPr="007F5708">
        <w:t xml:space="preserve">interacts with nitric oxide </w:t>
      </w:r>
      <w:r w:rsidR="00BF1C38">
        <w:t xml:space="preserve">in the lungs and other parts of the body and leads to an increased production </w:t>
      </w:r>
      <w:r w:rsidR="00FB3840">
        <w:t xml:space="preserve">of </w:t>
      </w:r>
      <w:r w:rsidR="00BF1C38">
        <w:t>cyclic guanosine monophosphate. This</w:t>
      </w:r>
      <w:r w:rsidRPr="007F5708">
        <w:t xml:space="preserve"> help</w:t>
      </w:r>
      <w:r w:rsidR="0067706D">
        <w:t>s</w:t>
      </w:r>
      <w:r w:rsidRPr="007F5708">
        <w:t xml:space="preserve"> </w:t>
      </w:r>
      <w:r w:rsidR="00BF1C38">
        <w:t xml:space="preserve">to </w:t>
      </w:r>
      <w:r w:rsidRPr="007F5708">
        <w:t>relax the pulmonary arteries and lower the pressure within the arteries.</w:t>
      </w:r>
      <w:r w:rsidRPr="007F5708">
        <w:rPr>
          <w:rFonts w:cstheme="minorHAnsi"/>
        </w:rPr>
        <w:t xml:space="preserve"> Riociguat is the most recently listed medicine for PAH on the PBS.</w:t>
      </w:r>
    </w:p>
    <w:p w14:paraId="292A3F44" w14:textId="77777777" w:rsidR="00726B95" w:rsidRPr="00D14716" w:rsidRDefault="00726B95" w:rsidP="00D14716">
      <w:pPr>
        <w:pStyle w:val="Heading5"/>
        <w:numPr>
          <w:ilvl w:val="4"/>
          <w:numId w:val="0"/>
        </w:numPr>
        <w:jc w:val="left"/>
        <w:rPr>
          <w:rFonts w:asciiTheme="minorHAnsi" w:hAnsiTheme="minorHAnsi"/>
        </w:rPr>
      </w:pPr>
      <w:r w:rsidRPr="00D14716">
        <w:rPr>
          <w:rFonts w:asciiTheme="minorHAnsi" w:hAnsiTheme="minorHAnsi"/>
        </w:rPr>
        <w:t>Calcium channel blockers</w:t>
      </w:r>
    </w:p>
    <w:p w14:paraId="54C9E513" w14:textId="77777777" w:rsidR="00726B95" w:rsidRPr="009F466A" w:rsidRDefault="00043292" w:rsidP="00D14716">
      <w:pPr>
        <w:pStyle w:val="BodyTextnospacebefore"/>
      </w:pPr>
      <w:r>
        <w:t>In addition to the four classes of targeted PAH medicines above, c</w:t>
      </w:r>
      <w:r w:rsidR="00726B95">
        <w:t>alcium channel blockers</w:t>
      </w:r>
      <w:r>
        <w:t xml:space="preserve"> (CCBs)</w:t>
      </w:r>
      <w:r w:rsidR="00726B95">
        <w:t xml:space="preserve"> are effective in a small number of patients with </w:t>
      </w:r>
      <w:r w:rsidR="00726B95" w:rsidRPr="00D94C73">
        <w:t>IPAH, HPAH and</w:t>
      </w:r>
      <w:r w:rsidR="00726B95">
        <w:t xml:space="preserve"> drug-induced PAH who demonstrate a response to acute vasodilator testing.</w:t>
      </w:r>
    </w:p>
    <w:p w14:paraId="6065EDC8" w14:textId="77777777" w:rsidR="00AD5787" w:rsidRPr="00252749" w:rsidRDefault="001E7149" w:rsidP="00121658">
      <w:pPr>
        <w:pStyle w:val="Heading4"/>
      </w:pPr>
      <w:r w:rsidRPr="00252749">
        <w:t xml:space="preserve">B.4.4.3 </w:t>
      </w:r>
      <w:r w:rsidR="00AD5787" w:rsidRPr="00252749">
        <w:t>PAH medicines registered for use in Australia</w:t>
      </w:r>
    </w:p>
    <w:p w14:paraId="415FF05E" w14:textId="77777777" w:rsidR="00D5183F" w:rsidRPr="00B66E09" w:rsidRDefault="00E7158A" w:rsidP="00121658">
      <w:pPr>
        <w:pStyle w:val="BodyTextnospacebefore"/>
      </w:pPr>
      <w:r w:rsidRPr="00B66E09">
        <w:t xml:space="preserve">The </w:t>
      </w:r>
      <w:r w:rsidR="0004089D" w:rsidRPr="00B66E09">
        <w:t xml:space="preserve">PAH medicines </w:t>
      </w:r>
      <w:r w:rsidR="00AF5F91" w:rsidRPr="00B66E09">
        <w:t>currently</w:t>
      </w:r>
      <w:r w:rsidR="00462974" w:rsidRPr="00B66E09">
        <w:t xml:space="preserve"> </w:t>
      </w:r>
      <w:r w:rsidR="0004089D" w:rsidRPr="00B66E09">
        <w:t xml:space="preserve">approved </w:t>
      </w:r>
      <w:r w:rsidR="00AF5F91" w:rsidRPr="00B66E09">
        <w:t xml:space="preserve">for use </w:t>
      </w:r>
      <w:r w:rsidR="0004089D" w:rsidRPr="00B66E09">
        <w:t xml:space="preserve">in Australia are listed </w:t>
      </w:r>
      <w:r w:rsidR="0004089D" w:rsidRPr="00252749">
        <w:t>in</w:t>
      </w:r>
      <w:r w:rsidR="004510EE" w:rsidRPr="00252749">
        <w:t xml:space="preserve"> </w:t>
      </w:r>
      <w:r w:rsidR="00505D99">
        <w:t>Table B.</w:t>
      </w:r>
      <w:r w:rsidR="00505D99">
        <w:rPr>
          <w:noProof/>
        </w:rPr>
        <w:t>3</w:t>
      </w:r>
      <w:r w:rsidR="00AD580C" w:rsidRPr="00252749" w:rsidDel="00AD580C">
        <w:t xml:space="preserve"> </w:t>
      </w:r>
      <w:r w:rsidR="00A52827" w:rsidRPr="00252749">
        <w:t>(g</w:t>
      </w:r>
      <w:r w:rsidR="00A52827" w:rsidRPr="00B66E09">
        <w:t xml:space="preserve">rouped by therapeutic class). </w:t>
      </w:r>
      <w:r w:rsidR="00AF5F91" w:rsidRPr="00B66E09">
        <w:t>With the exception of the prostanoids (epoprostenol and iloprost), t</w:t>
      </w:r>
      <w:r w:rsidR="005C51EE" w:rsidRPr="00B66E09">
        <w:t>he</w:t>
      </w:r>
      <w:r w:rsidR="00D226C6" w:rsidRPr="00B66E09">
        <w:t>se</w:t>
      </w:r>
      <w:r w:rsidR="005C51EE" w:rsidRPr="00B66E09">
        <w:t xml:space="preserve"> medicines </w:t>
      </w:r>
      <w:r w:rsidR="0004089D" w:rsidRPr="00B66E09">
        <w:t xml:space="preserve">are oral dosage forms (tablets). </w:t>
      </w:r>
      <w:r w:rsidR="00AD580C" w:rsidRPr="00B66E09">
        <w:t>Any r</w:t>
      </w:r>
      <w:r w:rsidR="000E7B29" w:rsidRPr="00B66E09">
        <w:t xml:space="preserve">eference to </w:t>
      </w:r>
      <w:r w:rsidR="00D5183F" w:rsidRPr="00B66E09">
        <w:t>‘oral PAH medicines’</w:t>
      </w:r>
      <w:r w:rsidR="000E7B29" w:rsidRPr="00B66E09">
        <w:t xml:space="preserve"> in this report does not include</w:t>
      </w:r>
      <w:r w:rsidR="00D5183F" w:rsidRPr="00B66E09">
        <w:t xml:space="preserve"> the oral </w:t>
      </w:r>
      <w:r w:rsidR="00252749">
        <w:t>prostanoids available overseas.</w:t>
      </w:r>
    </w:p>
    <w:p w14:paraId="18951068" w14:textId="77777777" w:rsidR="00A52827" w:rsidRPr="00252749" w:rsidRDefault="006A1196" w:rsidP="00121658">
      <w:pPr>
        <w:pStyle w:val="BodyTextnospacebefore"/>
      </w:pPr>
      <w:r w:rsidRPr="00252749">
        <w:t>Further d</w:t>
      </w:r>
      <w:r w:rsidR="00A52827" w:rsidRPr="00252749">
        <w:t xml:space="preserve">etails of registered brands, sponsors and Australian Register of Therapeutic Goods (ARTG) registration dates for PAH medicines </w:t>
      </w:r>
      <w:proofErr w:type="gramStart"/>
      <w:r w:rsidR="00A52827" w:rsidRPr="00252749">
        <w:t>are listed</w:t>
      </w:r>
      <w:proofErr w:type="gramEnd"/>
      <w:r w:rsidR="00A52827" w:rsidRPr="00252749">
        <w:t xml:space="preserve"> in </w:t>
      </w:r>
      <w:r w:rsidR="00505D99">
        <w:t>Appendix 1.</w:t>
      </w:r>
      <w:r w:rsidR="00A52827" w:rsidRPr="00123B2E">
        <w:t xml:space="preserve"> (</w:t>
      </w:r>
      <w:r w:rsidR="00505D99" w:rsidRPr="00F319D3">
        <w:t>Table B.</w:t>
      </w:r>
      <w:r w:rsidR="00505D99">
        <w:t>7</w:t>
      </w:r>
      <w:r w:rsidR="00A52827" w:rsidRPr="00123B2E">
        <w:t>). The</w:t>
      </w:r>
      <w:r w:rsidR="00A52827" w:rsidRPr="00252749">
        <w:t xml:space="preserve"> </w:t>
      </w:r>
      <w:r w:rsidRPr="00252749">
        <w:t xml:space="preserve">TGA registered indications extracted from the </w:t>
      </w:r>
      <w:r w:rsidR="00AD580C" w:rsidRPr="00252749">
        <w:t>P</w:t>
      </w:r>
      <w:r w:rsidRPr="00252749">
        <w:t xml:space="preserve">roduct </w:t>
      </w:r>
      <w:r w:rsidR="00AD580C" w:rsidRPr="00252749">
        <w:t>I</w:t>
      </w:r>
      <w:r w:rsidRPr="00252749">
        <w:t xml:space="preserve">nformation </w:t>
      </w:r>
      <w:r w:rsidR="00AD580C" w:rsidRPr="00252749">
        <w:t xml:space="preserve">(PI) </w:t>
      </w:r>
      <w:r w:rsidRPr="00252749">
        <w:t xml:space="preserve">for </w:t>
      </w:r>
      <w:r w:rsidR="00A52827" w:rsidRPr="00252749">
        <w:t xml:space="preserve">PAH </w:t>
      </w:r>
      <w:r w:rsidRPr="00252749">
        <w:t xml:space="preserve">medicines </w:t>
      </w:r>
      <w:proofErr w:type="gramStart"/>
      <w:r w:rsidR="00A52827" w:rsidRPr="00252749">
        <w:t xml:space="preserve">are </w:t>
      </w:r>
      <w:r w:rsidR="00A52827" w:rsidRPr="00123B2E">
        <w:t>presented</w:t>
      </w:r>
      <w:proofErr w:type="gramEnd"/>
      <w:r w:rsidR="00A52827" w:rsidRPr="00123B2E">
        <w:t xml:space="preserve"> in</w:t>
      </w:r>
      <w:r w:rsidR="007F0E02">
        <w:t xml:space="preserve"> Table 1.14</w:t>
      </w:r>
      <w:r w:rsidR="00A52827" w:rsidRPr="00123B2E">
        <w:t>.</w:t>
      </w:r>
    </w:p>
    <w:p w14:paraId="29A3197C" w14:textId="77777777" w:rsidR="00A52827" w:rsidRPr="00B66E09" w:rsidRDefault="002223F1" w:rsidP="00121658">
      <w:pPr>
        <w:pStyle w:val="BodyTextnospacebefore"/>
      </w:pPr>
      <w:r w:rsidRPr="00B66E09">
        <w:lastRenderedPageBreak/>
        <w:t>In addition</w:t>
      </w:r>
      <w:r w:rsidR="00600DE1" w:rsidRPr="00B66E09">
        <w:t xml:space="preserve"> to PBS listed PAH medicines</w:t>
      </w:r>
      <w:r w:rsidRPr="00B66E09">
        <w:t>,</w:t>
      </w:r>
      <w:r w:rsidR="00A52827" w:rsidRPr="00B66E09">
        <w:t xml:space="preserve"> information is included where relevant for </w:t>
      </w:r>
      <w:proofErr w:type="spellStart"/>
      <w:r w:rsidR="00A52827" w:rsidRPr="00B66E09">
        <w:t>treprostinil</w:t>
      </w:r>
      <w:proofErr w:type="spellEnd"/>
      <w:r w:rsidR="00A52827" w:rsidRPr="00B66E09">
        <w:t xml:space="preserve"> (previously recommended by the PBAC but never listed) and selexipag (recently consider</w:t>
      </w:r>
      <w:r w:rsidR="0012341F">
        <w:t>ed by PBAC but twice rejected).</w:t>
      </w:r>
    </w:p>
    <w:p w14:paraId="71156A42" w14:textId="77777777" w:rsidR="00A52827" w:rsidRPr="00697F84" w:rsidRDefault="00A52827" w:rsidP="00121658">
      <w:pPr>
        <w:pStyle w:val="BodyTextnospacebefore"/>
        <w:sectPr w:rsidR="00A52827" w:rsidRPr="00697F84" w:rsidSect="00833844">
          <w:headerReference w:type="even" r:id="rId13"/>
          <w:headerReference w:type="default" r:id="rId14"/>
          <w:footerReference w:type="default" r:id="rId15"/>
          <w:headerReference w:type="first" r:id="rId16"/>
          <w:footnotePr>
            <w:numFmt w:val="chicago"/>
          </w:footnotePr>
          <w:pgSz w:w="11906" w:h="16838"/>
          <w:pgMar w:top="1134" w:right="1134" w:bottom="1134" w:left="1134" w:header="709" w:footer="709" w:gutter="0"/>
          <w:pgNumType w:start="1"/>
          <w:cols w:space="708"/>
          <w:titlePg/>
          <w:docGrid w:linePitch="360"/>
        </w:sectPr>
      </w:pPr>
    </w:p>
    <w:bookmarkEnd w:id="34"/>
    <w:bookmarkEnd w:id="35"/>
    <w:p w14:paraId="5D9A595D" w14:textId="77777777" w:rsidR="00EC7581" w:rsidRPr="007151BC" w:rsidRDefault="00EC7581" w:rsidP="00121658">
      <w:pPr>
        <w:pStyle w:val="BodyText"/>
        <w:jc w:val="left"/>
        <w:rPr>
          <w:rFonts w:ascii="Calibri" w:hAnsi="Calibri"/>
          <w:sz w:val="4"/>
        </w:rPr>
      </w:pPr>
    </w:p>
    <w:p w14:paraId="05633A80" w14:textId="77777777" w:rsidR="00CA30EE" w:rsidRDefault="00CA30EE" w:rsidP="00D14982">
      <w:pPr>
        <w:pStyle w:val="ToR1TableHeader"/>
      </w:pPr>
      <w:bookmarkStart w:id="42" w:name="_Ref510019558"/>
      <w:bookmarkStart w:id="43" w:name="_Toc29377240"/>
      <w:r>
        <w:t>Table B.</w:t>
      </w:r>
      <w:r w:rsidR="00505D99">
        <w:rPr>
          <w:noProof/>
        </w:rPr>
        <w:t>3</w:t>
      </w:r>
      <w:bookmarkEnd w:id="42"/>
      <w:r>
        <w:tab/>
      </w:r>
      <w:proofErr w:type="gramStart"/>
      <w:r w:rsidRPr="00252749">
        <w:t>PAH</w:t>
      </w:r>
      <w:proofErr w:type="gramEnd"/>
      <w:r w:rsidRPr="00252749">
        <w:t xml:space="preserve"> medicines TGA registered in Australia</w:t>
      </w:r>
      <w:bookmarkEnd w:id="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bottom w:w="28" w:type="dxa"/>
          <w:right w:w="28" w:type="dxa"/>
        </w:tblCellMar>
        <w:tblLook w:val="04A0" w:firstRow="1" w:lastRow="0" w:firstColumn="1" w:lastColumn="0" w:noHBand="0" w:noVBand="1"/>
        <w:tblCaption w:val="PAH medicines registered in Australia "/>
      </w:tblPr>
      <w:tblGrid>
        <w:gridCol w:w="1344"/>
        <w:gridCol w:w="1334"/>
        <w:gridCol w:w="1034"/>
        <w:gridCol w:w="2411"/>
        <w:gridCol w:w="4901"/>
        <w:gridCol w:w="1899"/>
        <w:gridCol w:w="1637"/>
      </w:tblGrid>
      <w:tr w:rsidR="003622EF" w:rsidRPr="00252749" w14:paraId="5FD5F3D7" w14:textId="77777777" w:rsidTr="00CD6C47">
        <w:trPr>
          <w:tblHeader/>
        </w:trPr>
        <w:tc>
          <w:tcPr>
            <w:tcW w:w="462" w:type="pct"/>
            <w:tcBorders>
              <w:bottom w:val="single" w:sz="4" w:space="0" w:color="auto"/>
            </w:tcBorders>
            <w:shd w:val="clear" w:color="auto" w:fill="BFBFBF"/>
            <w:vAlign w:val="center"/>
          </w:tcPr>
          <w:p w14:paraId="4AC801B0" w14:textId="77777777" w:rsidR="00EC7581" w:rsidRPr="00BF1C38" w:rsidRDefault="00EC7581" w:rsidP="00121658">
            <w:pPr>
              <w:pStyle w:val="02TableHEADINGcentred"/>
              <w:ind w:left="0"/>
              <w:jc w:val="left"/>
              <w:rPr>
                <w:rFonts w:ascii="Arial" w:hAnsi="Arial" w:cs="Arial"/>
                <w:sz w:val="20"/>
                <w:szCs w:val="20"/>
              </w:rPr>
            </w:pPr>
            <w:r w:rsidRPr="00BF1C38">
              <w:rPr>
                <w:rFonts w:ascii="Arial" w:hAnsi="Arial" w:cs="Arial"/>
                <w:sz w:val="20"/>
                <w:szCs w:val="20"/>
              </w:rPr>
              <w:t>Non-proprietary Name</w:t>
            </w:r>
          </w:p>
        </w:tc>
        <w:tc>
          <w:tcPr>
            <w:tcW w:w="458" w:type="pct"/>
            <w:tcBorders>
              <w:bottom w:val="single" w:sz="4" w:space="0" w:color="auto"/>
            </w:tcBorders>
            <w:shd w:val="clear" w:color="auto" w:fill="BFBFBF"/>
            <w:vAlign w:val="center"/>
          </w:tcPr>
          <w:p w14:paraId="75F597D3" w14:textId="77777777" w:rsidR="00EC7581" w:rsidRPr="00BF1C38" w:rsidRDefault="00EC7581" w:rsidP="00121658">
            <w:pPr>
              <w:pStyle w:val="02TableHEADINGcentred"/>
              <w:ind w:left="0"/>
              <w:jc w:val="left"/>
              <w:rPr>
                <w:rFonts w:ascii="Arial" w:hAnsi="Arial" w:cs="Arial"/>
                <w:sz w:val="20"/>
                <w:szCs w:val="20"/>
              </w:rPr>
            </w:pPr>
            <w:r w:rsidRPr="00BF1C38">
              <w:rPr>
                <w:rFonts w:ascii="Arial" w:hAnsi="Arial" w:cs="Arial"/>
                <w:sz w:val="20"/>
                <w:szCs w:val="20"/>
              </w:rPr>
              <w:t>Therapeutic class</w:t>
            </w:r>
          </w:p>
        </w:tc>
        <w:tc>
          <w:tcPr>
            <w:tcW w:w="355" w:type="pct"/>
            <w:tcBorders>
              <w:bottom w:val="single" w:sz="4" w:space="0" w:color="auto"/>
            </w:tcBorders>
            <w:shd w:val="clear" w:color="auto" w:fill="BFBFBF"/>
            <w:vAlign w:val="center"/>
          </w:tcPr>
          <w:p w14:paraId="69CE6027" w14:textId="77777777" w:rsidR="00EC7581" w:rsidRPr="00BF1C38" w:rsidRDefault="00EC7581" w:rsidP="00121658">
            <w:pPr>
              <w:pStyle w:val="02TableHEADINGcentred"/>
              <w:ind w:left="0"/>
              <w:jc w:val="left"/>
              <w:rPr>
                <w:rFonts w:ascii="Arial" w:hAnsi="Arial" w:cs="Arial"/>
                <w:sz w:val="20"/>
                <w:szCs w:val="20"/>
              </w:rPr>
            </w:pPr>
            <w:r w:rsidRPr="00BF1C38">
              <w:rPr>
                <w:rFonts w:ascii="Arial" w:hAnsi="Arial" w:cs="Arial"/>
                <w:sz w:val="20"/>
                <w:szCs w:val="20"/>
              </w:rPr>
              <w:t>ATC</w:t>
            </w:r>
          </w:p>
        </w:tc>
        <w:tc>
          <w:tcPr>
            <w:tcW w:w="828" w:type="pct"/>
            <w:tcBorders>
              <w:bottom w:val="single" w:sz="4" w:space="0" w:color="auto"/>
            </w:tcBorders>
            <w:shd w:val="clear" w:color="auto" w:fill="BFBFBF"/>
            <w:vAlign w:val="center"/>
          </w:tcPr>
          <w:p w14:paraId="2D4BA497" w14:textId="77777777" w:rsidR="00EC7581" w:rsidRPr="00BF1C38" w:rsidRDefault="00EC7581" w:rsidP="00121658">
            <w:pPr>
              <w:pStyle w:val="02TableHEADINGcentred"/>
              <w:ind w:left="0"/>
              <w:jc w:val="left"/>
              <w:rPr>
                <w:rFonts w:ascii="Arial" w:hAnsi="Arial" w:cs="Arial"/>
                <w:sz w:val="20"/>
                <w:szCs w:val="20"/>
              </w:rPr>
            </w:pPr>
            <w:r w:rsidRPr="00BF1C38">
              <w:rPr>
                <w:rFonts w:ascii="Arial" w:hAnsi="Arial" w:cs="Arial"/>
                <w:sz w:val="20"/>
                <w:szCs w:val="20"/>
              </w:rPr>
              <w:t>Dosage Forms</w:t>
            </w:r>
          </w:p>
        </w:tc>
        <w:tc>
          <w:tcPr>
            <w:tcW w:w="1683" w:type="pct"/>
            <w:tcBorders>
              <w:bottom w:val="single" w:sz="4" w:space="0" w:color="auto"/>
            </w:tcBorders>
            <w:shd w:val="clear" w:color="auto" w:fill="BFBFBF"/>
            <w:vAlign w:val="center"/>
          </w:tcPr>
          <w:p w14:paraId="49F60853" w14:textId="77777777" w:rsidR="00EC7581" w:rsidRPr="00BF1C38" w:rsidRDefault="00EC7581" w:rsidP="00121658">
            <w:pPr>
              <w:pStyle w:val="02TableHEADINGcentred"/>
              <w:ind w:left="0"/>
              <w:jc w:val="left"/>
              <w:rPr>
                <w:rFonts w:ascii="Arial" w:hAnsi="Arial" w:cs="Arial"/>
                <w:sz w:val="20"/>
                <w:szCs w:val="20"/>
              </w:rPr>
            </w:pPr>
            <w:r w:rsidRPr="00BF1C38">
              <w:rPr>
                <w:rFonts w:ascii="Arial" w:hAnsi="Arial" w:cs="Arial"/>
                <w:sz w:val="20"/>
                <w:szCs w:val="20"/>
              </w:rPr>
              <w:t>PI Recommended Dosage</w:t>
            </w:r>
          </w:p>
        </w:tc>
        <w:tc>
          <w:tcPr>
            <w:tcW w:w="652" w:type="pct"/>
            <w:tcBorders>
              <w:bottom w:val="single" w:sz="4" w:space="0" w:color="auto"/>
            </w:tcBorders>
            <w:shd w:val="clear" w:color="auto" w:fill="BFBFBF"/>
            <w:vAlign w:val="center"/>
          </w:tcPr>
          <w:p w14:paraId="7EAA3F53" w14:textId="77777777" w:rsidR="00EC7581" w:rsidRPr="00BF1C38" w:rsidRDefault="00EC7581" w:rsidP="00121658">
            <w:pPr>
              <w:pStyle w:val="02TableHEADINGcentred"/>
              <w:ind w:left="0"/>
              <w:jc w:val="left"/>
              <w:rPr>
                <w:rFonts w:ascii="Arial" w:hAnsi="Arial" w:cs="Arial"/>
                <w:sz w:val="20"/>
                <w:szCs w:val="20"/>
              </w:rPr>
            </w:pPr>
            <w:r w:rsidRPr="00BF1C38">
              <w:rPr>
                <w:rFonts w:ascii="Arial" w:hAnsi="Arial" w:cs="Arial"/>
                <w:sz w:val="20"/>
                <w:szCs w:val="20"/>
              </w:rPr>
              <w:t>Route of admin.</w:t>
            </w:r>
          </w:p>
        </w:tc>
        <w:tc>
          <w:tcPr>
            <w:tcW w:w="562" w:type="pct"/>
            <w:tcBorders>
              <w:bottom w:val="single" w:sz="4" w:space="0" w:color="auto"/>
            </w:tcBorders>
            <w:shd w:val="clear" w:color="auto" w:fill="BFBFBF"/>
            <w:vAlign w:val="center"/>
          </w:tcPr>
          <w:p w14:paraId="644C57EC" w14:textId="77777777" w:rsidR="00EC7581" w:rsidRPr="00BF1C38" w:rsidRDefault="00EC7581" w:rsidP="00121658">
            <w:pPr>
              <w:pStyle w:val="02TableHEADINGcentred"/>
              <w:ind w:left="0"/>
              <w:jc w:val="left"/>
              <w:rPr>
                <w:rFonts w:ascii="Arial" w:hAnsi="Arial" w:cs="Arial"/>
                <w:sz w:val="20"/>
                <w:szCs w:val="20"/>
              </w:rPr>
            </w:pPr>
            <w:r w:rsidRPr="00BF1C38">
              <w:rPr>
                <w:rFonts w:ascii="Arial" w:hAnsi="Arial" w:cs="Arial"/>
                <w:sz w:val="20"/>
                <w:szCs w:val="20"/>
              </w:rPr>
              <w:t xml:space="preserve">ARTG </w:t>
            </w:r>
            <w:proofErr w:type="spellStart"/>
            <w:r w:rsidRPr="00BF1C38">
              <w:rPr>
                <w:rFonts w:ascii="Arial" w:hAnsi="Arial" w:cs="Arial"/>
                <w:sz w:val="20"/>
                <w:szCs w:val="20"/>
              </w:rPr>
              <w:t>Date</w:t>
            </w:r>
            <w:r w:rsidRPr="00BF1C38">
              <w:rPr>
                <w:rFonts w:ascii="Arial" w:hAnsi="Arial" w:cs="Arial"/>
                <w:sz w:val="20"/>
                <w:szCs w:val="20"/>
                <w:vertAlign w:val="superscript"/>
              </w:rPr>
              <w:t>a</w:t>
            </w:r>
            <w:proofErr w:type="spellEnd"/>
          </w:p>
        </w:tc>
      </w:tr>
      <w:tr w:rsidR="00CD6C47" w:rsidRPr="00CD6C47" w14:paraId="2DFA10BF" w14:textId="77777777" w:rsidTr="00CD6C47">
        <w:tc>
          <w:tcPr>
            <w:tcW w:w="5000" w:type="pct"/>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F869A8" w14:textId="77777777" w:rsidR="00CD6C47" w:rsidRPr="00CD6C47" w:rsidRDefault="00CD6C47" w:rsidP="00121658">
            <w:pPr>
              <w:pStyle w:val="04Tablesubheading"/>
              <w:ind w:left="0"/>
              <w:rPr>
                <w:rFonts w:ascii="Arial" w:hAnsi="Arial" w:cs="Arial"/>
                <w:sz w:val="20"/>
                <w:szCs w:val="20"/>
              </w:rPr>
            </w:pPr>
            <w:r w:rsidRPr="00CD6C47">
              <w:rPr>
                <w:rFonts w:ascii="Arial" w:hAnsi="Arial" w:cs="Arial"/>
                <w:sz w:val="20"/>
                <w:szCs w:val="20"/>
              </w:rPr>
              <w:t>Endothelin receptor antagonists</w:t>
            </w:r>
          </w:p>
        </w:tc>
      </w:tr>
      <w:tr w:rsidR="003622EF" w:rsidRPr="00252749" w14:paraId="03F4D3C4" w14:textId="77777777" w:rsidTr="00CD6C47">
        <w:tc>
          <w:tcPr>
            <w:tcW w:w="462" w:type="pct"/>
            <w:tcBorders>
              <w:top w:val="single" w:sz="4" w:space="0" w:color="auto"/>
            </w:tcBorders>
            <w:shd w:val="clear" w:color="auto" w:fill="auto"/>
          </w:tcPr>
          <w:p w14:paraId="6D614A7F" w14:textId="77777777" w:rsidR="00EC7581" w:rsidRPr="00BF1C38" w:rsidRDefault="00EC7581" w:rsidP="00121658">
            <w:pPr>
              <w:pStyle w:val="05Tabletext"/>
              <w:spacing w:before="0"/>
              <w:ind w:left="0"/>
              <w:rPr>
                <w:rFonts w:ascii="Arial" w:hAnsi="Arial" w:cs="Arial"/>
                <w:sz w:val="20"/>
                <w:szCs w:val="20"/>
              </w:rPr>
            </w:pPr>
            <w:r w:rsidRPr="00BF1C38">
              <w:rPr>
                <w:rFonts w:ascii="Arial" w:hAnsi="Arial" w:cs="Arial"/>
                <w:sz w:val="20"/>
                <w:szCs w:val="20"/>
              </w:rPr>
              <w:t>Bosentan</w:t>
            </w:r>
          </w:p>
        </w:tc>
        <w:tc>
          <w:tcPr>
            <w:tcW w:w="458" w:type="pct"/>
            <w:tcBorders>
              <w:top w:val="single" w:sz="4" w:space="0" w:color="auto"/>
            </w:tcBorders>
            <w:shd w:val="clear" w:color="auto" w:fill="auto"/>
          </w:tcPr>
          <w:p w14:paraId="4873E58B" w14:textId="77777777" w:rsidR="00EC7581" w:rsidRPr="00BF1C38" w:rsidRDefault="00EC7581" w:rsidP="00121658">
            <w:pPr>
              <w:pStyle w:val="05Tabletext"/>
              <w:spacing w:before="0"/>
              <w:ind w:left="0"/>
              <w:rPr>
                <w:rFonts w:ascii="Arial" w:hAnsi="Arial" w:cs="Arial"/>
                <w:sz w:val="20"/>
                <w:szCs w:val="20"/>
              </w:rPr>
            </w:pPr>
            <w:r w:rsidRPr="00BF1C38">
              <w:rPr>
                <w:rFonts w:ascii="Arial" w:hAnsi="Arial" w:cs="Arial"/>
                <w:sz w:val="20"/>
                <w:szCs w:val="20"/>
              </w:rPr>
              <w:t>ERA</w:t>
            </w:r>
          </w:p>
        </w:tc>
        <w:tc>
          <w:tcPr>
            <w:tcW w:w="355" w:type="pct"/>
            <w:tcBorders>
              <w:top w:val="single" w:sz="4" w:space="0" w:color="auto"/>
            </w:tcBorders>
            <w:shd w:val="clear" w:color="auto" w:fill="auto"/>
          </w:tcPr>
          <w:p w14:paraId="2139E5A2" w14:textId="77777777" w:rsidR="00EC7581" w:rsidRPr="00BF1C38" w:rsidRDefault="00EC7581" w:rsidP="00121658">
            <w:pPr>
              <w:pStyle w:val="05Tabletext"/>
              <w:spacing w:before="0"/>
              <w:ind w:left="0"/>
              <w:rPr>
                <w:rFonts w:ascii="Arial" w:hAnsi="Arial" w:cs="Arial"/>
                <w:sz w:val="20"/>
                <w:szCs w:val="20"/>
              </w:rPr>
            </w:pPr>
            <w:r w:rsidRPr="00BF1C38">
              <w:rPr>
                <w:rFonts w:ascii="Arial" w:hAnsi="Arial" w:cs="Arial"/>
                <w:sz w:val="20"/>
                <w:szCs w:val="20"/>
              </w:rPr>
              <w:t>C02KX01</w:t>
            </w:r>
          </w:p>
        </w:tc>
        <w:tc>
          <w:tcPr>
            <w:tcW w:w="828" w:type="pct"/>
            <w:tcBorders>
              <w:top w:val="single" w:sz="4" w:space="0" w:color="auto"/>
            </w:tcBorders>
            <w:shd w:val="clear" w:color="auto" w:fill="auto"/>
          </w:tcPr>
          <w:p w14:paraId="452B2D0D" w14:textId="35DE2A93" w:rsidR="00EC7581" w:rsidRPr="00BF1C38" w:rsidRDefault="00EC7581" w:rsidP="00121658">
            <w:pPr>
              <w:pStyle w:val="05Tabletext"/>
              <w:spacing w:before="0"/>
              <w:ind w:left="0"/>
              <w:rPr>
                <w:rFonts w:ascii="Arial" w:hAnsi="Arial" w:cs="Arial"/>
                <w:sz w:val="20"/>
                <w:szCs w:val="20"/>
              </w:rPr>
            </w:pPr>
            <w:r w:rsidRPr="00BF1C38">
              <w:rPr>
                <w:rFonts w:ascii="Arial" w:hAnsi="Arial" w:cs="Arial"/>
                <w:sz w:val="20"/>
                <w:szCs w:val="20"/>
              </w:rPr>
              <w:t>62.5, 125</w:t>
            </w:r>
            <w:r w:rsidR="000C43DA">
              <w:rPr>
                <w:rFonts w:ascii="Arial" w:hAnsi="Arial" w:cs="Arial"/>
                <w:sz w:val="20"/>
                <w:szCs w:val="20"/>
              </w:rPr>
              <w:t> </w:t>
            </w:r>
            <w:r w:rsidRPr="00BF1C38">
              <w:rPr>
                <w:rFonts w:ascii="Arial" w:hAnsi="Arial" w:cs="Arial"/>
                <w:sz w:val="20"/>
                <w:szCs w:val="20"/>
              </w:rPr>
              <w:t>mg tablet</w:t>
            </w:r>
          </w:p>
        </w:tc>
        <w:tc>
          <w:tcPr>
            <w:tcW w:w="1683" w:type="pct"/>
            <w:tcBorders>
              <w:top w:val="single" w:sz="4" w:space="0" w:color="auto"/>
            </w:tcBorders>
            <w:shd w:val="clear" w:color="auto" w:fill="auto"/>
          </w:tcPr>
          <w:p w14:paraId="246C2437" w14:textId="77777777" w:rsidR="00EC7581" w:rsidRPr="00BF1C38" w:rsidRDefault="00EC7581" w:rsidP="00121658">
            <w:pPr>
              <w:pStyle w:val="05Tabletext"/>
              <w:spacing w:before="0"/>
              <w:ind w:left="0"/>
              <w:rPr>
                <w:rFonts w:ascii="Arial" w:hAnsi="Arial" w:cs="Arial"/>
                <w:sz w:val="20"/>
                <w:szCs w:val="20"/>
              </w:rPr>
            </w:pPr>
            <w:r w:rsidRPr="00BF1C38">
              <w:rPr>
                <w:rFonts w:ascii="Arial" w:hAnsi="Arial" w:cs="Arial"/>
                <w:sz w:val="20"/>
                <w:szCs w:val="20"/>
              </w:rPr>
              <w:t>Initial: 62.5 mg twice daily for 4 weeks</w:t>
            </w:r>
            <w:r w:rsidRPr="00BF1C38">
              <w:rPr>
                <w:rFonts w:ascii="Arial" w:hAnsi="Arial" w:cs="Arial"/>
                <w:sz w:val="20"/>
                <w:szCs w:val="20"/>
              </w:rPr>
              <w:br/>
              <w:t>Maintenance: 125 mg twice daily (dose adjustment for paediatric use)</w:t>
            </w:r>
          </w:p>
        </w:tc>
        <w:tc>
          <w:tcPr>
            <w:tcW w:w="652" w:type="pct"/>
            <w:tcBorders>
              <w:top w:val="single" w:sz="4" w:space="0" w:color="auto"/>
            </w:tcBorders>
            <w:shd w:val="clear" w:color="auto" w:fill="auto"/>
          </w:tcPr>
          <w:p w14:paraId="63B6194F" w14:textId="77777777" w:rsidR="00EC7581" w:rsidRPr="00BF1C38" w:rsidRDefault="00EC7581" w:rsidP="00121658">
            <w:pPr>
              <w:pStyle w:val="05Tabletext"/>
              <w:spacing w:before="0"/>
              <w:ind w:left="0"/>
              <w:rPr>
                <w:rFonts w:ascii="Arial" w:hAnsi="Arial" w:cs="Arial"/>
                <w:sz w:val="20"/>
                <w:szCs w:val="20"/>
              </w:rPr>
            </w:pPr>
            <w:r w:rsidRPr="00BF1C38">
              <w:rPr>
                <w:rFonts w:ascii="Arial" w:hAnsi="Arial" w:cs="Arial"/>
                <w:sz w:val="20"/>
                <w:szCs w:val="20"/>
              </w:rPr>
              <w:t>Oral</w:t>
            </w:r>
          </w:p>
        </w:tc>
        <w:tc>
          <w:tcPr>
            <w:tcW w:w="562" w:type="pct"/>
            <w:tcBorders>
              <w:top w:val="single" w:sz="4" w:space="0" w:color="auto"/>
            </w:tcBorders>
            <w:shd w:val="clear" w:color="auto" w:fill="auto"/>
          </w:tcPr>
          <w:p w14:paraId="5BF5E8E7" w14:textId="77777777" w:rsidR="00EC7581" w:rsidRPr="00BF1C38" w:rsidRDefault="00EC7581" w:rsidP="00121658">
            <w:pPr>
              <w:pStyle w:val="05Tabletext"/>
              <w:spacing w:before="0"/>
              <w:ind w:left="0"/>
              <w:rPr>
                <w:rFonts w:ascii="Arial" w:hAnsi="Arial" w:cs="Arial"/>
                <w:sz w:val="20"/>
                <w:szCs w:val="20"/>
                <w:highlight w:val="yellow"/>
              </w:rPr>
            </w:pPr>
            <w:r w:rsidRPr="00BF1C38">
              <w:rPr>
                <w:rFonts w:ascii="Arial" w:hAnsi="Arial" w:cs="Arial"/>
                <w:sz w:val="20"/>
                <w:szCs w:val="20"/>
              </w:rPr>
              <w:t>20 November 2002</w:t>
            </w:r>
          </w:p>
        </w:tc>
      </w:tr>
      <w:tr w:rsidR="003622EF" w:rsidRPr="00252749" w14:paraId="729CE7B3" w14:textId="77777777" w:rsidTr="00CD6C47">
        <w:tc>
          <w:tcPr>
            <w:tcW w:w="462" w:type="pct"/>
            <w:shd w:val="clear" w:color="auto" w:fill="auto"/>
            <w:vAlign w:val="center"/>
          </w:tcPr>
          <w:p w14:paraId="626CC49E" w14:textId="77777777" w:rsidR="00EC7581" w:rsidRPr="00BF1C38" w:rsidRDefault="00EC7581" w:rsidP="00121658">
            <w:pPr>
              <w:pStyle w:val="05Tabletext"/>
              <w:spacing w:before="0"/>
              <w:ind w:left="0"/>
              <w:rPr>
                <w:rFonts w:ascii="Arial" w:hAnsi="Arial" w:cs="Arial"/>
                <w:sz w:val="20"/>
                <w:szCs w:val="20"/>
              </w:rPr>
            </w:pPr>
            <w:proofErr w:type="spellStart"/>
            <w:r w:rsidRPr="00BF1C38">
              <w:rPr>
                <w:rFonts w:ascii="Arial" w:hAnsi="Arial" w:cs="Arial"/>
                <w:i/>
                <w:color w:val="808080" w:themeColor="background1" w:themeShade="80"/>
                <w:sz w:val="20"/>
                <w:szCs w:val="20"/>
              </w:rPr>
              <w:t>Sitaxentan</w:t>
            </w:r>
            <w:proofErr w:type="spellEnd"/>
          </w:p>
        </w:tc>
        <w:tc>
          <w:tcPr>
            <w:tcW w:w="458" w:type="pct"/>
            <w:shd w:val="clear" w:color="auto" w:fill="auto"/>
            <w:vAlign w:val="center"/>
          </w:tcPr>
          <w:p w14:paraId="01BFC701" w14:textId="77777777" w:rsidR="00EC7581" w:rsidRPr="00BF1C38" w:rsidRDefault="00EC7581" w:rsidP="00121658">
            <w:pPr>
              <w:pStyle w:val="05Tabletext"/>
              <w:spacing w:before="0"/>
              <w:ind w:left="0"/>
              <w:rPr>
                <w:rFonts w:ascii="Arial" w:hAnsi="Arial" w:cs="Arial"/>
                <w:sz w:val="20"/>
                <w:szCs w:val="20"/>
              </w:rPr>
            </w:pPr>
            <w:r w:rsidRPr="00BF1C38">
              <w:rPr>
                <w:rFonts w:ascii="Arial" w:hAnsi="Arial" w:cs="Arial"/>
                <w:i/>
                <w:color w:val="808080" w:themeColor="background1" w:themeShade="80"/>
                <w:sz w:val="20"/>
                <w:szCs w:val="20"/>
              </w:rPr>
              <w:t>ERA</w:t>
            </w:r>
          </w:p>
        </w:tc>
        <w:tc>
          <w:tcPr>
            <w:tcW w:w="355" w:type="pct"/>
            <w:shd w:val="clear" w:color="auto" w:fill="auto"/>
            <w:vAlign w:val="center"/>
          </w:tcPr>
          <w:p w14:paraId="35423087" w14:textId="77777777" w:rsidR="00EC7581" w:rsidRPr="00BF1C38" w:rsidRDefault="00EC7581" w:rsidP="00121658">
            <w:pPr>
              <w:pStyle w:val="05Tabletext"/>
              <w:spacing w:before="0"/>
              <w:ind w:left="0"/>
              <w:rPr>
                <w:rFonts w:ascii="Arial" w:hAnsi="Arial" w:cs="Arial"/>
                <w:sz w:val="20"/>
                <w:szCs w:val="20"/>
              </w:rPr>
            </w:pPr>
            <w:r w:rsidRPr="00BF1C38">
              <w:rPr>
                <w:rFonts w:ascii="Arial" w:hAnsi="Arial" w:cs="Arial"/>
                <w:i/>
                <w:color w:val="808080" w:themeColor="background1" w:themeShade="80"/>
                <w:sz w:val="20"/>
                <w:szCs w:val="20"/>
              </w:rPr>
              <w:t>C02KX03</w:t>
            </w:r>
          </w:p>
        </w:tc>
        <w:tc>
          <w:tcPr>
            <w:tcW w:w="828" w:type="pct"/>
            <w:shd w:val="clear" w:color="auto" w:fill="auto"/>
            <w:vAlign w:val="center"/>
          </w:tcPr>
          <w:p w14:paraId="474C899B" w14:textId="392BA226" w:rsidR="00EC7581" w:rsidRPr="00BF1C38" w:rsidRDefault="00EC7581" w:rsidP="00121658">
            <w:pPr>
              <w:pStyle w:val="05Tabletext"/>
              <w:spacing w:before="0"/>
              <w:ind w:left="0"/>
              <w:rPr>
                <w:rFonts w:ascii="Arial" w:hAnsi="Arial" w:cs="Arial"/>
                <w:sz w:val="20"/>
                <w:szCs w:val="20"/>
              </w:rPr>
            </w:pPr>
            <w:r w:rsidRPr="00BF1C38">
              <w:rPr>
                <w:rFonts w:ascii="Arial" w:hAnsi="Arial" w:cs="Arial"/>
                <w:i/>
                <w:color w:val="808080" w:themeColor="background1" w:themeShade="80"/>
                <w:sz w:val="20"/>
                <w:szCs w:val="20"/>
              </w:rPr>
              <w:t>100</w:t>
            </w:r>
            <w:r w:rsidR="00067504">
              <w:rPr>
                <w:rFonts w:ascii="Arial" w:hAnsi="Arial" w:cs="Arial"/>
                <w:i/>
                <w:color w:val="808080" w:themeColor="background1" w:themeShade="80"/>
                <w:sz w:val="20"/>
                <w:szCs w:val="20"/>
              </w:rPr>
              <w:t xml:space="preserve"> mg</w:t>
            </w:r>
            <w:r w:rsidRPr="00BF1C38">
              <w:rPr>
                <w:rFonts w:ascii="Arial" w:hAnsi="Arial" w:cs="Arial"/>
                <w:i/>
                <w:color w:val="808080" w:themeColor="background1" w:themeShade="80"/>
                <w:sz w:val="20"/>
                <w:szCs w:val="20"/>
              </w:rPr>
              <w:t xml:space="preserve"> tablet</w:t>
            </w:r>
          </w:p>
        </w:tc>
        <w:tc>
          <w:tcPr>
            <w:tcW w:w="1683" w:type="pct"/>
            <w:shd w:val="clear" w:color="auto" w:fill="auto"/>
            <w:vAlign w:val="center"/>
          </w:tcPr>
          <w:p w14:paraId="5E47D2A1" w14:textId="5EF6EAF2" w:rsidR="00EC7581" w:rsidRPr="00BF1C38" w:rsidRDefault="00EC7581" w:rsidP="00121658">
            <w:pPr>
              <w:pStyle w:val="05Tabletext"/>
              <w:spacing w:before="0"/>
              <w:ind w:left="0"/>
              <w:rPr>
                <w:rFonts w:ascii="Arial" w:hAnsi="Arial" w:cs="Arial"/>
                <w:sz w:val="20"/>
                <w:szCs w:val="20"/>
              </w:rPr>
            </w:pPr>
            <w:r w:rsidRPr="00BF1C38">
              <w:rPr>
                <w:rFonts w:ascii="Arial" w:hAnsi="Arial" w:cs="Arial"/>
                <w:i/>
                <w:color w:val="808080" w:themeColor="background1" w:themeShade="80"/>
                <w:sz w:val="20"/>
                <w:szCs w:val="20"/>
              </w:rPr>
              <w:t xml:space="preserve">No longer registered </w:t>
            </w:r>
            <w:r w:rsidRPr="00BF1C38">
              <w:rPr>
                <w:rFonts w:ascii="Arial" w:hAnsi="Arial" w:cs="Arial"/>
                <w:i/>
                <w:color w:val="808080" w:themeColor="background1" w:themeShade="80"/>
                <w:sz w:val="20"/>
                <w:szCs w:val="20"/>
              </w:rPr>
              <w:br/>
              <w:t>(100</w:t>
            </w:r>
            <w:r w:rsidR="00067504">
              <w:rPr>
                <w:rFonts w:ascii="Arial" w:hAnsi="Arial" w:cs="Arial"/>
                <w:i/>
                <w:color w:val="808080" w:themeColor="background1" w:themeShade="80"/>
                <w:sz w:val="20"/>
                <w:szCs w:val="20"/>
              </w:rPr>
              <w:t xml:space="preserve"> mg</w:t>
            </w:r>
            <w:r w:rsidRPr="00BF1C38">
              <w:rPr>
                <w:rFonts w:ascii="Arial" w:hAnsi="Arial" w:cs="Arial"/>
                <w:i/>
                <w:color w:val="808080" w:themeColor="background1" w:themeShade="80"/>
                <w:sz w:val="20"/>
                <w:szCs w:val="20"/>
              </w:rPr>
              <w:t xml:space="preserve"> per day – from </w:t>
            </w:r>
            <w:proofErr w:type="spellStart"/>
            <w:r w:rsidRPr="00BF1C38">
              <w:rPr>
                <w:rFonts w:ascii="Arial" w:hAnsi="Arial" w:cs="Arial"/>
                <w:i/>
                <w:color w:val="808080" w:themeColor="background1" w:themeShade="80"/>
                <w:sz w:val="20"/>
                <w:szCs w:val="20"/>
              </w:rPr>
              <w:t>sitaxentan</w:t>
            </w:r>
            <w:proofErr w:type="spellEnd"/>
            <w:r w:rsidRPr="00BF1C38">
              <w:rPr>
                <w:rFonts w:ascii="Arial" w:hAnsi="Arial" w:cs="Arial"/>
                <w:i/>
                <w:color w:val="808080" w:themeColor="background1" w:themeShade="80"/>
                <w:sz w:val="20"/>
                <w:szCs w:val="20"/>
              </w:rPr>
              <w:t xml:space="preserve"> PSD)</w:t>
            </w:r>
          </w:p>
        </w:tc>
        <w:tc>
          <w:tcPr>
            <w:tcW w:w="652" w:type="pct"/>
            <w:shd w:val="clear" w:color="auto" w:fill="auto"/>
            <w:vAlign w:val="center"/>
          </w:tcPr>
          <w:p w14:paraId="046843BB" w14:textId="77777777" w:rsidR="00EC7581" w:rsidRPr="00BF1C38" w:rsidRDefault="00EC7581" w:rsidP="00121658">
            <w:pPr>
              <w:pStyle w:val="05Tabletext"/>
              <w:spacing w:before="0"/>
              <w:ind w:left="0"/>
              <w:rPr>
                <w:rFonts w:ascii="Arial" w:hAnsi="Arial" w:cs="Arial"/>
                <w:sz w:val="20"/>
                <w:szCs w:val="20"/>
              </w:rPr>
            </w:pPr>
            <w:r w:rsidRPr="00BF1C38">
              <w:rPr>
                <w:rFonts w:ascii="Arial" w:hAnsi="Arial" w:cs="Arial"/>
                <w:i/>
                <w:color w:val="808080" w:themeColor="background1" w:themeShade="80"/>
                <w:sz w:val="20"/>
                <w:szCs w:val="20"/>
              </w:rPr>
              <w:t>Oral</w:t>
            </w:r>
          </w:p>
        </w:tc>
        <w:tc>
          <w:tcPr>
            <w:tcW w:w="562" w:type="pct"/>
            <w:shd w:val="clear" w:color="auto" w:fill="auto"/>
          </w:tcPr>
          <w:p w14:paraId="2EFB1D39" w14:textId="77777777" w:rsidR="00EC7581" w:rsidRPr="00BF1C38" w:rsidRDefault="00EC7581" w:rsidP="00121658">
            <w:pPr>
              <w:pStyle w:val="05Tabletext"/>
              <w:spacing w:before="0"/>
              <w:ind w:left="0"/>
              <w:rPr>
                <w:rFonts w:ascii="Arial" w:hAnsi="Arial" w:cs="Arial"/>
                <w:sz w:val="20"/>
                <w:szCs w:val="20"/>
              </w:rPr>
            </w:pPr>
            <w:r w:rsidRPr="00BF1C38">
              <w:rPr>
                <w:rFonts w:ascii="Arial" w:hAnsi="Arial" w:cs="Arial"/>
                <w:i/>
                <w:color w:val="808080" w:themeColor="background1" w:themeShade="80"/>
                <w:sz w:val="20"/>
                <w:szCs w:val="20"/>
              </w:rPr>
              <w:t>15 March 2007</w:t>
            </w:r>
            <w:r w:rsidRPr="00BF1C38">
              <w:rPr>
                <w:rFonts w:ascii="Arial" w:hAnsi="Arial" w:cs="Arial"/>
                <w:i/>
                <w:color w:val="808080" w:themeColor="background1" w:themeShade="80"/>
                <w:sz w:val="20"/>
                <w:szCs w:val="20"/>
              </w:rPr>
              <w:br/>
              <w:t>Withdrawn 10 December 2010</w:t>
            </w:r>
          </w:p>
        </w:tc>
      </w:tr>
      <w:tr w:rsidR="003622EF" w:rsidRPr="00252749" w14:paraId="01F78A49" w14:textId="77777777" w:rsidTr="00CD6C47">
        <w:tc>
          <w:tcPr>
            <w:tcW w:w="462" w:type="pct"/>
            <w:shd w:val="clear" w:color="auto" w:fill="auto"/>
          </w:tcPr>
          <w:p w14:paraId="0871AF9F" w14:textId="77777777" w:rsidR="00EC7581" w:rsidRPr="00BF1C38" w:rsidRDefault="00EC7581" w:rsidP="00121658">
            <w:pPr>
              <w:pStyle w:val="05Tabletext"/>
              <w:spacing w:before="0"/>
              <w:ind w:left="0"/>
              <w:rPr>
                <w:rFonts w:ascii="Arial" w:hAnsi="Arial" w:cs="Arial"/>
                <w:sz w:val="20"/>
                <w:szCs w:val="20"/>
              </w:rPr>
            </w:pPr>
            <w:r w:rsidRPr="00BF1C38">
              <w:rPr>
                <w:rFonts w:ascii="Arial" w:hAnsi="Arial" w:cs="Arial"/>
                <w:sz w:val="20"/>
                <w:szCs w:val="20"/>
              </w:rPr>
              <w:t>Ambrisentan</w:t>
            </w:r>
          </w:p>
        </w:tc>
        <w:tc>
          <w:tcPr>
            <w:tcW w:w="458" w:type="pct"/>
            <w:shd w:val="clear" w:color="auto" w:fill="auto"/>
          </w:tcPr>
          <w:p w14:paraId="0C6B2854" w14:textId="77777777" w:rsidR="00EC7581" w:rsidRPr="00BF1C38" w:rsidRDefault="00EC7581" w:rsidP="00121658">
            <w:pPr>
              <w:pStyle w:val="05Tabletext"/>
              <w:spacing w:before="0"/>
              <w:ind w:left="0"/>
              <w:rPr>
                <w:rFonts w:ascii="Arial" w:hAnsi="Arial" w:cs="Arial"/>
                <w:sz w:val="20"/>
                <w:szCs w:val="20"/>
              </w:rPr>
            </w:pPr>
            <w:r w:rsidRPr="00BF1C38">
              <w:rPr>
                <w:rFonts w:ascii="Arial" w:hAnsi="Arial" w:cs="Arial"/>
                <w:sz w:val="20"/>
                <w:szCs w:val="20"/>
              </w:rPr>
              <w:t>ERA</w:t>
            </w:r>
          </w:p>
        </w:tc>
        <w:tc>
          <w:tcPr>
            <w:tcW w:w="355" w:type="pct"/>
            <w:shd w:val="clear" w:color="auto" w:fill="auto"/>
          </w:tcPr>
          <w:p w14:paraId="05F6CF86" w14:textId="77777777" w:rsidR="00EC7581" w:rsidRPr="00BF1C38" w:rsidRDefault="00EC7581" w:rsidP="00121658">
            <w:pPr>
              <w:pStyle w:val="05Tabletext"/>
              <w:spacing w:before="0"/>
              <w:ind w:left="0"/>
              <w:rPr>
                <w:rFonts w:ascii="Arial" w:hAnsi="Arial" w:cs="Arial"/>
                <w:sz w:val="20"/>
                <w:szCs w:val="20"/>
              </w:rPr>
            </w:pPr>
            <w:r w:rsidRPr="00BF1C38">
              <w:rPr>
                <w:rFonts w:ascii="Arial" w:hAnsi="Arial" w:cs="Arial"/>
                <w:sz w:val="20"/>
                <w:szCs w:val="20"/>
              </w:rPr>
              <w:t>C02KX02</w:t>
            </w:r>
          </w:p>
        </w:tc>
        <w:tc>
          <w:tcPr>
            <w:tcW w:w="828" w:type="pct"/>
            <w:shd w:val="clear" w:color="auto" w:fill="auto"/>
          </w:tcPr>
          <w:p w14:paraId="6883F336" w14:textId="7E2F0A89" w:rsidR="00EC7581" w:rsidRPr="00BF1C38" w:rsidRDefault="00EC7581" w:rsidP="00121658">
            <w:pPr>
              <w:pStyle w:val="05Tabletext"/>
              <w:spacing w:before="0"/>
              <w:ind w:left="0"/>
              <w:rPr>
                <w:rFonts w:ascii="Arial" w:hAnsi="Arial" w:cs="Arial"/>
                <w:sz w:val="20"/>
                <w:szCs w:val="20"/>
              </w:rPr>
            </w:pPr>
            <w:r w:rsidRPr="00BF1C38">
              <w:rPr>
                <w:rFonts w:ascii="Arial" w:hAnsi="Arial" w:cs="Arial"/>
                <w:sz w:val="20"/>
                <w:szCs w:val="20"/>
              </w:rPr>
              <w:t>5, 10</w:t>
            </w:r>
            <w:r w:rsidR="000C43DA">
              <w:rPr>
                <w:rFonts w:ascii="Arial" w:hAnsi="Arial" w:cs="Arial"/>
                <w:sz w:val="20"/>
                <w:szCs w:val="20"/>
              </w:rPr>
              <w:t> </w:t>
            </w:r>
            <w:r w:rsidRPr="00BF1C38">
              <w:rPr>
                <w:rFonts w:ascii="Arial" w:hAnsi="Arial" w:cs="Arial"/>
                <w:sz w:val="20"/>
                <w:szCs w:val="20"/>
              </w:rPr>
              <w:t>mg tablet</w:t>
            </w:r>
          </w:p>
        </w:tc>
        <w:tc>
          <w:tcPr>
            <w:tcW w:w="1683" w:type="pct"/>
            <w:shd w:val="clear" w:color="auto" w:fill="auto"/>
          </w:tcPr>
          <w:p w14:paraId="29164CEA" w14:textId="77777777" w:rsidR="00EC7581" w:rsidRPr="00BF1C38" w:rsidRDefault="00EC7581" w:rsidP="00121658">
            <w:pPr>
              <w:pStyle w:val="TableText"/>
              <w:spacing w:before="0" w:after="0"/>
              <w:rPr>
                <w:rFonts w:ascii="Arial" w:hAnsi="Arial"/>
                <w:szCs w:val="20"/>
              </w:rPr>
            </w:pPr>
            <w:r w:rsidRPr="00BF1C38">
              <w:rPr>
                <w:rFonts w:ascii="Arial" w:hAnsi="Arial"/>
                <w:szCs w:val="20"/>
              </w:rPr>
              <w:t>5 mg once daily</w:t>
            </w:r>
          </w:p>
          <w:p w14:paraId="57916EDE" w14:textId="77777777" w:rsidR="00EC7581" w:rsidRPr="00BF1C38" w:rsidRDefault="00EC7581" w:rsidP="00121658">
            <w:pPr>
              <w:pStyle w:val="TableText"/>
              <w:spacing w:before="0" w:after="0"/>
              <w:rPr>
                <w:rFonts w:ascii="Arial" w:hAnsi="Arial"/>
                <w:szCs w:val="20"/>
              </w:rPr>
            </w:pPr>
            <w:r w:rsidRPr="00BF1C38">
              <w:rPr>
                <w:rFonts w:ascii="Arial" w:hAnsi="Arial"/>
                <w:szCs w:val="20"/>
              </w:rPr>
              <w:t>Additional benefit may be obtained by increasing the dose to 10 mg</w:t>
            </w:r>
          </w:p>
          <w:p w14:paraId="01572DE4" w14:textId="77777777" w:rsidR="00EC7581" w:rsidRPr="00BF1C38" w:rsidRDefault="00EC7581" w:rsidP="00121658">
            <w:pPr>
              <w:pStyle w:val="05Tabletext"/>
              <w:spacing w:before="0"/>
              <w:ind w:left="0"/>
              <w:rPr>
                <w:rFonts w:ascii="Arial" w:hAnsi="Arial" w:cs="Arial"/>
                <w:sz w:val="20"/>
                <w:szCs w:val="20"/>
              </w:rPr>
            </w:pPr>
            <w:r w:rsidRPr="00BF1C38">
              <w:rPr>
                <w:rFonts w:ascii="Arial" w:hAnsi="Arial" w:cs="Arial"/>
                <w:sz w:val="20"/>
                <w:szCs w:val="20"/>
              </w:rPr>
              <w:t>In combination with tadalafil, the starting dose of 5 mg should be titrated to 10 mg once daily</w:t>
            </w:r>
          </w:p>
        </w:tc>
        <w:tc>
          <w:tcPr>
            <w:tcW w:w="652" w:type="pct"/>
            <w:shd w:val="clear" w:color="auto" w:fill="auto"/>
          </w:tcPr>
          <w:p w14:paraId="0888453F" w14:textId="77777777" w:rsidR="00EC7581" w:rsidRPr="00BF1C38" w:rsidRDefault="00EC7581" w:rsidP="00121658">
            <w:pPr>
              <w:pStyle w:val="05Tabletext"/>
              <w:spacing w:before="0"/>
              <w:ind w:left="0"/>
              <w:rPr>
                <w:rFonts w:ascii="Arial" w:hAnsi="Arial" w:cs="Arial"/>
                <w:sz w:val="20"/>
                <w:szCs w:val="20"/>
              </w:rPr>
            </w:pPr>
            <w:r w:rsidRPr="00BF1C38">
              <w:rPr>
                <w:rFonts w:ascii="Arial" w:hAnsi="Arial" w:cs="Arial"/>
                <w:sz w:val="20"/>
                <w:szCs w:val="20"/>
              </w:rPr>
              <w:t>Oral</w:t>
            </w:r>
          </w:p>
        </w:tc>
        <w:tc>
          <w:tcPr>
            <w:tcW w:w="562" w:type="pct"/>
            <w:shd w:val="clear" w:color="auto" w:fill="auto"/>
          </w:tcPr>
          <w:p w14:paraId="6ED524F4" w14:textId="77777777" w:rsidR="00EC7581" w:rsidRPr="00BF1C38" w:rsidRDefault="00EC7581" w:rsidP="00121658">
            <w:pPr>
              <w:pStyle w:val="05Tabletext"/>
              <w:spacing w:before="0"/>
              <w:ind w:left="0"/>
              <w:rPr>
                <w:rFonts w:ascii="Arial" w:hAnsi="Arial" w:cs="Arial"/>
                <w:sz w:val="20"/>
                <w:szCs w:val="20"/>
              </w:rPr>
            </w:pPr>
            <w:r w:rsidRPr="00BF1C38">
              <w:rPr>
                <w:rFonts w:ascii="Arial" w:hAnsi="Arial" w:cs="Arial"/>
                <w:sz w:val="20"/>
                <w:szCs w:val="20"/>
              </w:rPr>
              <w:t>24 November 2008</w:t>
            </w:r>
          </w:p>
        </w:tc>
      </w:tr>
      <w:tr w:rsidR="003622EF" w:rsidRPr="00252749" w14:paraId="5B901878" w14:textId="77777777" w:rsidTr="00CD6C47">
        <w:tc>
          <w:tcPr>
            <w:tcW w:w="462" w:type="pct"/>
            <w:shd w:val="clear" w:color="auto" w:fill="auto"/>
            <w:vAlign w:val="center"/>
          </w:tcPr>
          <w:p w14:paraId="1080C21A"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Macitentan</w:t>
            </w:r>
          </w:p>
        </w:tc>
        <w:tc>
          <w:tcPr>
            <w:tcW w:w="458" w:type="pct"/>
            <w:shd w:val="clear" w:color="auto" w:fill="auto"/>
            <w:vAlign w:val="center"/>
          </w:tcPr>
          <w:p w14:paraId="36A32009"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ERA</w:t>
            </w:r>
          </w:p>
        </w:tc>
        <w:tc>
          <w:tcPr>
            <w:tcW w:w="355" w:type="pct"/>
            <w:shd w:val="clear" w:color="auto" w:fill="auto"/>
            <w:vAlign w:val="center"/>
          </w:tcPr>
          <w:p w14:paraId="2B10D9C7"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C02KX04</w:t>
            </w:r>
          </w:p>
        </w:tc>
        <w:tc>
          <w:tcPr>
            <w:tcW w:w="828" w:type="pct"/>
            <w:shd w:val="clear" w:color="auto" w:fill="auto"/>
          </w:tcPr>
          <w:p w14:paraId="407F7F56" w14:textId="41CB943F"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10</w:t>
            </w:r>
            <w:r w:rsidR="000C43DA">
              <w:rPr>
                <w:rFonts w:ascii="Arial" w:hAnsi="Arial" w:cs="Arial"/>
                <w:sz w:val="20"/>
                <w:szCs w:val="20"/>
              </w:rPr>
              <w:t> </w:t>
            </w:r>
            <w:r w:rsidRPr="00BF1C38">
              <w:rPr>
                <w:rFonts w:ascii="Arial" w:hAnsi="Arial" w:cs="Arial"/>
                <w:sz w:val="20"/>
                <w:szCs w:val="20"/>
              </w:rPr>
              <w:t>mg tablet</w:t>
            </w:r>
          </w:p>
        </w:tc>
        <w:tc>
          <w:tcPr>
            <w:tcW w:w="1683" w:type="pct"/>
            <w:shd w:val="clear" w:color="auto" w:fill="auto"/>
          </w:tcPr>
          <w:p w14:paraId="7644CA20"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10 mg once daily</w:t>
            </w:r>
          </w:p>
        </w:tc>
        <w:tc>
          <w:tcPr>
            <w:tcW w:w="652" w:type="pct"/>
            <w:shd w:val="clear" w:color="auto" w:fill="auto"/>
          </w:tcPr>
          <w:p w14:paraId="480B1D31"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Oral</w:t>
            </w:r>
          </w:p>
        </w:tc>
        <w:tc>
          <w:tcPr>
            <w:tcW w:w="562" w:type="pct"/>
            <w:shd w:val="clear" w:color="auto" w:fill="auto"/>
          </w:tcPr>
          <w:p w14:paraId="6D6BCC78"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 xml:space="preserve">5 February 2014 </w:t>
            </w:r>
          </w:p>
        </w:tc>
      </w:tr>
      <w:tr w:rsidR="00CD6C47" w:rsidRPr="00CD6C47" w14:paraId="39369110" w14:textId="77777777" w:rsidTr="00CD6C47">
        <w:tc>
          <w:tcPr>
            <w:tcW w:w="5000" w:type="pct"/>
            <w:gridSpan w:val="7"/>
            <w:shd w:val="clear" w:color="auto" w:fill="F2F2F2" w:themeFill="background1" w:themeFillShade="F2"/>
          </w:tcPr>
          <w:p w14:paraId="42079D9E" w14:textId="77777777" w:rsidR="00CD6C47" w:rsidRPr="00CD6C47" w:rsidRDefault="00CD6C47" w:rsidP="00121658">
            <w:pPr>
              <w:pStyle w:val="04Tablesubheading"/>
              <w:ind w:left="0"/>
              <w:rPr>
                <w:rFonts w:ascii="Arial" w:hAnsi="Arial" w:cs="Arial"/>
                <w:sz w:val="20"/>
                <w:szCs w:val="20"/>
              </w:rPr>
            </w:pPr>
            <w:r w:rsidRPr="00CD6C47">
              <w:rPr>
                <w:rFonts w:ascii="Arial" w:hAnsi="Arial" w:cs="Arial"/>
                <w:sz w:val="20"/>
                <w:szCs w:val="20"/>
              </w:rPr>
              <w:t>Prostanoid</w:t>
            </w:r>
            <w:r>
              <w:rPr>
                <w:rFonts w:ascii="Arial" w:hAnsi="Arial" w:cs="Arial"/>
                <w:sz w:val="20"/>
                <w:szCs w:val="20"/>
              </w:rPr>
              <w:t>s</w:t>
            </w:r>
          </w:p>
        </w:tc>
      </w:tr>
      <w:tr w:rsidR="003622EF" w:rsidRPr="00252749" w14:paraId="13CB8260" w14:textId="77777777" w:rsidTr="00CD6C47">
        <w:tc>
          <w:tcPr>
            <w:tcW w:w="462" w:type="pct"/>
            <w:shd w:val="clear" w:color="auto" w:fill="auto"/>
            <w:vAlign w:val="center"/>
          </w:tcPr>
          <w:p w14:paraId="7D67E468"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Epoprostenol</w:t>
            </w:r>
          </w:p>
        </w:tc>
        <w:tc>
          <w:tcPr>
            <w:tcW w:w="458" w:type="pct"/>
            <w:shd w:val="clear" w:color="auto" w:fill="auto"/>
            <w:vAlign w:val="center"/>
          </w:tcPr>
          <w:p w14:paraId="15B26292"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Prostanoid</w:t>
            </w:r>
          </w:p>
        </w:tc>
        <w:tc>
          <w:tcPr>
            <w:tcW w:w="355" w:type="pct"/>
            <w:shd w:val="clear" w:color="auto" w:fill="auto"/>
            <w:vAlign w:val="center"/>
          </w:tcPr>
          <w:p w14:paraId="777C2705"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B01AC09</w:t>
            </w:r>
          </w:p>
        </w:tc>
        <w:tc>
          <w:tcPr>
            <w:tcW w:w="828" w:type="pct"/>
            <w:shd w:val="clear" w:color="auto" w:fill="auto"/>
            <w:vAlign w:val="center"/>
          </w:tcPr>
          <w:p w14:paraId="70F1DC8E" w14:textId="2C3AC0A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500</w:t>
            </w:r>
            <w:r w:rsidR="000C43DA">
              <w:rPr>
                <w:rFonts w:ascii="Arial" w:hAnsi="Arial" w:cs="Arial"/>
                <w:sz w:val="20"/>
                <w:szCs w:val="20"/>
              </w:rPr>
              <w:t> </w:t>
            </w:r>
            <w:r w:rsidRPr="00BF1C38">
              <w:rPr>
                <w:rFonts w:ascii="Arial" w:hAnsi="Arial" w:cs="Arial"/>
                <w:sz w:val="20"/>
                <w:szCs w:val="20"/>
              </w:rPr>
              <w:t>µg, 1.5 mg; powder for injection vial</w:t>
            </w:r>
          </w:p>
        </w:tc>
        <w:tc>
          <w:tcPr>
            <w:tcW w:w="1683" w:type="pct"/>
            <w:shd w:val="clear" w:color="auto" w:fill="auto"/>
          </w:tcPr>
          <w:p w14:paraId="09A7299A" w14:textId="77777777" w:rsidR="00EC7581" w:rsidRPr="00BF1C38" w:rsidRDefault="00EC7581" w:rsidP="00121658">
            <w:pPr>
              <w:pStyle w:val="TableText"/>
              <w:rPr>
                <w:rFonts w:ascii="Arial" w:hAnsi="Arial"/>
                <w:szCs w:val="20"/>
              </w:rPr>
            </w:pPr>
            <w:r w:rsidRPr="00BF1C38">
              <w:rPr>
                <w:rFonts w:ascii="Arial" w:hAnsi="Arial"/>
                <w:szCs w:val="20"/>
              </w:rPr>
              <w:t>Starting dose 2 ng/kg/min infusion, increase by 2 ng/kg/min until MTD reached.</w:t>
            </w:r>
          </w:p>
          <w:p w14:paraId="6CF3AFB7"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Long-term infusion at MTD less 4 ng/kg/min, increasing based on tolerability / clinical need</w:t>
            </w:r>
          </w:p>
        </w:tc>
        <w:tc>
          <w:tcPr>
            <w:tcW w:w="652" w:type="pct"/>
            <w:shd w:val="clear" w:color="auto" w:fill="auto"/>
            <w:vAlign w:val="center"/>
          </w:tcPr>
          <w:p w14:paraId="5BA8F737"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I.V. continuous</w:t>
            </w:r>
            <w:r w:rsidRPr="00BF1C38">
              <w:rPr>
                <w:rFonts w:ascii="Arial" w:hAnsi="Arial" w:cs="Arial"/>
                <w:i/>
                <w:sz w:val="20"/>
                <w:szCs w:val="20"/>
              </w:rPr>
              <w:t xml:space="preserve"> </w:t>
            </w:r>
            <w:r w:rsidRPr="00BF1C38">
              <w:rPr>
                <w:rFonts w:ascii="Arial" w:hAnsi="Arial" w:cs="Arial"/>
                <w:sz w:val="20"/>
                <w:szCs w:val="20"/>
              </w:rPr>
              <w:t>infusion via central line indwelling catheter</w:t>
            </w:r>
          </w:p>
        </w:tc>
        <w:tc>
          <w:tcPr>
            <w:tcW w:w="562" w:type="pct"/>
            <w:shd w:val="clear" w:color="auto" w:fill="auto"/>
            <w:vAlign w:val="center"/>
          </w:tcPr>
          <w:p w14:paraId="7C20DD02"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15 February 2002</w:t>
            </w:r>
          </w:p>
        </w:tc>
      </w:tr>
      <w:tr w:rsidR="003622EF" w:rsidRPr="00252749" w14:paraId="7DEE694F" w14:textId="77777777" w:rsidTr="00CD6C47">
        <w:tc>
          <w:tcPr>
            <w:tcW w:w="462" w:type="pct"/>
            <w:shd w:val="clear" w:color="auto" w:fill="auto"/>
            <w:vAlign w:val="center"/>
          </w:tcPr>
          <w:p w14:paraId="01555F0A"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Iloprost</w:t>
            </w:r>
          </w:p>
        </w:tc>
        <w:tc>
          <w:tcPr>
            <w:tcW w:w="458" w:type="pct"/>
            <w:shd w:val="clear" w:color="auto" w:fill="auto"/>
            <w:vAlign w:val="center"/>
          </w:tcPr>
          <w:p w14:paraId="432BC505"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Prostanoid</w:t>
            </w:r>
          </w:p>
        </w:tc>
        <w:tc>
          <w:tcPr>
            <w:tcW w:w="355" w:type="pct"/>
            <w:shd w:val="clear" w:color="auto" w:fill="auto"/>
            <w:vAlign w:val="center"/>
          </w:tcPr>
          <w:p w14:paraId="0132281D"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B01AC11</w:t>
            </w:r>
          </w:p>
        </w:tc>
        <w:tc>
          <w:tcPr>
            <w:tcW w:w="828" w:type="pct"/>
            <w:shd w:val="clear" w:color="auto" w:fill="auto"/>
          </w:tcPr>
          <w:p w14:paraId="7C399090" w14:textId="20A46EC4"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20</w:t>
            </w:r>
            <w:r w:rsidR="000C43DA">
              <w:rPr>
                <w:rFonts w:ascii="Arial" w:hAnsi="Arial" w:cs="Arial"/>
                <w:sz w:val="20"/>
                <w:szCs w:val="20"/>
              </w:rPr>
              <w:t xml:space="preserve"> </w:t>
            </w:r>
            <w:r w:rsidRPr="00BF1C38">
              <w:rPr>
                <w:rFonts w:ascii="Arial" w:hAnsi="Arial" w:cs="Arial"/>
                <w:sz w:val="20"/>
                <w:szCs w:val="20"/>
              </w:rPr>
              <w:t>µg/2 mL inhalation solution</w:t>
            </w:r>
          </w:p>
        </w:tc>
        <w:tc>
          <w:tcPr>
            <w:tcW w:w="1683" w:type="pct"/>
            <w:shd w:val="clear" w:color="auto" w:fill="auto"/>
          </w:tcPr>
          <w:p w14:paraId="476BCEB6" w14:textId="55E26C26" w:rsidR="00EC7581" w:rsidRPr="00BF1C38" w:rsidRDefault="00EC7581" w:rsidP="00121658">
            <w:pPr>
              <w:pStyle w:val="TableText"/>
              <w:rPr>
                <w:rFonts w:ascii="Arial" w:hAnsi="Arial"/>
                <w:szCs w:val="20"/>
              </w:rPr>
            </w:pPr>
            <w:r w:rsidRPr="00BF1C38">
              <w:rPr>
                <w:rFonts w:ascii="Arial" w:hAnsi="Arial"/>
                <w:szCs w:val="20"/>
              </w:rPr>
              <w:t>Initial 2.5</w:t>
            </w:r>
            <w:r w:rsidR="000C43DA">
              <w:rPr>
                <w:rFonts w:ascii="Arial" w:hAnsi="Arial"/>
                <w:szCs w:val="20"/>
              </w:rPr>
              <w:t> </w:t>
            </w:r>
            <w:r w:rsidRPr="00BF1C38">
              <w:rPr>
                <w:rFonts w:ascii="Arial" w:hAnsi="Arial"/>
                <w:szCs w:val="20"/>
              </w:rPr>
              <w:t>µg inhaled dose, increased to 5.</w:t>
            </w:r>
            <w:r w:rsidR="000C43DA">
              <w:rPr>
                <w:rFonts w:ascii="Arial" w:hAnsi="Arial"/>
                <w:szCs w:val="20"/>
              </w:rPr>
              <w:t> </w:t>
            </w:r>
            <w:r w:rsidRPr="00BF1C38">
              <w:rPr>
                <w:rFonts w:ascii="Arial" w:hAnsi="Arial"/>
                <w:szCs w:val="20"/>
              </w:rPr>
              <w:t>µg</w:t>
            </w:r>
          </w:p>
          <w:p w14:paraId="0DE5FECD"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6-9 i</w:t>
            </w:r>
            <w:r w:rsidR="00011758">
              <w:rPr>
                <w:rFonts w:ascii="Arial" w:hAnsi="Arial" w:cs="Arial"/>
                <w:sz w:val="20"/>
                <w:szCs w:val="20"/>
              </w:rPr>
              <w:t>nhaled doses per day</w:t>
            </w:r>
          </w:p>
        </w:tc>
        <w:tc>
          <w:tcPr>
            <w:tcW w:w="652" w:type="pct"/>
            <w:shd w:val="clear" w:color="auto" w:fill="auto"/>
          </w:tcPr>
          <w:p w14:paraId="4B6CBA6A"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Inhalation (nebulised)</w:t>
            </w:r>
          </w:p>
        </w:tc>
        <w:tc>
          <w:tcPr>
            <w:tcW w:w="562" w:type="pct"/>
            <w:shd w:val="clear" w:color="auto" w:fill="auto"/>
          </w:tcPr>
          <w:p w14:paraId="25385A56" w14:textId="77777777" w:rsidR="00EC7581" w:rsidRPr="00BF1C38" w:rsidRDefault="00EC7581" w:rsidP="00121658">
            <w:pPr>
              <w:pStyle w:val="05Tabletext"/>
              <w:ind w:left="0"/>
              <w:rPr>
                <w:rFonts w:ascii="Arial" w:hAnsi="Arial" w:cs="Arial"/>
                <w:sz w:val="20"/>
                <w:szCs w:val="20"/>
              </w:rPr>
            </w:pPr>
            <w:r w:rsidRPr="00BF1C38">
              <w:rPr>
                <w:rFonts w:ascii="Arial" w:hAnsi="Arial" w:cs="Arial"/>
                <w:sz w:val="20"/>
                <w:szCs w:val="20"/>
              </w:rPr>
              <w:t>21 January 2004</w:t>
            </w:r>
          </w:p>
        </w:tc>
      </w:tr>
      <w:tr w:rsidR="003622EF" w:rsidRPr="00252749" w14:paraId="1F28FA5B" w14:textId="77777777" w:rsidTr="00CD6C47">
        <w:tc>
          <w:tcPr>
            <w:tcW w:w="462" w:type="pct"/>
            <w:shd w:val="clear" w:color="auto" w:fill="auto"/>
            <w:vAlign w:val="center"/>
          </w:tcPr>
          <w:p w14:paraId="3E4AF442" w14:textId="77777777" w:rsidR="00EC7581" w:rsidRPr="00BF1C38" w:rsidRDefault="00EC7581" w:rsidP="00121658">
            <w:pPr>
              <w:pStyle w:val="05Tabletext"/>
              <w:ind w:left="0"/>
              <w:rPr>
                <w:rFonts w:ascii="Arial" w:hAnsi="Arial" w:cs="Arial"/>
                <w:sz w:val="20"/>
                <w:szCs w:val="20"/>
              </w:rPr>
            </w:pPr>
            <w:proofErr w:type="spellStart"/>
            <w:r w:rsidRPr="00BF1C38">
              <w:rPr>
                <w:rFonts w:ascii="Arial" w:hAnsi="Arial" w:cs="Arial"/>
                <w:i/>
                <w:color w:val="808080" w:themeColor="background1" w:themeShade="80"/>
                <w:sz w:val="20"/>
                <w:szCs w:val="20"/>
              </w:rPr>
              <w:t>Treprostinil</w:t>
            </w:r>
            <w:proofErr w:type="spellEnd"/>
          </w:p>
        </w:tc>
        <w:tc>
          <w:tcPr>
            <w:tcW w:w="458" w:type="pct"/>
            <w:shd w:val="clear" w:color="auto" w:fill="auto"/>
            <w:vAlign w:val="center"/>
          </w:tcPr>
          <w:p w14:paraId="5C896BDB" w14:textId="77777777" w:rsidR="00EC7581" w:rsidRPr="00BF1C38" w:rsidRDefault="00EC7581" w:rsidP="00121658">
            <w:pPr>
              <w:pStyle w:val="05Tabletext"/>
              <w:ind w:left="0"/>
              <w:rPr>
                <w:rFonts w:ascii="Arial" w:hAnsi="Arial" w:cs="Arial"/>
                <w:sz w:val="20"/>
                <w:szCs w:val="20"/>
              </w:rPr>
            </w:pPr>
            <w:r w:rsidRPr="00BF1C38">
              <w:rPr>
                <w:rFonts w:ascii="Arial" w:hAnsi="Arial" w:cs="Arial"/>
                <w:i/>
                <w:color w:val="808080" w:themeColor="background1" w:themeShade="80"/>
                <w:sz w:val="20"/>
                <w:szCs w:val="20"/>
              </w:rPr>
              <w:t>Prostanoid</w:t>
            </w:r>
          </w:p>
        </w:tc>
        <w:tc>
          <w:tcPr>
            <w:tcW w:w="355" w:type="pct"/>
            <w:shd w:val="clear" w:color="auto" w:fill="auto"/>
            <w:vAlign w:val="center"/>
          </w:tcPr>
          <w:p w14:paraId="1EFB8F45" w14:textId="77777777" w:rsidR="00EC7581" w:rsidRPr="00BF1C38" w:rsidRDefault="00EC7581" w:rsidP="00121658">
            <w:pPr>
              <w:pStyle w:val="05Tabletext"/>
              <w:ind w:left="0"/>
              <w:rPr>
                <w:rFonts w:ascii="Arial" w:hAnsi="Arial" w:cs="Arial"/>
                <w:sz w:val="20"/>
                <w:szCs w:val="20"/>
              </w:rPr>
            </w:pPr>
            <w:r w:rsidRPr="00BF1C38">
              <w:rPr>
                <w:rFonts w:ascii="Arial" w:hAnsi="Arial" w:cs="Arial"/>
                <w:i/>
                <w:color w:val="808080" w:themeColor="background1" w:themeShade="80"/>
                <w:sz w:val="20"/>
                <w:szCs w:val="20"/>
              </w:rPr>
              <w:t>B01AC21</w:t>
            </w:r>
          </w:p>
        </w:tc>
        <w:tc>
          <w:tcPr>
            <w:tcW w:w="828" w:type="pct"/>
            <w:shd w:val="clear" w:color="auto" w:fill="auto"/>
            <w:vAlign w:val="center"/>
          </w:tcPr>
          <w:p w14:paraId="33B41452" w14:textId="77777777" w:rsidR="00EC7581" w:rsidRPr="00BF1C38" w:rsidRDefault="00EC7581" w:rsidP="00121658">
            <w:pPr>
              <w:pStyle w:val="05Tabletext"/>
              <w:ind w:left="0"/>
              <w:rPr>
                <w:rFonts w:ascii="Arial" w:hAnsi="Arial" w:cs="Arial"/>
                <w:sz w:val="20"/>
                <w:szCs w:val="20"/>
              </w:rPr>
            </w:pPr>
            <w:r w:rsidRPr="00BF1C38">
              <w:rPr>
                <w:rFonts w:ascii="Arial" w:hAnsi="Arial" w:cs="Arial"/>
                <w:i/>
                <w:color w:val="808080" w:themeColor="background1" w:themeShade="80"/>
                <w:sz w:val="20"/>
                <w:szCs w:val="20"/>
              </w:rPr>
              <w:t xml:space="preserve">1.0, 2.5, 5.0, 10.0 mg/mL </w:t>
            </w:r>
            <w:r w:rsidRPr="00BF1C38">
              <w:rPr>
                <w:rFonts w:ascii="Arial" w:hAnsi="Arial" w:cs="Arial"/>
                <w:i/>
                <w:color w:val="808080" w:themeColor="background1" w:themeShade="80"/>
                <w:sz w:val="20"/>
                <w:szCs w:val="20"/>
              </w:rPr>
              <w:br/>
              <w:t>in 20mL vial</w:t>
            </w:r>
          </w:p>
        </w:tc>
        <w:tc>
          <w:tcPr>
            <w:tcW w:w="1683" w:type="pct"/>
            <w:shd w:val="clear" w:color="auto" w:fill="auto"/>
            <w:vAlign w:val="center"/>
          </w:tcPr>
          <w:p w14:paraId="1E7C67DB" w14:textId="77777777" w:rsidR="00EC7581" w:rsidRPr="00BF1C38" w:rsidRDefault="00EC7581" w:rsidP="00121658">
            <w:pPr>
              <w:pStyle w:val="05Tabletext"/>
              <w:ind w:left="0"/>
              <w:rPr>
                <w:rFonts w:ascii="Arial" w:hAnsi="Arial" w:cs="Arial"/>
                <w:sz w:val="20"/>
                <w:szCs w:val="20"/>
              </w:rPr>
            </w:pPr>
            <w:r w:rsidRPr="00BF1C38">
              <w:rPr>
                <w:rFonts w:ascii="Arial" w:hAnsi="Arial" w:cs="Arial"/>
                <w:i/>
                <w:color w:val="808080" w:themeColor="background1" w:themeShade="80"/>
                <w:sz w:val="20"/>
                <w:szCs w:val="20"/>
              </w:rPr>
              <w:t>No longer registered</w:t>
            </w:r>
          </w:p>
        </w:tc>
        <w:tc>
          <w:tcPr>
            <w:tcW w:w="652" w:type="pct"/>
            <w:shd w:val="clear" w:color="auto" w:fill="auto"/>
            <w:vAlign w:val="center"/>
          </w:tcPr>
          <w:p w14:paraId="25A8FCC6" w14:textId="77777777" w:rsidR="00EC7581" w:rsidRPr="00BF1C38" w:rsidRDefault="00EC7581" w:rsidP="00121658">
            <w:pPr>
              <w:pStyle w:val="05Tabletext"/>
              <w:ind w:left="0"/>
              <w:rPr>
                <w:rFonts w:ascii="Arial" w:hAnsi="Arial" w:cs="Arial"/>
                <w:sz w:val="20"/>
                <w:szCs w:val="20"/>
              </w:rPr>
            </w:pPr>
            <w:r w:rsidRPr="00BF1C38">
              <w:rPr>
                <w:rFonts w:ascii="Arial" w:hAnsi="Arial" w:cs="Arial"/>
                <w:i/>
                <w:color w:val="808080" w:themeColor="background1" w:themeShade="80"/>
                <w:sz w:val="20"/>
                <w:szCs w:val="20"/>
              </w:rPr>
              <w:t>I.V. or S.C continuous infusion via indwelling catheter</w:t>
            </w:r>
          </w:p>
        </w:tc>
        <w:tc>
          <w:tcPr>
            <w:tcW w:w="562" w:type="pct"/>
            <w:shd w:val="clear" w:color="auto" w:fill="auto"/>
            <w:vAlign w:val="center"/>
          </w:tcPr>
          <w:p w14:paraId="5EF604F4" w14:textId="77777777" w:rsidR="00EC7581" w:rsidRPr="00BF1C38" w:rsidRDefault="00EC7581" w:rsidP="00121658">
            <w:pPr>
              <w:pStyle w:val="05Tabletext"/>
              <w:ind w:left="0"/>
              <w:rPr>
                <w:rFonts w:ascii="Arial" w:hAnsi="Arial" w:cs="Arial"/>
                <w:sz w:val="20"/>
                <w:szCs w:val="20"/>
              </w:rPr>
            </w:pPr>
            <w:r w:rsidRPr="00BF1C38">
              <w:rPr>
                <w:rFonts w:ascii="Arial" w:hAnsi="Arial" w:cs="Arial"/>
                <w:i/>
                <w:color w:val="808080" w:themeColor="background1" w:themeShade="80"/>
                <w:sz w:val="20"/>
                <w:szCs w:val="20"/>
              </w:rPr>
              <w:t>31 May 2004</w:t>
            </w:r>
          </w:p>
        </w:tc>
      </w:tr>
      <w:tr w:rsidR="00CD6C47" w:rsidRPr="00CD6C47" w14:paraId="1C42E9C7" w14:textId="77777777" w:rsidTr="00CD6C47">
        <w:tc>
          <w:tcPr>
            <w:tcW w:w="5000" w:type="pct"/>
            <w:gridSpan w:val="7"/>
            <w:shd w:val="clear" w:color="auto" w:fill="F2F2F2" w:themeFill="background1" w:themeFillShade="F2"/>
          </w:tcPr>
          <w:p w14:paraId="02193640" w14:textId="77777777" w:rsidR="00CD6C47" w:rsidRPr="00CD6C47" w:rsidRDefault="00CD6C47" w:rsidP="00121658">
            <w:pPr>
              <w:pStyle w:val="04Tablesubheading"/>
              <w:ind w:left="0"/>
              <w:rPr>
                <w:rFonts w:ascii="Arial" w:hAnsi="Arial" w:cs="Arial"/>
                <w:sz w:val="20"/>
                <w:szCs w:val="20"/>
              </w:rPr>
            </w:pPr>
            <w:r w:rsidRPr="00CD6C47">
              <w:rPr>
                <w:rFonts w:ascii="Arial" w:hAnsi="Arial" w:cs="Arial"/>
                <w:sz w:val="20"/>
                <w:szCs w:val="20"/>
              </w:rPr>
              <w:t>Phosphodiesterase type 5 inhibitors</w:t>
            </w:r>
          </w:p>
        </w:tc>
      </w:tr>
      <w:tr w:rsidR="003622EF" w:rsidRPr="00252749" w14:paraId="7E3C5F8C" w14:textId="77777777" w:rsidTr="00CD6C47">
        <w:tc>
          <w:tcPr>
            <w:tcW w:w="462" w:type="pct"/>
            <w:shd w:val="clear" w:color="auto" w:fill="auto"/>
            <w:vAlign w:val="center"/>
          </w:tcPr>
          <w:p w14:paraId="4E0F376F" w14:textId="77777777"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Sildenafil</w:t>
            </w:r>
          </w:p>
        </w:tc>
        <w:tc>
          <w:tcPr>
            <w:tcW w:w="458" w:type="pct"/>
            <w:shd w:val="clear" w:color="auto" w:fill="auto"/>
            <w:vAlign w:val="center"/>
          </w:tcPr>
          <w:p w14:paraId="38CE7A63" w14:textId="77777777" w:rsidR="003622EF" w:rsidRPr="00BF1C38" w:rsidRDefault="00AF191D" w:rsidP="00121658">
            <w:pPr>
              <w:pStyle w:val="05Tabletext"/>
              <w:ind w:left="0"/>
              <w:rPr>
                <w:rFonts w:ascii="Arial" w:hAnsi="Arial" w:cs="Arial"/>
                <w:sz w:val="20"/>
                <w:szCs w:val="20"/>
              </w:rPr>
            </w:pPr>
            <w:r w:rsidRPr="00BF1C38">
              <w:rPr>
                <w:rFonts w:ascii="Arial" w:hAnsi="Arial" w:cs="Arial"/>
                <w:sz w:val="20"/>
                <w:szCs w:val="20"/>
              </w:rPr>
              <w:t>PDE</w:t>
            </w:r>
            <w:r w:rsidRPr="00BF1C38">
              <w:rPr>
                <w:rFonts w:ascii="Arial" w:hAnsi="Arial" w:cs="Arial"/>
                <w:sz w:val="20"/>
                <w:szCs w:val="20"/>
              </w:rPr>
              <w:noBreakHyphen/>
              <w:t>5</w:t>
            </w:r>
            <w:r w:rsidR="003622EF" w:rsidRPr="00BF1C38">
              <w:rPr>
                <w:rFonts w:ascii="Arial" w:hAnsi="Arial" w:cs="Arial"/>
                <w:sz w:val="20"/>
                <w:szCs w:val="20"/>
              </w:rPr>
              <w:t xml:space="preserve"> inhibitor</w:t>
            </w:r>
          </w:p>
        </w:tc>
        <w:tc>
          <w:tcPr>
            <w:tcW w:w="355" w:type="pct"/>
            <w:shd w:val="clear" w:color="auto" w:fill="auto"/>
            <w:vAlign w:val="center"/>
          </w:tcPr>
          <w:p w14:paraId="6439F25E" w14:textId="77777777"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G04BE03</w:t>
            </w:r>
          </w:p>
        </w:tc>
        <w:tc>
          <w:tcPr>
            <w:tcW w:w="828" w:type="pct"/>
            <w:shd w:val="clear" w:color="auto" w:fill="auto"/>
          </w:tcPr>
          <w:p w14:paraId="1E13E827" w14:textId="4D601A90" w:rsidR="003622EF" w:rsidRPr="00BF1C38" w:rsidRDefault="003622EF" w:rsidP="00121658">
            <w:pPr>
              <w:pStyle w:val="TableText"/>
              <w:rPr>
                <w:rFonts w:ascii="Arial" w:hAnsi="Arial"/>
                <w:szCs w:val="20"/>
              </w:rPr>
            </w:pPr>
            <w:r w:rsidRPr="00BF1C38">
              <w:rPr>
                <w:rFonts w:ascii="Arial" w:hAnsi="Arial"/>
                <w:szCs w:val="20"/>
              </w:rPr>
              <w:t>20</w:t>
            </w:r>
            <w:r w:rsidR="000C43DA">
              <w:rPr>
                <w:rFonts w:ascii="Arial" w:hAnsi="Arial"/>
                <w:szCs w:val="20"/>
              </w:rPr>
              <w:t xml:space="preserve"> </w:t>
            </w:r>
            <w:r w:rsidRPr="00BF1C38">
              <w:rPr>
                <w:rFonts w:ascii="Arial" w:hAnsi="Arial"/>
                <w:szCs w:val="20"/>
              </w:rPr>
              <w:t>mg tablet</w:t>
            </w:r>
          </w:p>
          <w:p w14:paraId="7CBDD823" w14:textId="038F4AEB" w:rsidR="003622EF" w:rsidRPr="00BF1C38" w:rsidRDefault="003622EF" w:rsidP="00121658">
            <w:pPr>
              <w:pStyle w:val="TableText"/>
              <w:rPr>
                <w:rFonts w:ascii="Arial" w:hAnsi="Arial"/>
                <w:szCs w:val="20"/>
              </w:rPr>
            </w:pPr>
            <w:r w:rsidRPr="00BF1C38">
              <w:rPr>
                <w:rFonts w:ascii="Arial" w:hAnsi="Arial"/>
                <w:szCs w:val="20"/>
              </w:rPr>
              <w:t>10</w:t>
            </w:r>
            <w:r w:rsidR="000C43DA">
              <w:rPr>
                <w:rFonts w:ascii="Arial" w:hAnsi="Arial"/>
                <w:szCs w:val="20"/>
              </w:rPr>
              <w:t xml:space="preserve"> </w:t>
            </w:r>
            <w:r w:rsidRPr="00BF1C38">
              <w:rPr>
                <w:rFonts w:ascii="Arial" w:hAnsi="Arial"/>
                <w:szCs w:val="20"/>
              </w:rPr>
              <w:t>mg/12.5</w:t>
            </w:r>
            <w:r w:rsidR="000C43DA">
              <w:rPr>
                <w:rFonts w:ascii="Arial" w:hAnsi="Arial"/>
                <w:szCs w:val="20"/>
              </w:rPr>
              <w:t xml:space="preserve"> </w:t>
            </w:r>
            <w:r w:rsidRPr="00BF1C38">
              <w:rPr>
                <w:rFonts w:ascii="Arial" w:hAnsi="Arial"/>
                <w:szCs w:val="20"/>
              </w:rPr>
              <w:t>mL or 40</w:t>
            </w:r>
            <w:r w:rsidR="000C43DA">
              <w:rPr>
                <w:rFonts w:ascii="Arial" w:hAnsi="Arial"/>
                <w:szCs w:val="20"/>
              </w:rPr>
              <w:t> </w:t>
            </w:r>
            <w:r w:rsidRPr="00BF1C38">
              <w:rPr>
                <w:rFonts w:ascii="Arial" w:hAnsi="Arial"/>
                <w:szCs w:val="20"/>
              </w:rPr>
              <w:t>mg/50 mL</w:t>
            </w:r>
            <w:r w:rsidR="000C43DA">
              <w:rPr>
                <w:rFonts w:ascii="Arial" w:hAnsi="Arial"/>
                <w:szCs w:val="20"/>
              </w:rPr>
              <w:t xml:space="preserve"> </w:t>
            </w:r>
            <w:r w:rsidRPr="00BF1C38">
              <w:rPr>
                <w:rFonts w:ascii="Arial" w:hAnsi="Arial"/>
                <w:szCs w:val="20"/>
              </w:rPr>
              <w:t>vial</w:t>
            </w:r>
          </w:p>
        </w:tc>
        <w:tc>
          <w:tcPr>
            <w:tcW w:w="1683" w:type="pct"/>
            <w:shd w:val="clear" w:color="auto" w:fill="auto"/>
            <w:vAlign w:val="center"/>
          </w:tcPr>
          <w:p w14:paraId="1A19AADB" w14:textId="77777777"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 xml:space="preserve">20 mg </w:t>
            </w:r>
            <w:proofErr w:type="spellStart"/>
            <w:r w:rsidRPr="00BF1C38">
              <w:rPr>
                <w:rFonts w:ascii="Arial" w:hAnsi="Arial" w:cs="Arial"/>
                <w:i/>
                <w:sz w:val="20"/>
                <w:szCs w:val="20"/>
              </w:rPr>
              <w:t>tid</w:t>
            </w:r>
            <w:proofErr w:type="spellEnd"/>
          </w:p>
        </w:tc>
        <w:tc>
          <w:tcPr>
            <w:tcW w:w="652" w:type="pct"/>
            <w:shd w:val="clear" w:color="auto" w:fill="auto"/>
            <w:vAlign w:val="center"/>
          </w:tcPr>
          <w:p w14:paraId="65BC5C03" w14:textId="77777777" w:rsidR="003622EF" w:rsidRPr="00BF1C38" w:rsidRDefault="003622EF" w:rsidP="00121658">
            <w:pPr>
              <w:pStyle w:val="TableText"/>
              <w:rPr>
                <w:rFonts w:ascii="Arial" w:hAnsi="Arial"/>
                <w:szCs w:val="20"/>
              </w:rPr>
            </w:pPr>
            <w:r w:rsidRPr="00BF1C38">
              <w:rPr>
                <w:rFonts w:ascii="Arial" w:hAnsi="Arial"/>
                <w:szCs w:val="20"/>
              </w:rPr>
              <w:t>Oral</w:t>
            </w:r>
          </w:p>
          <w:p w14:paraId="0622D1BC" w14:textId="77777777"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I.V. injection</w:t>
            </w:r>
          </w:p>
        </w:tc>
        <w:tc>
          <w:tcPr>
            <w:tcW w:w="562" w:type="pct"/>
            <w:shd w:val="clear" w:color="auto" w:fill="auto"/>
            <w:vAlign w:val="center"/>
          </w:tcPr>
          <w:p w14:paraId="00D4C955" w14:textId="77777777"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14 August 2006</w:t>
            </w:r>
          </w:p>
        </w:tc>
      </w:tr>
      <w:tr w:rsidR="003622EF" w:rsidRPr="00252749" w14:paraId="4315BE56" w14:textId="77777777" w:rsidTr="00CD6C47">
        <w:tc>
          <w:tcPr>
            <w:tcW w:w="462" w:type="pct"/>
            <w:tcBorders>
              <w:bottom w:val="single" w:sz="4" w:space="0" w:color="auto"/>
            </w:tcBorders>
            <w:shd w:val="clear" w:color="auto" w:fill="auto"/>
            <w:vAlign w:val="center"/>
          </w:tcPr>
          <w:p w14:paraId="6D2A7B5D" w14:textId="77777777"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Tadalafil</w:t>
            </w:r>
          </w:p>
        </w:tc>
        <w:tc>
          <w:tcPr>
            <w:tcW w:w="458" w:type="pct"/>
            <w:tcBorders>
              <w:bottom w:val="single" w:sz="4" w:space="0" w:color="auto"/>
            </w:tcBorders>
            <w:shd w:val="clear" w:color="auto" w:fill="auto"/>
            <w:vAlign w:val="center"/>
          </w:tcPr>
          <w:p w14:paraId="11CB8DC2" w14:textId="77777777" w:rsidR="003622EF" w:rsidRPr="00BF1C38" w:rsidRDefault="00AF191D" w:rsidP="00121658">
            <w:pPr>
              <w:pStyle w:val="05Tabletext"/>
              <w:ind w:left="0"/>
              <w:rPr>
                <w:rFonts w:ascii="Arial" w:hAnsi="Arial" w:cs="Arial"/>
                <w:sz w:val="20"/>
                <w:szCs w:val="20"/>
              </w:rPr>
            </w:pPr>
            <w:r w:rsidRPr="00BF1C38">
              <w:rPr>
                <w:rFonts w:ascii="Arial" w:hAnsi="Arial" w:cs="Arial"/>
                <w:sz w:val="20"/>
                <w:szCs w:val="20"/>
              </w:rPr>
              <w:t>PDE</w:t>
            </w:r>
            <w:r w:rsidRPr="00BF1C38">
              <w:rPr>
                <w:rFonts w:ascii="Arial" w:hAnsi="Arial" w:cs="Arial"/>
                <w:sz w:val="20"/>
                <w:szCs w:val="20"/>
              </w:rPr>
              <w:noBreakHyphen/>
              <w:t>5</w:t>
            </w:r>
            <w:r w:rsidR="003622EF" w:rsidRPr="00BF1C38">
              <w:rPr>
                <w:rFonts w:ascii="Arial" w:hAnsi="Arial" w:cs="Arial"/>
                <w:sz w:val="20"/>
                <w:szCs w:val="20"/>
              </w:rPr>
              <w:t xml:space="preserve"> inhibitor</w:t>
            </w:r>
          </w:p>
        </w:tc>
        <w:tc>
          <w:tcPr>
            <w:tcW w:w="355" w:type="pct"/>
            <w:tcBorders>
              <w:bottom w:val="single" w:sz="4" w:space="0" w:color="auto"/>
            </w:tcBorders>
            <w:shd w:val="clear" w:color="auto" w:fill="auto"/>
            <w:vAlign w:val="center"/>
          </w:tcPr>
          <w:p w14:paraId="4909FF67" w14:textId="77777777"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G04BE08</w:t>
            </w:r>
          </w:p>
        </w:tc>
        <w:tc>
          <w:tcPr>
            <w:tcW w:w="828" w:type="pct"/>
            <w:tcBorders>
              <w:bottom w:val="single" w:sz="4" w:space="0" w:color="auto"/>
            </w:tcBorders>
            <w:shd w:val="clear" w:color="auto" w:fill="auto"/>
          </w:tcPr>
          <w:p w14:paraId="1F97E78A" w14:textId="40A26E22"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20</w:t>
            </w:r>
            <w:r w:rsidR="000C43DA">
              <w:rPr>
                <w:rFonts w:ascii="Arial" w:hAnsi="Arial" w:cs="Arial"/>
                <w:sz w:val="20"/>
                <w:szCs w:val="20"/>
              </w:rPr>
              <w:t> </w:t>
            </w:r>
            <w:r w:rsidRPr="00BF1C38">
              <w:rPr>
                <w:rFonts w:ascii="Arial" w:hAnsi="Arial" w:cs="Arial"/>
                <w:sz w:val="20"/>
                <w:szCs w:val="20"/>
              </w:rPr>
              <w:t>mg tablet</w:t>
            </w:r>
          </w:p>
        </w:tc>
        <w:tc>
          <w:tcPr>
            <w:tcW w:w="1683" w:type="pct"/>
            <w:tcBorders>
              <w:bottom w:val="single" w:sz="4" w:space="0" w:color="auto"/>
            </w:tcBorders>
            <w:shd w:val="clear" w:color="auto" w:fill="auto"/>
          </w:tcPr>
          <w:p w14:paraId="219A59CC" w14:textId="77777777"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40 mg (2 x 20 mg) taken once daily</w:t>
            </w:r>
          </w:p>
        </w:tc>
        <w:tc>
          <w:tcPr>
            <w:tcW w:w="652" w:type="pct"/>
            <w:tcBorders>
              <w:bottom w:val="single" w:sz="4" w:space="0" w:color="auto"/>
            </w:tcBorders>
            <w:shd w:val="clear" w:color="auto" w:fill="auto"/>
          </w:tcPr>
          <w:p w14:paraId="3973B795" w14:textId="77777777"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Oral</w:t>
            </w:r>
          </w:p>
        </w:tc>
        <w:tc>
          <w:tcPr>
            <w:tcW w:w="562" w:type="pct"/>
            <w:tcBorders>
              <w:bottom w:val="single" w:sz="4" w:space="0" w:color="auto"/>
            </w:tcBorders>
            <w:shd w:val="clear" w:color="auto" w:fill="auto"/>
          </w:tcPr>
          <w:p w14:paraId="2756AC1E" w14:textId="77777777"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10 August 2011</w:t>
            </w:r>
          </w:p>
        </w:tc>
      </w:tr>
      <w:tr w:rsidR="00CD6C47" w:rsidRPr="00252749" w14:paraId="3DCD70F6" w14:textId="77777777" w:rsidTr="00CD6C47">
        <w:tc>
          <w:tcPr>
            <w:tcW w:w="5000" w:type="pct"/>
            <w:gridSpan w:val="7"/>
            <w:shd w:val="clear" w:color="auto" w:fill="D9D9D9" w:themeFill="background1" w:themeFillShade="D9"/>
          </w:tcPr>
          <w:p w14:paraId="3433AF00" w14:textId="77777777" w:rsidR="00CD6C47" w:rsidRPr="00CD6C47" w:rsidRDefault="00CD6C47" w:rsidP="00121658">
            <w:pPr>
              <w:pStyle w:val="04Tablesubheading"/>
              <w:ind w:left="0"/>
              <w:rPr>
                <w:rFonts w:ascii="Arial" w:hAnsi="Arial" w:cs="Arial"/>
                <w:sz w:val="20"/>
                <w:szCs w:val="20"/>
              </w:rPr>
            </w:pPr>
            <w:r w:rsidRPr="00CD6C47">
              <w:rPr>
                <w:rFonts w:ascii="Arial" w:hAnsi="Arial" w:cs="Arial"/>
                <w:sz w:val="20"/>
                <w:szCs w:val="20"/>
              </w:rPr>
              <w:lastRenderedPageBreak/>
              <w:t>Soluble guanylate cyclase stimulator</w:t>
            </w:r>
          </w:p>
        </w:tc>
      </w:tr>
      <w:tr w:rsidR="003622EF" w:rsidRPr="00252749" w14:paraId="35C4EFAD" w14:textId="77777777" w:rsidTr="00CD6C47">
        <w:tc>
          <w:tcPr>
            <w:tcW w:w="462" w:type="pct"/>
            <w:tcBorders>
              <w:bottom w:val="single" w:sz="4" w:space="0" w:color="auto"/>
            </w:tcBorders>
            <w:shd w:val="clear" w:color="auto" w:fill="auto"/>
            <w:vAlign w:val="center"/>
          </w:tcPr>
          <w:p w14:paraId="0D735EAB" w14:textId="77777777"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 xml:space="preserve">Riociguat </w:t>
            </w:r>
          </w:p>
        </w:tc>
        <w:tc>
          <w:tcPr>
            <w:tcW w:w="458" w:type="pct"/>
            <w:tcBorders>
              <w:bottom w:val="single" w:sz="4" w:space="0" w:color="auto"/>
            </w:tcBorders>
            <w:shd w:val="clear" w:color="auto" w:fill="auto"/>
            <w:vAlign w:val="center"/>
          </w:tcPr>
          <w:p w14:paraId="1E037CAC" w14:textId="77777777" w:rsidR="003622EF" w:rsidRPr="00BF1C38" w:rsidRDefault="003622EF" w:rsidP="00121658">
            <w:pPr>
              <w:pStyle w:val="05Tabletext"/>
              <w:ind w:left="0"/>
              <w:rPr>
                <w:rFonts w:ascii="Arial" w:hAnsi="Arial" w:cs="Arial"/>
                <w:sz w:val="20"/>
                <w:szCs w:val="20"/>
              </w:rPr>
            </w:pPr>
            <w:proofErr w:type="spellStart"/>
            <w:r w:rsidRPr="00BF1C38">
              <w:rPr>
                <w:rFonts w:ascii="Arial" w:hAnsi="Arial" w:cs="Arial"/>
                <w:sz w:val="20"/>
                <w:szCs w:val="20"/>
              </w:rPr>
              <w:t>sGC</w:t>
            </w:r>
            <w:proofErr w:type="spellEnd"/>
            <w:r w:rsidRPr="00BF1C38">
              <w:rPr>
                <w:rFonts w:ascii="Arial" w:hAnsi="Arial" w:cs="Arial"/>
                <w:sz w:val="20"/>
                <w:szCs w:val="20"/>
              </w:rPr>
              <w:t xml:space="preserve"> stimulator</w:t>
            </w:r>
          </w:p>
        </w:tc>
        <w:tc>
          <w:tcPr>
            <w:tcW w:w="355" w:type="pct"/>
            <w:tcBorders>
              <w:bottom w:val="single" w:sz="4" w:space="0" w:color="auto"/>
            </w:tcBorders>
            <w:shd w:val="clear" w:color="auto" w:fill="auto"/>
            <w:vAlign w:val="center"/>
          </w:tcPr>
          <w:p w14:paraId="06D28EF5" w14:textId="77777777"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C02KX05</w:t>
            </w:r>
          </w:p>
        </w:tc>
        <w:tc>
          <w:tcPr>
            <w:tcW w:w="828" w:type="pct"/>
            <w:tcBorders>
              <w:bottom w:val="single" w:sz="4" w:space="0" w:color="auto"/>
            </w:tcBorders>
            <w:shd w:val="clear" w:color="auto" w:fill="auto"/>
          </w:tcPr>
          <w:p w14:paraId="56C2F085" w14:textId="1718D5A7"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0.5, 1.0, 1.5, 2.0, 2.5</w:t>
            </w:r>
            <w:r w:rsidR="000C43DA">
              <w:rPr>
                <w:rFonts w:ascii="Arial" w:hAnsi="Arial" w:cs="Arial"/>
                <w:sz w:val="20"/>
                <w:szCs w:val="20"/>
              </w:rPr>
              <w:t xml:space="preserve"> </w:t>
            </w:r>
            <w:r w:rsidRPr="00BF1C38">
              <w:rPr>
                <w:rFonts w:ascii="Arial" w:hAnsi="Arial" w:cs="Arial"/>
                <w:sz w:val="20"/>
                <w:szCs w:val="20"/>
              </w:rPr>
              <w:t>mg tablet</w:t>
            </w:r>
          </w:p>
        </w:tc>
        <w:tc>
          <w:tcPr>
            <w:tcW w:w="1683" w:type="pct"/>
            <w:tcBorders>
              <w:bottom w:val="single" w:sz="4" w:space="0" w:color="auto"/>
            </w:tcBorders>
            <w:shd w:val="clear" w:color="auto" w:fill="auto"/>
          </w:tcPr>
          <w:p w14:paraId="0F91FBE8" w14:textId="77777777" w:rsidR="003622EF" w:rsidRPr="00BF1C38" w:rsidRDefault="003622EF" w:rsidP="00121658">
            <w:pPr>
              <w:pStyle w:val="TableText"/>
              <w:rPr>
                <w:rFonts w:ascii="Arial" w:hAnsi="Arial"/>
                <w:szCs w:val="20"/>
              </w:rPr>
            </w:pPr>
            <w:r w:rsidRPr="00BF1C38">
              <w:rPr>
                <w:rFonts w:ascii="Arial" w:hAnsi="Arial"/>
                <w:szCs w:val="20"/>
              </w:rPr>
              <w:t xml:space="preserve">Starting dose 1.0 mg </w:t>
            </w:r>
            <w:proofErr w:type="spellStart"/>
            <w:r w:rsidRPr="00BF1C38">
              <w:rPr>
                <w:rFonts w:ascii="Arial" w:hAnsi="Arial"/>
                <w:i/>
                <w:szCs w:val="20"/>
              </w:rPr>
              <w:t>tid</w:t>
            </w:r>
            <w:proofErr w:type="spellEnd"/>
            <w:r w:rsidRPr="00BF1C38">
              <w:rPr>
                <w:rFonts w:ascii="Arial" w:hAnsi="Arial"/>
                <w:szCs w:val="20"/>
              </w:rPr>
              <w:t xml:space="preserve"> for 2 weeks</w:t>
            </w:r>
          </w:p>
          <w:p w14:paraId="6E79A1BC" w14:textId="6CD8995F"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Increase by 0.5 mg</w:t>
            </w:r>
            <w:r w:rsidR="000C43DA">
              <w:rPr>
                <w:rFonts w:ascii="Arial" w:hAnsi="Arial" w:cs="Arial"/>
                <w:sz w:val="20"/>
                <w:szCs w:val="20"/>
              </w:rPr>
              <w:t xml:space="preserve"> increments to a maximum of 2.5 </w:t>
            </w:r>
            <w:r w:rsidRPr="00BF1C38">
              <w:rPr>
                <w:rFonts w:ascii="Arial" w:hAnsi="Arial" w:cs="Arial"/>
                <w:sz w:val="20"/>
                <w:szCs w:val="20"/>
              </w:rPr>
              <w:t xml:space="preserve">mg </w:t>
            </w:r>
            <w:proofErr w:type="spellStart"/>
            <w:r w:rsidRPr="00BF1C38">
              <w:rPr>
                <w:rFonts w:ascii="Arial" w:hAnsi="Arial" w:cs="Arial"/>
                <w:i/>
                <w:sz w:val="20"/>
                <w:szCs w:val="20"/>
              </w:rPr>
              <w:t>tid</w:t>
            </w:r>
            <w:proofErr w:type="spellEnd"/>
            <w:r w:rsidRPr="00BF1C38">
              <w:rPr>
                <w:rFonts w:ascii="Arial" w:hAnsi="Arial" w:cs="Arial"/>
                <w:sz w:val="20"/>
                <w:szCs w:val="20"/>
              </w:rPr>
              <w:t xml:space="preserve"> maintenance dose</w:t>
            </w:r>
          </w:p>
        </w:tc>
        <w:tc>
          <w:tcPr>
            <w:tcW w:w="652" w:type="pct"/>
            <w:tcBorders>
              <w:bottom w:val="single" w:sz="4" w:space="0" w:color="auto"/>
            </w:tcBorders>
            <w:shd w:val="clear" w:color="auto" w:fill="auto"/>
          </w:tcPr>
          <w:p w14:paraId="4B3E9AD0" w14:textId="77777777"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Oral</w:t>
            </w:r>
          </w:p>
        </w:tc>
        <w:tc>
          <w:tcPr>
            <w:tcW w:w="562" w:type="pct"/>
            <w:tcBorders>
              <w:bottom w:val="single" w:sz="4" w:space="0" w:color="auto"/>
            </w:tcBorders>
            <w:shd w:val="clear" w:color="auto" w:fill="auto"/>
          </w:tcPr>
          <w:p w14:paraId="3BC5FE98" w14:textId="77777777" w:rsidR="003622EF" w:rsidRPr="00BF1C38" w:rsidRDefault="003622EF" w:rsidP="00121658">
            <w:pPr>
              <w:pStyle w:val="05Tabletext"/>
              <w:ind w:left="0"/>
              <w:rPr>
                <w:rFonts w:ascii="Arial" w:hAnsi="Arial" w:cs="Arial"/>
                <w:sz w:val="20"/>
                <w:szCs w:val="20"/>
              </w:rPr>
            </w:pPr>
            <w:r w:rsidRPr="00BF1C38">
              <w:rPr>
                <w:rFonts w:ascii="Arial" w:hAnsi="Arial" w:cs="Arial"/>
                <w:sz w:val="20"/>
                <w:szCs w:val="20"/>
              </w:rPr>
              <w:t>14 April 2014</w:t>
            </w:r>
          </w:p>
        </w:tc>
      </w:tr>
      <w:tr w:rsidR="00CD6C47" w:rsidRPr="00252749" w14:paraId="24D69C14" w14:textId="77777777" w:rsidTr="00CD6C47">
        <w:tc>
          <w:tcPr>
            <w:tcW w:w="5000" w:type="pct"/>
            <w:gridSpan w:val="7"/>
            <w:shd w:val="clear" w:color="auto" w:fill="D9D9D9" w:themeFill="background1" w:themeFillShade="D9"/>
          </w:tcPr>
          <w:p w14:paraId="5F2B8D3F" w14:textId="77777777" w:rsidR="00CD6C47" w:rsidRPr="00BF1C38" w:rsidRDefault="00CD6C47" w:rsidP="00121658">
            <w:pPr>
              <w:pStyle w:val="04Tablesubheading"/>
              <w:ind w:left="0"/>
              <w:rPr>
                <w:rFonts w:ascii="Arial" w:hAnsi="Arial" w:cs="Arial"/>
                <w:sz w:val="20"/>
                <w:szCs w:val="20"/>
              </w:rPr>
            </w:pPr>
            <w:r w:rsidRPr="00CD6C47">
              <w:rPr>
                <w:rFonts w:ascii="Arial" w:hAnsi="Arial" w:cs="Arial"/>
                <w:i/>
                <w:sz w:val="20"/>
                <w:szCs w:val="20"/>
              </w:rPr>
              <w:t>Non-prostanoid prostacyclin receptor agonist</w:t>
            </w:r>
          </w:p>
        </w:tc>
      </w:tr>
      <w:tr w:rsidR="003622EF" w:rsidRPr="00252749" w14:paraId="6D9E8CDF" w14:textId="77777777" w:rsidTr="00CD6C47">
        <w:tc>
          <w:tcPr>
            <w:tcW w:w="462" w:type="pct"/>
            <w:shd w:val="clear" w:color="auto" w:fill="auto"/>
            <w:vAlign w:val="center"/>
          </w:tcPr>
          <w:p w14:paraId="582E7E36" w14:textId="77777777" w:rsidR="00EC7581" w:rsidRPr="00BF1C38" w:rsidRDefault="00EC7581" w:rsidP="00121658">
            <w:pPr>
              <w:pStyle w:val="05Tabletext"/>
              <w:ind w:left="0"/>
              <w:rPr>
                <w:rFonts w:ascii="Arial" w:hAnsi="Arial" w:cs="Arial"/>
                <w:sz w:val="20"/>
                <w:szCs w:val="20"/>
              </w:rPr>
            </w:pPr>
            <w:r w:rsidRPr="00BF1C38">
              <w:rPr>
                <w:rFonts w:ascii="Arial" w:hAnsi="Arial" w:cs="Arial"/>
                <w:i/>
                <w:color w:val="808080" w:themeColor="background1" w:themeShade="80"/>
                <w:sz w:val="20"/>
                <w:szCs w:val="20"/>
              </w:rPr>
              <w:t>Selexipag</w:t>
            </w:r>
          </w:p>
        </w:tc>
        <w:tc>
          <w:tcPr>
            <w:tcW w:w="458" w:type="pct"/>
            <w:shd w:val="clear" w:color="auto" w:fill="auto"/>
            <w:vAlign w:val="center"/>
          </w:tcPr>
          <w:p w14:paraId="0AACBA62" w14:textId="77777777" w:rsidR="00EC7581" w:rsidRPr="00BF1C38" w:rsidRDefault="00EC7581" w:rsidP="00121658">
            <w:pPr>
              <w:pStyle w:val="05Tabletext"/>
              <w:ind w:left="0"/>
              <w:rPr>
                <w:rFonts w:ascii="Arial" w:hAnsi="Arial" w:cs="Arial"/>
                <w:sz w:val="20"/>
                <w:szCs w:val="20"/>
              </w:rPr>
            </w:pPr>
            <w:r w:rsidRPr="00BF1C38">
              <w:rPr>
                <w:rFonts w:ascii="Arial" w:hAnsi="Arial" w:cs="Arial"/>
                <w:i/>
                <w:color w:val="808080" w:themeColor="background1" w:themeShade="80"/>
                <w:sz w:val="20"/>
                <w:szCs w:val="20"/>
              </w:rPr>
              <w:t>Non-prostanoid prostacyclin receptor agonist</w:t>
            </w:r>
          </w:p>
        </w:tc>
        <w:tc>
          <w:tcPr>
            <w:tcW w:w="355" w:type="pct"/>
            <w:shd w:val="clear" w:color="auto" w:fill="auto"/>
            <w:vAlign w:val="center"/>
          </w:tcPr>
          <w:p w14:paraId="1F76F022" w14:textId="77777777" w:rsidR="00EC7581" w:rsidRPr="00BF1C38" w:rsidRDefault="00EC7581" w:rsidP="00121658">
            <w:pPr>
              <w:pStyle w:val="05Tabletext"/>
              <w:ind w:left="0"/>
              <w:rPr>
                <w:rFonts w:ascii="Arial" w:hAnsi="Arial" w:cs="Arial"/>
                <w:sz w:val="20"/>
                <w:szCs w:val="20"/>
              </w:rPr>
            </w:pPr>
            <w:r w:rsidRPr="00BF1C38">
              <w:rPr>
                <w:rFonts w:ascii="Arial" w:hAnsi="Arial" w:cs="Arial"/>
                <w:i/>
                <w:color w:val="808080" w:themeColor="background1" w:themeShade="80"/>
                <w:sz w:val="20"/>
                <w:szCs w:val="20"/>
              </w:rPr>
              <w:t>B01AC27</w:t>
            </w:r>
          </w:p>
        </w:tc>
        <w:tc>
          <w:tcPr>
            <w:tcW w:w="828" w:type="pct"/>
            <w:shd w:val="clear" w:color="auto" w:fill="auto"/>
            <w:vAlign w:val="center"/>
          </w:tcPr>
          <w:p w14:paraId="30E71A79" w14:textId="0A8474E9" w:rsidR="00EC7581" w:rsidRPr="00BF1C38" w:rsidRDefault="00EC7581" w:rsidP="00121658">
            <w:pPr>
              <w:pStyle w:val="05Tabletext"/>
              <w:ind w:left="0"/>
              <w:rPr>
                <w:rFonts w:ascii="Arial" w:hAnsi="Arial" w:cs="Arial"/>
                <w:sz w:val="20"/>
                <w:szCs w:val="20"/>
              </w:rPr>
            </w:pPr>
            <w:r w:rsidRPr="00BF1C38">
              <w:rPr>
                <w:rFonts w:ascii="Arial" w:hAnsi="Arial" w:cs="Arial"/>
                <w:i/>
                <w:color w:val="808080" w:themeColor="background1" w:themeShade="80"/>
                <w:sz w:val="20"/>
                <w:szCs w:val="20"/>
              </w:rPr>
              <w:t>200, 400, 600, 800, 1000, 1200, 1400, 1600</w:t>
            </w:r>
            <w:r w:rsidR="000C43DA">
              <w:rPr>
                <w:rFonts w:ascii="Arial" w:hAnsi="Arial" w:cs="Arial"/>
                <w:i/>
                <w:color w:val="808080" w:themeColor="background1" w:themeShade="80"/>
                <w:sz w:val="20"/>
                <w:szCs w:val="20"/>
              </w:rPr>
              <w:t xml:space="preserve"> </w:t>
            </w:r>
            <w:r w:rsidRPr="00BF1C38">
              <w:rPr>
                <w:rFonts w:ascii="Arial" w:hAnsi="Arial" w:cs="Arial"/>
                <w:i/>
                <w:color w:val="808080" w:themeColor="background1" w:themeShade="80"/>
                <w:sz w:val="20"/>
                <w:szCs w:val="20"/>
              </w:rPr>
              <w:t>µg tablets</w:t>
            </w:r>
          </w:p>
        </w:tc>
        <w:tc>
          <w:tcPr>
            <w:tcW w:w="1683" w:type="pct"/>
            <w:shd w:val="clear" w:color="auto" w:fill="auto"/>
          </w:tcPr>
          <w:p w14:paraId="2CEF70CB" w14:textId="62711BBB" w:rsidR="00EC7581" w:rsidRPr="00BF1C38" w:rsidRDefault="00EC7581" w:rsidP="00121658">
            <w:pPr>
              <w:pStyle w:val="TableText"/>
              <w:rPr>
                <w:rFonts w:ascii="Arial" w:hAnsi="Arial"/>
                <w:i/>
                <w:color w:val="808080" w:themeColor="background1" w:themeShade="80"/>
                <w:szCs w:val="20"/>
              </w:rPr>
            </w:pPr>
            <w:r w:rsidRPr="00BF1C38">
              <w:rPr>
                <w:rFonts w:ascii="Arial" w:hAnsi="Arial"/>
                <w:i/>
                <w:color w:val="808080" w:themeColor="background1" w:themeShade="80"/>
                <w:szCs w:val="20"/>
              </w:rPr>
              <w:t>Starting dose 200</w:t>
            </w:r>
            <w:r w:rsidR="000C43DA">
              <w:rPr>
                <w:rFonts w:ascii="Arial" w:hAnsi="Arial"/>
                <w:i/>
                <w:color w:val="808080" w:themeColor="background1" w:themeShade="80"/>
                <w:szCs w:val="20"/>
              </w:rPr>
              <w:t xml:space="preserve"> </w:t>
            </w:r>
            <w:r w:rsidRPr="00BF1C38">
              <w:rPr>
                <w:rFonts w:ascii="Arial" w:hAnsi="Arial"/>
                <w:i/>
                <w:color w:val="808080" w:themeColor="background1" w:themeShade="80"/>
                <w:szCs w:val="20"/>
              </w:rPr>
              <w:t>µg twice daily</w:t>
            </w:r>
          </w:p>
          <w:p w14:paraId="78C6F79B" w14:textId="7DF28D8D" w:rsidR="00EC7581" w:rsidRPr="00BF1C38" w:rsidRDefault="00EC7581" w:rsidP="00121658">
            <w:pPr>
              <w:pStyle w:val="05Tabletext"/>
              <w:ind w:left="0"/>
              <w:rPr>
                <w:rFonts w:ascii="Arial" w:hAnsi="Arial" w:cs="Arial"/>
                <w:sz w:val="20"/>
                <w:szCs w:val="20"/>
              </w:rPr>
            </w:pPr>
            <w:r w:rsidRPr="00BF1C38">
              <w:rPr>
                <w:rFonts w:ascii="Arial" w:hAnsi="Arial" w:cs="Arial"/>
                <w:i/>
                <w:color w:val="808080" w:themeColor="background1" w:themeShade="80"/>
                <w:sz w:val="20"/>
                <w:szCs w:val="20"/>
              </w:rPr>
              <w:t>Titration in increments of 200</w:t>
            </w:r>
            <w:r w:rsidR="000C43DA">
              <w:rPr>
                <w:rFonts w:ascii="Arial" w:hAnsi="Arial" w:cs="Arial"/>
                <w:i/>
                <w:color w:val="808080" w:themeColor="background1" w:themeShade="80"/>
                <w:sz w:val="20"/>
                <w:szCs w:val="20"/>
              </w:rPr>
              <w:t xml:space="preserve"> </w:t>
            </w:r>
            <w:r w:rsidRPr="00BF1C38">
              <w:rPr>
                <w:rFonts w:ascii="Arial" w:hAnsi="Arial" w:cs="Arial"/>
                <w:i/>
                <w:color w:val="808080" w:themeColor="background1" w:themeShade="80"/>
                <w:sz w:val="20"/>
                <w:szCs w:val="20"/>
              </w:rPr>
              <w:t>µg twice daily at weekly intervals to maximum 1600</w:t>
            </w:r>
            <w:r w:rsidR="000C43DA">
              <w:rPr>
                <w:rFonts w:ascii="Arial" w:hAnsi="Arial" w:cs="Arial"/>
                <w:i/>
                <w:color w:val="808080" w:themeColor="background1" w:themeShade="80"/>
                <w:sz w:val="20"/>
                <w:szCs w:val="20"/>
              </w:rPr>
              <w:t xml:space="preserve"> </w:t>
            </w:r>
            <w:r w:rsidRPr="00BF1C38">
              <w:rPr>
                <w:rFonts w:ascii="Arial" w:hAnsi="Arial" w:cs="Arial"/>
                <w:i/>
                <w:color w:val="808080" w:themeColor="background1" w:themeShade="80"/>
                <w:sz w:val="20"/>
                <w:szCs w:val="20"/>
              </w:rPr>
              <w:t>µg twice daily</w:t>
            </w:r>
          </w:p>
        </w:tc>
        <w:tc>
          <w:tcPr>
            <w:tcW w:w="652" w:type="pct"/>
            <w:shd w:val="clear" w:color="auto" w:fill="auto"/>
            <w:vAlign w:val="center"/>
          </w:tcPr>
          <w:p w14:paraId="0415E9AD" w14:textId="77777777" w:rsidR="00EC7581" w:rsidRPr="00BF1C38" w:rsidRDefault="00EC7581" w:rsidP="00121658">
            <w:pPr>
              <w:pStyle w:val="05Tabletext"/>
              <w:ind w:left="0"/>
              <w:rPr>
                <w:rFonts w:ascii="Arial" w:hAnsi="Arial" w:cs="Arial"/>
                <w:sz w:val="20"/>
                <w:szCs w:val="20"/>
              </w:rPr>
            </w:pPr>
            <w:r w:rsidRPr="00BF1C38">
              <w:rPr>
                <w:rFonts w:ascii="Arial" w:hAnsi="Arial" w:cs="Arial"/>
                <w:i/>
                <w:color w:val="808080" w:themeColor="background1" w:themeShade="80"/>
                <w:sz w:val="20"/>
                <w:szCs w:val="20"/>
              </w:rPr>
              <w:t>Oral</w:t>
            </w:r>
          </w:p>
        </w:tc>
        <w:tc>
          <w:tcPr>
            <w:tcW w:w="562" w:type="pct"/>
            <w:shd w:val="clear" w:color="auto" w:fill="auto"/>
            <w:vAlign w:val="center"/>
          </w:tcPr>
          <w:p w14:paraId="57B248C5" w14:textId="77777777" w:rsidR="00EC7581" w:rsidRPr="00BF1C38" w:rsidRDefault="00EC7581" w:rsidP="00121658">
            <w:pPr>
              <w:pStyle w:val="05Tabletext"/>
              <w:ind w:left="0"/>
              <w:rPr>
                <w:rFonts w:ascii="Arial" w:hAnsi="Arial" w:cs="Arial"/>
                <w:sz w:val="20"/>
                <w:szCs w:val="20"/>
              </w:rPr>
            </w:pPr>
            <w:r w:rsidRPr="00BF1C38">
              <w:rPr>
                <w:rFonts w:ascii="Arial" w:hAnsi="Arial" w:cs="Arial"/>
                <w:i/>
                <w:color w:val="808080" w:themeColor="background1" w:themeShade="80"/>
                <w:sz w:val="20"/>
                <w:szCs w:val="20"/>
              </w:rPr>
              <w:t>24 March 2016</w:t>
            </w:r>
          </w:p>
        </w:tc>
      </w:tr>
    </w:tbl>
    <w:p w14:paraId="768F4902" w14:textId="77777777" w:rsidR="00EC7581" w:rsidRPr="002E566F" w:rsidRDefault="00EC7581" w:rsidP="00121658">
      <w:pPr>
        <w:pStyle w:val="11TableorFigurefootnotenostick"/>
        <w:spacing w:after="0"/>
        <w:rPr>
          <w:rFonts w:ascii="Arial" w:hAnsi="Arial" w:cs="Arial"/>
          <w:szCs w:val="16"/>
        </w:rPr>
      </w:pPr>
      <w:r w:rsidRPr="002E566F">
        <w:rPr>
          <w:rFonts w:ascii="Arial" w:hAnsi="Arial" w:cs="Arial"/>
          <w:szCs w:val="16"/>
        </w:rPr>
        <w:t xml:space="preserve">Abbreviations: ATC = Anatomical Therapeutic Chemical code; ARTG = Australian Register of Therapeutic Goods; IV = intravenous; MTD = Maximum Tolerable Dose; PI = Product Information; PSD = Public Summary Document; SC = subcutaneous; </w:t>
      </w:r>
      <w:proofErr w:type="spellStart"/>
      <w:r w:rsidRPr="002E566F">
        <w:rPr>
          <w:rFonts w:ascii="Arial" w:hAnsi="Arial" w:cs="Arial"/>
          <w:i/>
          <w:szCs w:val="16"/>
        </w:rPr>
        <w:t>tid</w:t>
      </w:r>
      <w:proofErr w:type="spellEnd"/>
      <w:r w:rsidRPr="002E566F">
        <w:rPr>
          <w:rFonts w:ascii="Arial" w:hAnsi="Arial" w:cs="Arial"/>
          <w:szCs w:val="16"/>
        </w:rPr>
        <w:t xml:space="preserve"> = three times daily</w:t>
      </w:r>
    </w:p>
    <w:p w14:paraId="71F0D79F" w14:textId="77777777" w:rsidR="00EC7581" w:rsidRPr="002E566F" w:rsidRDefault="00EC7581" w:rsidP="00121658">
      <w:pPr>
        <w:pStyle w:val="11TableorFigurefootnotenostick"/>
        <w:spacing w:after="0"/>
        <w:rPr>
          <w:rFonts w:ascii="Arial" w:hAnsi="Arial" w:cs="Arial"/>
          <w:szCs w:val="16"/>
        </w:rPr>
      </w:pPr>
      <w:proofErr w:type="gramStart"/>
      <w:r w:rsidRPr="002E566F">
        <w:rPr>
          <w:rFonts w:ascii="Arial" w:hAnsi="Arial" w:cs="Arial"/>
          <w:szCs w:val="16"/>
          <w:vertAlign w:val="superscript"/>
        </w:rPr>
        <w:t>a</w:t>
      </w:r>
      <w:proofErr w:type="gramEnd"/>
      <w:r w:rsidRPr="002E566F">
        <w:rPr>
          <w:rFonts w:ascii="Arial" w:hAnsi="Arial" w:cs="Arial"/>
          <w:szCs w:val="16"/>
        </w:rPr>
        <w:t xml:space="preserve"> Corresponding to date of first registration where there is more than one brand on the market</w:t>
      </w:r>
    </w:p>
    <w:p w14:paraId="3F8CDF61" w14:textId="77777777" w:rsidR="00EC7581" w:rsidRPr="002E566F" w:rsidRDefault="00EC7581" w:rsidP="00121658">
      <w:pPr>
        <w:pStyle w:val="11TableorFigurefootnotenostick"/>
        <w:spacing w:after="0"/>
        <w:rPr>
          <w:rFonts w:ascii="Arial" w:hAnsi="Arial" w:cs="Arial"/>
          <w:szCs w:val="16"/>
          <w:vertAlign w:val="superscript"/>
        </w:rPr>
      </w:pPr>
      <w:r w:rsidRPr="002E566F">
        <w:rPr>
          <w:rFonts w:ascii="Arial" w:hAnsi="Arial" w:cs="Arial"/>
          <w:szCs w:val="16"/>
        </w:rPr>
        <w:t>Source: Relevant product information documents and PBAC public summary documents</w:t>
      </w:r>
    </w:p>
    <w:p w14:paraId="1A626661" w14:textId="77777777" w:rsidR="00220C07" w:rsidRDefault="00220C07" w:rsidP="00121658">
      <w:pPr>
        <w:pStyle w:val="11TableorFigurefootnotenostick"/>
      </w:pPr>
    </w:p>
    <w:p w14:paraId="4BFE5E6B" w14:textId="77777777" w:rsidR="000A5911" w:rsidRPr="007151BC" w:rsidRDefault="000A5911" w:rsidP="00121658">
      <w:pPr>
        <w:pStyle w:val="BodyText"/>
        <w:jc w:val="left"/>
        <w:rPr>
          <w:rFonts w:ascii="Calibri" w:hAnsi="Calibri"/>
        </w:rPr>
        <w:sectPr w:rsidR="000A5911" w:rsidRPr="007151BC" w:rsidSect="009400A3">
          <w:headerReference w:type="even" r:id="rId17"/>
          <w:footerReference w:type="default" r:id="rId18"/>
          <w:headerReference w:type="first" r:id="rId19"/>
          <w:footnotePr>
            <w:numFmt w:val="chicago"/>
          </w:footnotePr>
          <w:pgSz w:w="16838" w:h="11906" w:orient="landscape"/>
          <w:pgMar w:top="851" w:right="1134" w:bottom="851" w:left="1134" w:header="709" w:footer="709" w:gutter="0"/>
          <w:cols w:space="708"/>
          <w:docGrid w:linePitch="360"/>
        </w:sectPr>
      </w:pPr>
    </w:p>
    <w:p w14:paraId="78791E23" w14:textId="77777777" w:rsidR="00353269" w:rsidRPr="00252749" w:rsidRDefault="001008C6" w:rsidP="00121658">
      <w:pPr>
        <w:pStyle w:val="Heading4"/>
        <w:rPr>
          <w:rFonts w:eastAsiaTheme="minorEastAsia"/>
        </w:rPr>
      </w:pPr>
      <w:bookmarkStart w:id="44" w:name="_Ref503789524"/>
      <w:bookmarkStart w:id="45" w:name="_Ref503792061"/>
      <w:bookmarkStart w:id="46" w:name="_Ref503792889"/>
      <w:bookmarkStart w:id="47" w:name="_Toc503800631"/>
      <w:bookmarkStart w:id="48" w:name="_Toc503811583"/>
      <w:bookmarkStart w:id="49" w:name="_Ref467972273"/>
      <w:bookmarkStart w:id="50" w:name="_Toc471890872"/>
      <w:bookmarkStart w:id="51" w:name="_Toc480371864"/>
      <w:bookmarkStart w:id="52" w:name="_Toc486514203"/>
      <w:bookmarkStart w:id="53" w:name="_Ref467687842"/>
      <w:bookmarkStart w:id="54" w:name="_Toc468034421"/>
      <w:bookmarkStart w:id="55" w:name="_Toc486016448"/>
      <w:bookmarkStart w:id="56" w:name="_Toc486514237"/>
      <w:r w:rsidRPr="00252749">
        <w:rPr>
          <w:rFonts w:eastAsiaTheme="minorEastAsia"/>
        </w:rPr>
        <w:lastRenderedPageBreak/>
        <w:t>B</w:t>
      </w:r>
      <w:r w:rsidR="00123B2E">
        <w:rPr>
          <w:rFonts w:eastAsiaTheme="minorEastAsia"/>
        </w:rPr>
        <w:t>.</w:t>
      </w:r>
      <w:r w:rsidR="00314F5A" w:rsidRPr="00252749">
        <w:rPr>
          <w:rFonts w:eastAsiaTheme="minorEastAsia"/>
        </w:rPr>
        <w:t>4.4.</w:t>
      </w:r>
      <w:r w:rsidRPr="00252749">
        <w:rPr>
          <w:rFonts w:eastAsiaTheme="minorEastAsia"/>
        </w:rPr>
        <w:t>4</w:t>
      </w:r>
      <w:r w:rsidR="002223F1" w:rsidRPr="00252749">
        <w:rPr>
          <w:rFonts w:eastAsiaTheme="minorEastAsia"/>
        </w:rPr>
        <w:t xml:space="preserve"> </w:t>
      </w:r>
      <w:r w:rsidR="00353269" w:rsidRPr="00252749">
        <w:rPr>
          <w:rFonts w:eastAsiaTheme="minorEastAsia"/>
        </w:rPr>
        <w:t xml:space="preserve">Reports of combination use </w:t>
      </w:r>
      <w:r w:rsidR="00D93921" w:rsidRPr="00252749">
        <w:rPr>
          <w:rFonts w:eastAsiaTheme="minorEastAsia"/>
        </w:rPr>
        <w:t xml:space="preserve">of </w:t>
      </w:r>
      <w:r w:rsidR="00F95235" w:rsidRPr="00252749">
        <w:rPr>
          <w:rFonts w:eastAsiaTheme="minorEastAsia"/>
        </w:rPr>
        <w:t>PAH medicines</w:t>
      </w:r>
      <w:r w:rsidR="00353269" w:rsidRPr="00252749">
        <w:rPr>
          <w:rFonts w:eastAsiaTheme="minorEastAsia"/>
        </w:rPr>
        <w:t xml:space="preserve"> in Australia</w:t>
      </w:r>
      <w:bookmarkEnd w:id="44"/>
      <w:bookmarkEnd w:id="45"/>
      <w:bookmarkEnd w:id="46"/>
      <w:bookmarkEnd w:id="47"/>
      <w:bookmarkEnd w:id="48"/>
    </w:p>
    <w:p w14:paraId="59861ACD" w14:textId="77777777" w:rsidR="00334C4E" w:rsidRPr="00B66E09" w:rsidRDefault="00353269" w:rsidP="00121658">
      <w:pPr>
        <w:pStyle w:val="BodyTextnospacebefore"/>
        <w:rPr>
          <w:rFonts w:cstheme="minorHAnsi"/>
        </w:rPr>
      </w:pPr>
      <w:r w:rsidRPr="00B66E09">
        <w:rPr>
          <w:rFonts w:cstheme="minorHAnsi"/>
        </w:rPr>
        <w:t xml:space="preserve">The </w:t>
      </w:r>
      <w:r w:rsidRPr="00B66E09">
        <w:t xml:space="preserve">PBAC has previously acknowledged that the combination use of </w:t>
      </w:r>
      <w:r w:rsidR="00F95235" w:rsidRPr="00B66E09">
        <w:t>PAH medicines</w:t>
      </w:r>
      <w:r w:rsidRPr="00B66E09">
        <w:t xml:space="preserve"> occurs in current clinical practice in Australia</w:t>
      </w:r>
      <w:r w:rsidR="00600DE1" w:rsidRPr="00B66E09">
        <w:t xml:space="preserve">. </w:t>
      </w:r>
      <w:r w:rsidR="00126781" w:rsidRPr="00B66E09">
        <w:t>T</w:t>
      </w:r>
      <w:r w:rsidR="006E70CC" w:rsidRPr="00B66E09">
        <w:t>he concurrent use of second and third PAH medicines</w:t>
      </w:r>
      <w:r w:rsidR="00126781" w:rsidRPr="00B66E09">
        <w:t xml:space="preserve"> (i.e. in addition to PBS subsidised monotherapy) </w:t>
      </w:r>
      <w:r w:rsidRPr="00B66E09">
        <w:t xml:space="preserve">is funded </w:t>
      </w:r>
      <w:r w:rsidR="006E70CC" w:rsidRPr="00B66E09">
        <w:t xml:space="preserve">through sources </w:t>
      </w:r>
      <w:r w:rsidRPr="00B66E09">
        <w:t xml:space="preserve">outside the PBS. </w:t>
      </w:r>
      <w:r w:rsidR="006E70CC" w:rsidRPr="00B66E09">
        <w:t>S</w:t>
      </w:r>
      <w:r w:rsidRPr="00B66E09">
        <w:t xml:space="preserve">ubmissions </w:t>
      </w:r>
      <w:r w:rsidR="00075120" w:rsidRPr="00B66E09">
        <w:t xml:space="preserve">from the Council of Australian Therapeutic Advisory Groups (CATAG), </w:t>
      </w:r>
      <w:r w:rsidR="002223F1" w:rsidRPr="00B66E09">
        <w:t xml:space="preserve">the </w:t>
      </w:r>
      <w:r w:rsidR="00075120" w:rsidRPr="00B66E09">
        <w:t xml:space="preserve">Thoracic Society of Australia and New Zealand (TSANZ) and PHSANZ </w:t>
      </w:r>
      <w:r w:rsidRPr="00B66E09">
        <w:t xml:space="preserve">to this </w:t>
      </w:r>
      <w:r w:rsidR="007B2088">
        <w:t>PMR</w:t>
      </w:r>
      <w:r w:rsidRPr="00B66E09">
        <w:rPr>
          <w:rFonts w:cstheme="minorHAnsi"/>
        </w:rPr>
        <w:t xml:space="preserve"> and the published literature</w:t>
      </w:r>
      <w:r w:rsidR="009C556B">
        <w:rPr>
          <w:noProof/>
          <w:vertAlign w:val="superscript"/>
        </w:rPr>
        <w:t>14</w:t>
      </w:r>
      <w:r w:rsidR="00472000" w:rsidRPr="00B66E09">
        <w:rPr>
          <w:noProof/>
          <w:vertAlign w:val="superscript"/>
        </w:rPr>
        <w:t>,</w:t>
      </w:r>
      <w:r w:rsidR="009C556B">
        <w:rPr>
          <w:noProof/>
          <w:vertAlign w:val="superscript"/>
        </w:rPr>
        <w:t>16</w:t>
      </w:r>
      <w:r w:rsidR="00472000" w:rsidRPr="00B66E09">
        <w:rPr>
          <w:noProof/>
          <w:vertAlign w:val="superscript"/>
        </w:rPr>
        <w:t>,</w:t>
      </w:r>
      <w:r w:rsidR="009C556B">
        <w:rPr>
          <w:noProof/>
          <w:vertAlign w:val="superscript"/>
        </w:rPr>
        <w:t>12</w:t>
      </w:r>
      <w:r w:rsidR="00472000" w:rsidRPr="00B66E09">
        <w:rPr>
          <w:noProof/>
          <w:vertAlign w:val="superscript"/>
        </w:rPr>
        <w:t>,</w:t>
      </w:r>
      <w:r w:rsidR="009C556B">
        <w:rPr>
          <w:noProof/>
          <w:vertAlign w:val="superscript"/>
        </w:rPr>
        <w:t>13</w:t>
      </w:r>
      <w:r w:rsidR="00650210" w:rsidRPr="00B66E09">
        <w:rPr>
          <w:noProof/>
          <w:vertAlign w:val="superscript"/>
        </w:rPr>
        <w:t>,</w:t>
      </w:r>
      <w:r w:rsidR="00244669" w:rsidRPr="00B66E09">
        <w:rPr>
          <w:noProof/>
          <w:vertAlign w:val="superscript"/>
        </w:rPr>
        <w:t>17</w:t>
      </w:r>
      <w:r w:rsidR="00AD5787" w:rsidRPr="00B66E09">
        <w:rPr>
          <w:noProof/>
          <w:vertAlign w:val="superscript"/>
        </w:rPr>
        <w:t xml:space="preserve"> </w:t>
      </w:r>
      <w:r w:rsidR="006E70CC" w:rsidRPr="00B66E09">
        <w:rPr>
          <w:rFonts w:cstheme="minorHAnsi"/>
        </w:rPr>
        <w:t xml:space="preserve">confirmed that </w:t>
      </w:r>
      <w:r w:rsidR="00126781" w:rsidRPr="00B66E09">
        <w:t>sources</w:t>
      </w:r>
      <w:r w:rsidR="00472000" w:rsidRPr="00B66E09">
        <w:t xml:space="preserve"> of medicines</w:t>
      </w:r>
      <w:r w:rsidR="00126781" w:rsidRPr="00B66E09">
        <w:t xml:space="preserve"> </w:t>
      </w:r>
      <w:r w:rsidR="00650210" w:rsidRPr="00B66E09">
        <w:t>includ</w:t>
      </w:r>
      <w:r w:rsidR="00126781" w:rsidRPr="00B66E09">
        <w:t>e</w:t>
      </w:r>
      <w:r w:rsidR="00650210" w:rsidRPr="00B66E09">
        <w:t xml:space="preserve"> compassionate access through hospitals or the pharmaceutical industry schemes, </w:t>
      </w:r>
      <w:r w:rsidR="00A26362" w:rsidRPr="00B66E09">
        <w:t>pharmaceutical company sponsored clinical trial</w:t>
      </w:r>
      <w:r w:rsidR="00F958DA" w:rsidRPr="00B66E09">
        <w:t>s</w:t>
      </w:r>
      <w:r w:rsidR="00A26362" w:rsidRPr="00B66E09">
        <w:t xml:space="preserve">, </w:t>
      </w:r>
      <w:r w:rsidR="002223F1" w:rsidRPr="00B66E09">
        <w:t>self-funding</w:t>
      </w:r>
      <w:r w:rsidR="00A26362" w:rsidRPr="00B66E09">
        <w:t xml:space="preserve"> and </w:t>
      </w:r>
      <w:r w:rsidR="00650210" w:rsidRPr="00B66E09">
        <w:t>hospital funding</w:t>
      </w:r>
      <w:bookmarkStart w:id="57" w:name="_Ref502753358"/>
      <w:bookmarkStart w:id="58" w:name="_Toc503047868"/>
      <w:r w:rsidR="0012341F">
        <w:t>.</w:t>
      </w:r>
    </w:p>
    <w:p w14:paraId="08BF0E81" w14:textId="77777777" w:rsidR="00334C4E" w:rsidRPr="00B66E09" w:rsidRDefault="00075120" w:rsidP="00121658">
      <w:pPr>
        <w:pStyle w:val="BodyTextnospacebefore"/>
      </w:pPr>
      <w:bookmarkStart w:id="59" w:name="_Ref503695647"/>
      <w:bookmarkEnd w:id="57"/>
      <w:bookmarkEnd w:id="58"/>
      <w:r w:rsidRPr="00B66E09">
        <w:t>The</w:t>
      </w:r>
      <w:r w:rsidR="00334C4E" w:rsidRPr="00B66E09">
        <w:t xml:space="preserve"> </w:t>
      </w:r>
      <w:r w:rsidR="00334C4E" w:rsidRPr="00F4698B">
        <w:t xml:space="preserve">CATAG </w:t>
      </w:r>
      <w:r w:rsidRPr="00F4698B">
        <w:t>submission</w:t>
      </w:r>
      <w:r w:rsidRPr="00B66E09">
        <w:t xml:space="preserve"> </w:t>
      </w:r>
      <w:r w:rsidR="0044699C" w:rsidRPr="00B66E09">
        <w:t xml:space="preserve">to the Review </w:t>
      </w:r>
      <w:r w:rsidR="00334C4E" w:rsidRPr="00B66E09">
        <w:t>describe</w:t>
      </w:r>
      <w:r w:rsidR="00244669" w:rsidRPr="00B66E09">
        <w:t>d</w:t>
      </w:r>
      <w:r w:rsidR="00334C4E" w:rsidRPr="00B66E09">
        <w:t xml:space="preserve"> survey responses sought from hospital </w:t>
      </w:r>
      <w:r w:rsidR="008D3756">
        <w:t>d</w:t>
      </w:r>
      <w:r w:rsidR="008D3756" w:rsidRPr="00B66E09">
        <w:t xml:space="preserve">rugs </w:t>
      </w:r>
      <w:r w:rsidR="00334C4E" w:rsidRPr="00B66E09">
        <w:t xml:space="preserve">and </w:t>
      </w:r>
      <w:r w:rsidR="008D3756">
        <w:t>t</w:t>
      </w:r>
      <w:r w:rsidR="00334C4E" w:rsidRPr="00B66E09">
        <w:t xml:space="preserve">herapeutic </w:t>
      </w:r>
      <w:r w:rsidR="008D3756">
        <w:t>c</w:t>
      </w:r>
      <w:r w:rsidR="00334C4E" w:rsidRPr="00B66E09">
        <w:t xml:space="preserve">ommittees (DTCs) nationwide about the use and funding of PAH medicines over a two year period (December 2014 – December 2016). Survey responses indicated that hospital formulary listings provide for combination use in a number of cases, typically with either tadalafil or sildenafil in combination with ERAs. </w:t>
      </w:r>
      <w:r w:rsidR="002223F1" w:rsidRPr="00B66E09">
        <w:t xml:space="preserve">Where </w:t>
      </w:r>
      <w:r w:rsidR="00334C4E" w:rsidRPr="00B66E09">
        <w:t xml:space="preserve">the formulary listing did not permit combination use, individual patient use exemptions </w:t>
      </w:r>
      <w:proofErr w:type="gramStart"/>
      <w:r w:rsidR="00334C4E" w:rsidRPr="00B66E09">
        <w:t>were employed</w:t>
      </w:r>
      <w:proofErr w:type="gramEnd"/>
      <w:r w:rsidR="00334C4E" w:rsidRPr="00B66E09">
        <w:t xml:space="preserve"> to allow acces</w:t>
      </w:r>
      <w:r w:rsidR="0012341F">
        <w:t>s to combination PAH medicines.</w:t>
      </w:r>
    </w:p>
    <w:p w14:paraId="249C3126" w14:textId="77777777" w:rsidR="00334C4E" w:rsidRPr="00B66E09" w:rsidRDefault="00334C4E" w:rsidP="00121658">
      <w:pPr>
        <w:pStyle w:val="BodyTextnospacebefore"/>
      </w:pPr>
      <w:r w:rsidRPr="00B66E09">
        <w:t xml:space="preserve">CATAG commented that some </w:t>
      </w:r>
      <w:r w:rsidR="00075120" w:rsidRPr="00B66E09">
        <w:t>managed access and compassionate use</w:t>
      </w:r>
      <w:r w:rsidRPr="00B66E09">
        <w:t xml:space="preserve"> programs </w:t>
      </w:r>
      <w:proofErr w:type="gramStart"/>
      <w:r w:rsidRPr="00B66E09">
        <w:t>are managed</w:t>
      </w:r>
      <w:proofErr w:type="gramEnd"/>
      <w:r w:rsidRPr="00B66E09">
        <w:t xml:space="preserve"> through community pharmacies, outside the hospital system entirely </w:t>
      </w:r>
      <w:r w:rsidR="00A26362" w:rsidRPr="00B66E09">
        <w:t xml:space="preserve">and </w:t>
      </w:r>
      <w:r w:rsidRPr="00B66E09">
        <w:t>thus</w:t>
      </w:r>
      <w:r w:rsidR="00A26362" w:rsidRPr="00B66E09">
        <w:t xml:space="preserve"> as a result, </w:t>
      </w:r>
      <w:r w:rsidRPr="00B66E09">
        <w:t>patient numbers managed through the hospitals were unexpectedly low</w:t>
      </w:r>
      <w:r w:rsidR="00A26362" w:rsidRPr="00B66E09">
        <w:t>.</w:t>
      </w:r>
    </w:p>
    <w:p w14:paraId="171640D2" w14:textId="77777777" w:rsidR="003622EF" w:rsidRPr="00894B2B" w:rsidRDefault="007E6AC0" w:rsidP="00121658">
      <w:pPr>
        <w:pStyle w:val="Heading3"/>
        <w:numPr>
          <w:ilvl w:val="0"/>
          <w:numId w:val="0"/>
        </w:numPr>
      </w:pPr>
      <w:bookmarkStart w:id="60" w:name="_Ref505611908"/>
      <w:bookmarkStart w:id="61" w:name="_Ref505612059"/>
      <w:bookmarkStart w:id="62" w:name="_Toc38377491"/>
      <w:bookmarkEnd w:id="59"/>
      <w:r w:rsidRPr="00894B2B">
        <w:t>B</w:t>
      </w:r>
      <w:r w:rsidR="005F0E94" w:rsidRPr="00894B2B">
        <w:t>.</w:t>
      </w:r>
      <w:r w:rsidR="006B6C0F" w:rsidRPr="00894B2B">
        <w:t>4.5</w:t>
      </w:r>
      <w:r w:rsidR="002223F1" w:rsidRPr="00894B2B">
        <w:t xml:space="preserve">. </w:t>
      </w:r>
      <w:r w:rsidR="003622EF" w:rsidRPr="00894B2B">
        <w:t>P</w:t>
      </w:r>
      <w:r w:rsidR="00244669" w:rsidRPr="00894B2B">
        <w:t xml:space="preserve">ulmonary </w:t>
      </w:r>
      <w:r w:rsidR="003622EF" w:rsidRPr="00894B2B">
        <w:t>A</w:t>
      </w:r>
      <w:r w:rsidR="00244669" w:rsidRPr="00894B2B">
        <w:t xml:space="preserve">rterial </w:t>
      </w:r>
      <w:r w:rsidR="003622EF" w:rsidRPr="00894B2B">
        <w:t>H</w:t>
      </w:r>
      <w:r w:rsidR="00244669" w:rsidRPr="00894B2B">
        <w:t>ypertension</w:t>
      </w:r>
      <w:r w:rsidR="003622EF" w:rsidRPr="00894B2B">
        <w:t xml:space="preserve"> medicines on the PBS</w:t>
      </w:r>
      <w:bookmarkEnd w:id="49"/>
      <w:bookmarkEnd w:id="50"/>
      <w:bookmarkEnd w:id="51"/>
      <w:bookmarkEnd w:id="52"/>
      <w:bookmarkEnd w:id="60"/>
      <w:bookmarkEnd w:id="61"/>
      <w:bookmarkEnd w:id="62"/>
    </w:p>
    <w:p w14:paraId="4BC16CBD" w14:textId="77777777" w:rsidR="003622EF" w:rsidRPr="005F0E94" w:rsidRDefault="005F0E94" w:rsidP="00121658">
      <w:pPr>
        <w:pStyle w:val="Heading4"/>
      </w:pPr>
      <w:bookmarkStart w:id="63" w:name="_B.4.5.1_PBS_listing"/>
      <w:bookmarkStart w:id="64" w:name="_Toc480371865"/>
      <w:bookmarkStart w:id="65" w:name="_Toc486514204"/>
      <w:bookmarkStart w:id="66" w:name="_Ref505611915"/>
      <w:bookmarkStart w:id="67" w:name="_Ref505612027"/>
      <w:bookmarkEnd w:id="63"/>
      <w:r>
        <w:t xml:space="preserve">B.4.5.1 </w:t>
      </w:r>
      <w:r w:rsidR="003622EF" w:rsidRPr="005F0E94">
        <w:t>PBS listing history</w:t>
      </w:r>
      <w:bookmarkEnd w:id="64"/>
      <w:bookmarkEnd w:id="65"/>
      <w:bookmarkEnd w:id="66"/>
      <w:bookmarkEnd w:id="67"/>
    </w:p>
    <w:p w14:paraId="56756E31" w14:textId="77777777" w:rsidR="00472000" w:rsidRPr="00B66E09" w:rsidRDefault="00472000" w:rsidP="00121658">
      <w:pPr>
        <w:pStyle w:val="BodyTextnospacebefore"/>
      </w:pPr>
      <w:r w:rsidRPr="00B66E09">
        <w:t>Currently, eight PAH medicines are subsidised through the PBS according to the specific subtypes of PAH, and to disease severity.</w:t>
      </w:r>
    </w:p>
    <w:p w14:paraId="72113E57" w14:textId="77777777" w:rsidR="00472000" w:rsidRPr="00B66E09" w:rsidRDefault="00244669" w:rsidP="00121658">
      <w:pPr>
        <w:pStyle w:val="BodyTextnospacebefore"/>
      </w:pPr>
      <w:r w:rsidRPr="00B66E09">
        <w:t xml:space="preserve">The first targeted </w:t>
      </w:r>
      <w:r w:rsidR="00472000" w:rsidRPr="00B66E09">
        <w:t xml:space="preserve">PBS-listed </w:t>
      </w:r>
      <w:r w:rsidRPr="00B66E09">
        <w:t xml:space="preserve">medicine for PAH was </w:t>
      </w:r>
      <w:r w:rsidR="0094680E" w:rsidRPr="00B66E09">
        <w:t>b</w:t>
      </w:r>
      <w:r w:rsidR="00184AC7" w:rsidRPr="00B66E09">
        <w:t>osentan</w:t>
      </w:r>
      <w:r w:rsidRPr="00B66E09">
        <w:t xml:space="preserve"> in March 2004. </w:t>
      </w:r>
      <w:proofErr w:type="spellStart"/>
      <w:r w:rsidR="004575B0" w:rsidRPr="00B66E09">
        <w:t>Sitaxentan</w:t>
      </w:r>
      <w:proofErr w:type="spellEnd"/>
      <w:r w:rsidR="004575B0" w:rsidRPr="00B66E09">
        <w:t>, i</w:t>
      </w:r>
      <w:r w:rsidRPr="00B66E09">
        <w:t>loprost, epoprostenol, sildenafil, ambrisentan</w:t>
      </w:r>
      <w:r w:rsidR="00184AC7" w:rsidRPr="00B66E09">
        <w:t xml:space="preserve"> and </w:t>
      </w:r>
      <w:r w:rsidRPr="00B66E09">
        <w:t xml:space="preserve">tadalafil </w:t>
      </w:r>
      <w:proofErr w:type="gramStart"/>
      <w:r w:rsidRPr="00B66E09">
        <w:t>were listed</w:t>
      </w:r>
      <w:proofErr w:type="gramEnd"/>
      <w:r w:rsidRPr="00B66E09">
        <w:t xml:space="preserve"> in the </w:t>
      </w:r>
      <w:r w:rsidR="00184AC7" w:rsidRPr="00B66E09">
        <w:t xml:space="preserve">next </w:t>
      </w:r>
      <w:r w:rsidRPr="00B66E09">
        <w:t>five years</w:t>
      </w:r>
      <w:r w:rsidR="00184AC7" w:rsidRPr="00B66E09">
        <w:t>, with macitentan and riociguat following in 2014 and 2017 respectively.</w:t>
      </w:r>
      <w:r w:rsidR="004575B0" w:rsidRPr="00B66E09">
        <w:t xml:space="preserve"> </w:t>
      </w:r>
      <w:proofErr w:type="spellStart"/>
      <w:r w:rsidR="004575B0" w:rsidRPr="00B66E09">
        <w:t>Sitaxentan</w:t>
      </w:r>
      <w:proofErr w:type="spellEnd"/>
      <w:r w:rsidR="004575B0" w:rsidRPr="00B66E09">
        <w:t xml:space="preserve"> </w:t>
      </w:r>
      <w:proofErr w:type="gramStart"/>
      <w:r w:rsidR="004575B0" w:rsidRPr="00B66E09">
        <w:t>was de-listed</w:t>
      </w:r>
      <w:proofErr w:type="gramEnd"/>
      <w:r w:rsidR="004575B0" w:rsidRPr="00B66E09">
        <w:t xml:space="preserve"> in 2011 due to safety concerns.</w:t>
      </w:r>
    </w:p>
    <w:p w14:paraId="1A918911" w14:textId="77777777" w:rsidR="00472000" w:rsidRPr="00B66E09" w:rsidRDefault="00A26362" w:rsidP="00121658">
      <w:pPr>
        <w:pStyle w:val="BodyTextnospacebefore"/>
      </w:pPr>
      <w:r w:rsidRPr="00B66E09">
        <w:t xml:space="preserve">The date of PBS listing </w:t>
      </w:r>
      <w:r w:rsidR="00F958DA" w:rsidRPr="00B66E09">
        <w:t xml:space="preserve">of </w:t>
      </w:r>
      <w:r w:rsidR="003B74ED" w:rsidRPr="00B66E09">
        <w:t xml:space="preserve">individual </w:t>
      </w:r>
      <w:r w:rsidR="00F958DA" w:rsidRPr="00B66E09">
        <w:t xml:space="preserve">PAH medicines </w:t>
      </w:r>
      <w:r w:rsidRPr="00B66E09">
        <w:t xml:space="preserve">and the indications for </w:t>
      </w:r>
      <w:r w:rsidR="00F958DA" w:rsidRPr="00B66E09">
        <w:t xml:space="preserve">PBS </w:t>
      </w:r>
      <w:r w:rsidRPr="00B66E09">
        <w:t xml:space="preserve">subsidy </w:t>
      </w:r>
      <w:proofErr w:type="gramStart"/>
      <w:r w:rsidR="003622EF" w:rsidRPr="00B66E09">
        <w:t xml:space="preserve">are </w:t>
      </w:r>
      <w:r w:rsidR="00F958DA" w:rsidRPr="00B66E09">
        <w:t>shown</w:t>
      </w:r>
      <w:proofErr w:type="gramEnd"/>
      <w:r w:rsidR="003622EF" w:rsidRPr="00B66E09">
        <w:t xml:space="preserve"> </w:t>
      </w:r>
      <w:r w:rsidR="003622EF" w:rsidRPr="00CE16FA">
        <w:rPr>
          <w:color w:val="000000" w:themeColor="text1"/>
        </w:rPr>
        <w:t xml:space="preserve">in </w:t>
      </w:r>
      <w:r w:rsidR="00CE16FA" w:rsidRPr="00F4698B">
        <w:t>Table B.4</w:t>
      </w:r>
      <w:r w:rsidR="003C17FA" w:rsidRPr="00F4698B">
        <w:t>.</w:t>
      </w:r>
      <w:r w:rsidR="003C17FA" w:rsidRPr="00CE16FA">
        <w:rPr>
          <w:color w:val="000000" w:themeColor="text1"/>
        </w:rPr>
        <w:t xml:space="preserve"> </w:t>
      </w:r>
      <w:r w:rsidR="00472000" w:rsidRPr="00CE16FA">
        <w:rPr>
          <w:color w:val="000000" w:themeColor="text1"/>
        </w:rPr>
        <w:t>A</w:t>
      </w:r>
      <w:r w:rsidR="00472000" w:rsidRPr="00252749">
        <w:t xml:space="preserve"> summary of all PBAC considerations to date for PAH medicines (including recommendations and rejections) and information on the Dispensed Price for Maximum Quantity (DPMQ), authority types and treatment phases for PAH medicines are in </w:t>
      </w:r>
      <w:r w:rsidR="00505D99">
        <w:t xml:space="preserve">Appendix </w:t>
      </w:r>
      <w:r w:rsidR="00505D99">
        <w:rPr>
          <w:noProof/>
        </w:rPr>
        <w:t>1.</w:t>
      </w:r>
    </w:p>
    <w:p w14:paraId="5C441595" w14:textId="77777777" w:rsidR="00CA30EE" w:rsidRDefault="00CA30EE" w:rsidP="00D14982">
      <w:pPr>
        <w:pStyle w:val="ToR1TableHeader"/>
      </w:pPr>
      <w:bookmarkStart w:id="68" w:name="_Toc29377241"/>
      <w:r>
        <w:lastRenderedPageBreak/>
        <w:t>Table B.</w:t>
      </w:r>
      <w:r w:rsidR="00505D99">
        <w:rPr>
          <w:noProof/>
        </w:rPr>
        <w:t>4</w:t>
      </w:r>
      <w:r w:rsidR="0015688E">
        <w:tab/>
      </w:r>
      <w:r w:rsidRPr="00252749">
        <w:t>Date of first PBS listing and PBS subsidised indication for PAH medicines</w:t>
      </w:r>
      <w:bookmarkEnd w:id="68"/>
    </w:p>
    <w:tbl>
      <w:tblPr>
        <w:tblStyle w:val="TableGrid2"/>
        <w:tblW w:w="9067" w:type="dxa"/>
        <w:tblLayout w:type="fixed"/>
        <w:tblLook w:val="04A0" w:firstRow="1" w:lastRow="0" w:firstColumn="1" w:lastColumn="0" w:noHBand="0" w:noVBand="1"/>
        <w:tblCaption w:val="PAH medicines and listing dates on the PBS"/>
      </w:tblPr>
      <w:tblGrid>
        <w:gridCol w:w="1565"/>
        <w:gridCol w:w="1417"/>
        <w:gridCol w:w="4253"/>
        <w:gridCol w:w="1832"/>
      </w:tblGrid>
      <w:tr w:rsidR="00184AC7" w:rsidRPr="00CD6C47" w14:paraId="1953CF77" w14:textId="77777777" w:rsidTr="00CD6C47">
        <w:trPr>
          <w:cnfStyle w:val="100000000000" w:firstRow="1" w:lastRow="0" w:firstColumn="0" w:lastColumn="0" w:oddVBand="0" w:evenVBand="0" w:oddHBand="0" w:evenHBand="0" w:firstRowFirstColumn="0" w:firstRowLastColumn="0" w:lastRowFirstColumn="0" w:lastRowLastColumn="0"/>
        </w:trPr>
        <w:tc>
          <w:tcPr>
            <w:tcW w:w="1565" w:type="dxa"/>
            <w:tcBorders>
              <w:bottom w:val="single" w:sz="4" w:space="0" w:color="auto"/>
            </w:tcBorders>
          </w:tcPr>
          <w:p w14:paraId="3AFCEF1D" w14:textId="77777777" w:rsidR="003622EF" w:rsidRPr="00CD6C47" w:rsidRDefault="00CD6C47" w:rsidP="00FF3CC9">
            <w:pPr>
              <w:pStyle w:val="Tabletext0"/>
              <w:keepNext/>
              <w:spacing w:beforeLines="40" w:before="96" w:afterLines="40" w:after="96" w:line="23" w:lineRule="atLeast"/>
              <w:ind w:left="142"/>
              <w:rPr>
                <w:rFonts w:ascii="Arial" w:hAnsi="Arial" w:cs="Arial"/>
                <w:b/>
                <w:color w:val="auto"/>
              </w:rPr>
            </w:pPr>
            <w:r>
              <w:rPr>
                <w:rFonts w:ascii="Arial" w:hAnsi="Arial" w:cs="Arial"/>
                <w:b/>
                <w:color w:val="auto"/>
              </w:rPr>
              <w:t>M</w:t>
            </w:r>
            <w:r w:rsidR="008C0F4C" w:rsidRPr="00CD6C47">
              <w:rPr>
                <w:rFonts w:ascii="Arial" w:hAnsi="Arial" w:cs="Arial"/>
                <w:b/>
                <w:color w:val="auto"/>
              </w:rPr>
              <w:t>edicine</w:t>
            </w:r>
          </w:p>
        </w:tc>
        <w:tc>
          <w:tcPr>
            <w:tcW w:w="1417" w:type="dxa"/>
            <w:tcBorders>
              <w:bottom w:val="single" w:sz="4" w:space="0" w:color="auto"/>
            </w:tcBorders>
          </w:tcPr>
          <w:p w14:paraId="146DFA4A" w14:textId="77777777" w:rsidR="003622EF" w:rsidRPr="00CD6C47" w:rsidRDefault="00842621" w:rsidP="00FF3CC9">
            <w:pPr>
              <w:pStyle w:val="Tabletext0"/>
              <w:keepNext/>
              <w:spacing w:beforeLines="40" w:before="96" w:afterLines="40" w:after="96" w:line="23" w:lineRule="atLeast"/>
              <w:ind w:left="142"/>
              <w:rPr>
                <w:rFonts w:ascii="Arial" w:hAnsi="Arial" w:cs="Arial"/>
                <w:b/>
                <w:color w:val="auto"/>
              </w:rPr>
            </w:pPr>
            <w:r w:rsidRPr="00CD6C47">
              <w:rPr>
                <w:rFonts w:ascii="Arial" w:hAnsi="Arial" w:cs="Arial"/>
                <w:b/>
                <w:color w:val="auto"/>
              </w:rPr>
              <w:t>D</w:t>
            </w:r>
            <w:r w:rsidR="008C0F4C" w:rsidRPr="00CD6C47">
              <w:rPr>
                <w:rFonts w:ascii="Arial" w:hAnsi="Arial" w:cs="Arial"/>
                <w:b/>
                <w:color w:val="auto"/>
              </w:rPr>
              <w:t xml:space="preserve">ate of PBAC </w:t>
            </w:r>
            <w:r w:rsidR="003622EF" w:rsidRPr="00CD6C47">
              <w:rPr>
                <w:rFonts w:ascii="Arial" w:hAnsi="Arial" w:cs="Arial"/>
                <w:b/>
                <w:color w:val="auto"/>
              </w:rPr>
              <w:t>meeting</w:t>
            </w:r>
          </w:p>
        </w:tc>
        <w:tc>
          <w:tcPr>
            <w:tcW w:w="4253" w:type="dxa"/>
            <w:tcBorders>
              <w:bottom w:val="single" w:sz="4" w:space="0" w:color="auto"/>
            </w:tcBorders>
          </w:tcPr>
          <w:p w14:paraId="5A2798B0" w14:textId="77777777" w:rsidR="003622EF" w:rsidRPr="00CD6C47" w:rsidRDefault="00842621" w:rsidP="00FF3CC9">
            <w:pPr>
              <w:pStyle w:val="Tabletext0"/>
              <w:keepNext/>
              <w:spacing w:beforeLines="40" w:before="96" w:afterLines="40" w:after="96" w:line="23" w:lineRule="atLeast"/>
              <w:ind w:left="142"/>
              <w:rPr>
                <w:rFonts w:ascii="Arial" w:hAnsi="Arial" w:cs="Arial"/>
                <w:b/>
                <w:color w:val="auto"/>
              </w:rPr>
            </w:pPr>
            <w:r w:rsidRPr="00CD6C47">
              <w:rPr>
                <w:rFonts w:ascii="Arial" w:hAnsi="Arial" w:cs="Arial"/>
                <w:b/>
                <w:color w:val="auto"/>
              </w:rPr>
              <w:t xml:space="preserve">PBS </w:t>
            </w:r>
            <w:r w:rsidR="003622EF" w:rsidRPr="00CD6C47">
              <w:rPr>
                <w:rFonts w:ascii="Arial" w:hAnsi="Arial" w:cs="Arial"/>
                <w:b/>
                <w:color w:val="auto"/>
              </w:rPr>
              <w:t>Indication(s)</w:t>
            </w:r>
          </w:p>
          <w:p w14:paraId="3C196D6E" w14:textId="77777777" w:rsidR="003622EF" w:rsidRPr="00CD6C47" w:rsidRDefault="003622EF" w:rsidP="00FF3CC9">
            <w:pPr>
              <w:pStyle w:val="Tabletext0"/>
              <w:keepNext/>
              <w:spacing w:beforeLines="40" w:before="96" w:afterLines="40" w:after="96" w:line="23" w:lineRule="atLeast"/>
              <w:ind w:left="142"/>
              <w:rPr>
                <w:rFonts w:ascii="Arial" w:hAnsi="Arial" w:cs="Arial"/>
                <w:b/>
                <w:color w:val="auto"/>
              </w:rPr>
            </w:pPr>
            <w:r w:rsidRPr="00CD6C47">
              <w:rPr>
                <w:rFonts w:ascii="Arial" w:hAnsi="Arial" w:cs="Arial"/>
                <w:b/>
                <w:color w:val="auto"/>
              </w:rPr>
              <w:t>(WHO FC III/IV unless specified)</w:t>
            </w:r>
          </w:p>
        </w:tc>
        <w:tc>
          <w:tcPr>
            <w:tcW w:w="1832" w:type="dxa"/>
            <w:tcBorders>
              <w:bottom w:val="single" w:sz="4" w:space="0" w:color="auto"/>
            </w:tcBorders>
          </w:tcPr>
          <w:p w14:paraId="3687F877" w14:textId="77777777" w:rsidR="003622EF" w:rsidRPr="00CD6C47" w:rsidRDefault="008C0F4C" w:rsidP="00FF3CC9">
            <w:pPr>
              <w:pStyle w:val="Tabletext0"/>
              <w:keepNext/>
              <w:spacing w:beforeLines="40" w:before="96" w:afterLines="40" w:after="96" w:line="23" w:lineRule="atLeast"/>
              <w:ind w:left="142"/>
              <w:rPr>
                <w:rFonts w:ascii="Arial" w:hAnsi="Arial" w:cs="Arial"/>
                <w:b/>
                <w:color w:val="auto"/>
              </w:rPr>
            </w:pPr>
            <w:r w:rsidRPr="00CD6C47">
              <w:rPr>
                <w:rFonts w:ascii="Arial" w:hAnsi="Arial" w:cs="Arial"/>
                <w:b/>
                <w:color w:val="auto"/>
              </w:rPr>
              <w:t>Date first PBS-listed</w:t>
            </w:r>
            <w:r w:rsidR="00184AC7" w:rsidRPr="00CD6C47">
              <w:rPr>
                <w:rFonts w:ascii="Arial" w:hAnsi="Arial" w:cs="Arial"/>
                <w:b/>
                <w:color w:val="auto"/>
              </w:rPr>
              <w:t xml:space="preserve"> </w:t>
            </w:r>
          </w:p>
        </w:tc>
      </w:tr>
      <w:tr w:rsidR="003622EF" w:rsidRPr="00CD6C47" w14:paraId="31D077C3" w14:textId="77777777" w:rsidTr="00CD6C47">
        <w:tc>
          <w:tcPr>
            <w:tcW w:w="9067" w:type="dxa"/>
            <w:gridSpan w:val="4"/>
            <w:shd w:val="clear" w:color="auto" w:fill="D9D9D9" w:themeFill="background1" w:themeFillShade="D9"/>
          </w:tcPr>
          <w:p w14:paraId="3F4AC0BA" w14:textId="77777777" w:rsidR="003622EF" w:rsidRPr="00CD6C47" w:rsidRDefault="003622EF" w:rsidP="00FF3CC9">
            <w:pPr>
              <w:pStyle w:val="Tabletext0"/>
              <w:keepNext/>
              <w:spacing w:beforeLines="40" w:before="96" w:afterLines="40" w:after="96" w:line="23" w:lineRule="atLeast"/>
              <w:ind w:left="142"/>
              <w:rPr>
                <w:rFonts w:ascii="Arial" w:hAnsi="Arial" w:cs="Arial"/>
                <w:b/>
              </w:rPr>
            </w:pPr>
            <w:r w:rsidRPr="00CD6C47">
              <w:rPr>
                <w:rFonts w:ascii="Arial" w:hAnsi="Arial" w:cs="Arial"/>
                <w:b/>
              </w:rPr>
              <w:t>Endothelin receptor antagonists</w:t>
            </w:r>
          </w:p>
        </w:tc>
      </w:tr>
      <w:tr w:rsidR="003622EF" w:rsidRPr="00CD6C47" w14:paraId="0A19B746" w14:textId="77777777" w:rsidTr="00CD6C47">
        <w:tc>
          <w:tcPr>
            <w:tcW w:w="1565" w:type="dxa"/>
            <w:tcBorders>
              <w:bottom w:val="nil"/>
            </w:tcBorders>
          </w:tcPr>
          <w:p w14:paraId="258F45AA" w14:textId="77777777" w:rsidR="003622EF" w:rsidRPr="00CD6C47" w:rsidRDefault="0099750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bosentan</w:t>
            </w:r>
          </w:p>
        </w:tc>
        <w:tc>
          <w:tcPr>
            <w:tcW w:w="1417" w:type="dxa"/>
          </w:tcPr>
          <w:p w14:paraId="04704BB9" w14:textId="77777777" w:rsidR="003622EF" w:rsidRPr="00CD6C47" w:rsidRDefault="003622EF" w:rsidP="00FF3CC9">
            <w:pPr>
              <w:pStyle w:val="Tabletext0"/>
              <w:keepNext/>
              <w:spacing w:beforeLines="40" w:before="96" w:afterLines="40" w:after="96" w:line="23" w:lineRule="atLeast"/>
              <w:ind w:left="142"/>
              <w:rPr>
                <w:rFonts w:ascii="Arial" w:hAnsi="Arial" w:cs="Arial"/>
                <w:u w:val="single"/>
              </w:rPr>
            </w:pPr>
            <w:r w:rsidRPr="00CD6C47">
              <w:rPr>
                <w:rFonts w:ascii="Arial" w:hAnsi="Arial" w:cs="Arial"/>
              </w:rPr>
              <w:t>December 2003</w:t>
            </w:r>
          </w:p>
        </w:tc>
        <w:tc>
          <w:tcPr>
            <w:tcW w:w="4253" w:type="dxa"/>
          </w:tcPr>
          <w:p w14:paraId="6315BE30"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 xml:space="preserve">IPAH and PAH associated with scleroderma </w:t>
            </w:r>
          </w:p>
        </w:tc>
        <w:tc>
          <w:tcPr>
            <w:tcW w:w="1832" w:type="dxa"/>
          </w:tcPr>
          <w:p w14:paraId="542E2A4D"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1 March 2004</w:t>
            </w:r>
          </w:p>
        </w:tc>
      </w:tr>
      <w:tr w:rsidR="003622EF" w:rsidRPr="00CD6C47" w14:paraId="75521BC4" w14:textId="77777777" w:rsidTr="00CD6C47">
        <w:tc>
          <w:tcPr>
            <w:tcW w:w="1565" w:type="dxa"/>
            <w:tcBorders>
              <w:top w:val="nil"/>
            </w:tcBorders>
          </w:tcPr>
          <w:p w14:paraId="1798B01B" w14:textId="77777777" w:rsidR="003622EF" w:rsidRPr="00CD6C47" w:rsidRDefault="003622EF" w:rsidP="00FF3CC9">
            <w:pPr>
              <w:pStyle w:val="Tabletext0"/>
              <w:keepNext/>
              <w:spacing w:beforeLines="40" w:before="96" w:afterLines="40" w:after="96" w:line="23" w:lineRule="atLeast"/>
              <w:ind w:left="142"/>
              <w:rPr>
                <w:rFonts w:ascii="Arial" w:hAnsi="Arial" w:cs="Arial"/>
              </w:rPr>
            </w:pPr>
          </w:p>
        </w:tc>
        <w:tc>
          <w:tcPr>
            <w:tcW w:w="1417" w:type="dxa"/>
          </w:tcPr>
          <w:p w14:paraId="57A8ADB6" w14:textId="77777777" w:rsidR="003622EF" w:rsidRPr="00CD6C47" w:rsidRDefault="003622EF" w:rsidP="00FF3CC9">
            <w:pPr>
              <w:pStyle w:val="Tabletext0"/>
              <w:keepNext/>
              <w:spacing w:beforeLines="40" w:before="96" w:afterLines="40" w:after="96" w:line="23" w:lineRule="atLeast"/>
              <w:ind w:left="142"/>
              <w:rPr>
                <w:rFonts w:ascii="Arial" w:hAnsi="Arial" w:cs="Arial"/>
                <w:caps/>
                <w:color w:val="000000"/>
                <w:spacing w:val="5"/>
                <w:kern w:val="28"/>
                <w:u w:val="single"/>
                <w:lang w:val="en-US"/>
              </w:rPr>
            </w:pPr>
            <w:r w:rsidRPr="00CD6C47">
              <w:rPr>
                <w:rFonts w:ascii="Arial" w:hAnsi="Arial" w:cs="Arial"/>
              </w:rPr>
              <w:t xml:space="preserve">March 2008 </w:t>
            </w:r>
          </w:p>
        </w:tc>
        <w:tc>
          <w:tcPr>
            <w:tcW w:w="4253" w:type="dxa"/>
          </w:tcPr>
          <w:p w14:paraId="7D1CF7E7"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PAH-CHD</w:t>
            </w:r>
          </w:p>
        </w:tc>
        <w:tc>
          <w:tcPr>
            <w:tcW w:w="1832" w:type="dxa"/>
          </w:tcPr>
          <w:p w14:paraId="5B5F627C"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1 August 2008</w:t>
            </w:r>
          </w:p>
        </w:tc>
      </w:tr>
      <w:tr w:rsidR="003622EF" w:rsidRPr="00CD6C47" w14:paraId="31616010" w14:textId="77777777" w:rsidTr="00CD6C47">
        <w:tc>
          <w:tcPr>
            <w:tcW w:w="1565" w:type="dxa"/>
            <w:tcBorders>
              <w:top w:val="nil"/>
            </w:tcBorders>
          </w:tcPr>
          <w:p w14:paraId="6A001D8B" w14:textId="77777777" w:rsidR="003622EF" w:rsidRPr="00CD6C47" w:rsidRDefault="0099750F" w:rsidP="00FF3CC9">
            <w:pPr>
              <w:pStyle w:val="Tabletext0"/>
              <w:keepNext/>
              <w:spacing w:beforeLines="40" w:before="96" w:afterLines="40" w:after="96" w:line="23" w:lineRule="atLeast"/>
              <w:ind w:left="142"/>
              <w:rPr>
                <w:rFonts w:ascii="Arial" w:hAnsi="Arial" w:cs="Arial"/>
                <w:i/>
                <w:color w:val="808080" w:themeColor="background1" w:themeShade="80"/>
              </w:rPr>
            </w:pPr>
            <w:proofErr w:type="spellStart"/>
            <w:r w:rsidRPr="00CD6C47">
              <w:rPr>
                <w:rFonts w:ascii="Arial" w:hAnsi="Arial" w:cs="Arial"/>
                <w:i/>
                <w:color w:val="808080" w:themeColor="background1" w:themeShade="80"/>
              </w:rPr>
              <w:t>sitaxentan</w:t>
            </w:r>
            <w:proofErr w:type="spellEnd"/>
          </w:p>
        </w:tc>
        <w:tc>
          <w:tcPr>
            <w:tcW w:w="1417" w:type="dxa"/>
          </w:tcPr>
          <w:p w14:paraId="217A5AB4" w14:textId="77777777" w:rsidR="003622EF" w:rsidRPr="00CD6C47" w:rsidRDefault="003622EF" w:rsidP="00FF3CC9">
            <w:pPr>
              <w:pStyle w:val="Tabletext0"/>
              <w:keepNext/>
              <w:spacing w:beforeLines="40" w:before="96" w:afterLines="40" w:after="96" w:line="23" w:lineRule="atLeast"/>
              <w:ind w:left="142"/>
              <w:rPr>
                <w:rFonts w:ascii="Arial" w:hAnsi="Arial" w:cs="Arial"/>
                <w:i/>
                <w:color w:val="808080" w:themeColor="background1" w:themeShade="80"/>
              </w:rPr>
            </w:pPr>
            <w:r w:rsidRPr="00CD6C47">
              <w:rPr>
                <w:rFonts w:ascii="Arial" w:hAnsi="Arial" w:cs="Arial"/>
                <w:i/>
                <w:color w:val="808080" w:themeColor="background1" w:themeShade="80"/>
              </w:rPr>
              <w:t>July 2007</w:t>
            </w:r>
          </w:p>
        </w:tc>
        <w:tc>
          <w:tcPr>
            <w:tcW w:w="4253" w:type="dxa"/>
          </w:tcPr>
          <w:p w14:paraId="6DF672DF" w14:textId="77777777" w:rsidR="003622EF" w:rsidRPr="00CD6C47" w:rsidRDefault="003622EF" w:rsidP="00FF3CC9">
            <w:pPr>
              <w:pStyle w:val="Tabletext0"/>
              <w:keepNext/>
              <w:spacing w:beforeLines="40" w:before="96" w:afterLines="40" w:after="96" w:line="23" w:lineRule="atLeast"/>
              <w:ind w:left="142"/>
              <w:rPr>
                <w:rFonts w:ascii="Arial" w:hAnsi="Arial" w:cs="Arial"/>
                <w:i/>
                <w:color w:val="808080" w:themeColor="background1" w:themeShade="80"/>
              </w:rPr>
            </w:pPr>
            <w:r w:rsidRPr="00CD6C47">
              <w:rPr>
                <w:rFonts w:ascii="Arial" w:hAnsi="Arial" w:cs="Arial"/>
                <w:i/>
                <w:color w:val="808080" w:themeColor="background1" w:themeShade="80"/>
              </w:rPr>
              <w:t>No longer listed</w:t>
            </w:r>
            <w:r w:rsidR="009C5335" w:rsidRPr="00CD6C47">
              <w:rPr>
                <w:rFonts w:ascii="Arial" w:hAnsi="Arial" w:cs="Arial"/>
                <w:i/>
                <w:color w:val="808080" w:themeColor="background1" w:themeShade="80"/>
              </w:rPr>
              <w:t xml:space="preserve"> (de-listed 31 March 2011)</w:t>
            </w:r>
          </w:p>
        </w:tc>
        <w:tc>
          <w:tcPr>
            <w:tcW w:w="1832" w:type="dxa"/>
          </w:tcPr>
          <w:p w14:paraId="22A1B9CB" w14:textId="77777777" w:rsidR="003622EF" w:rsidRPr="00CD6C47" w:rsidRDefault="003622EF" w:rsidP="00FF3CC9">
            <w:pPr>
              <w:pStyle w:val="Tabletext0"/>
              <w:keepNext/>
              <w:spacing w:beforeLines="40" w:before="96" w:afterLines="40" w:after="96" w:line="23" w:lineRule="atLeast"/>
              <w:ind w:left="142"/>
              <w:rPr>
                <w:rFonts w:ascii="Arial" w:hAnsi="Arial" w:cs="Arial"/>
                <w:i/>
                <w:color w:val="808080" w:themeColor="background1" w:themeShade="80"/>
              </w:rPr>
            </w:pPr>
            <w:r w:rsidRPr="00CD6C47">
              <w:rPr>
                <w:rFonts w:ascii="Arial" w:hAnsi="Arial" w:cs="Arial"/>
                <w:i/>
                <w:color w:val="808080" w:themeColor="background1" w:themeShade="80"/>
              </w:rPr>
              <w:t>1 April 2008</w:t>
            </w:r>
          </w:p>
        </w:tc>
      </w:tr>
      <w:tr w:rsidR="003622EF" w:rsidRPr="00CD6C47" w14:paraId="63755ED4" w14:textId="77777777" w:rsidTr="00CD6C47">
        <w:tc>
          <w:tcPr>
            <w:tcW w:w="1565" w:type="dxa"/>
          </w:tcPr>
          <w:p w14:paraId="7FAF0BF1" w14:textId="77777777" w:rsidR="003622EF" w:rsidRPr="00CD6C47" w:rsidRDefault="0099750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ambrisentan</w:t>
            </w:r>
          </w:p>
        </w:tc>
        <w:tc>
          <w:tcPr>
            <w:tcW w:w="1417" w:type="dxa"/>
          </w:tcPr>
          <w:p w14:paraId="796A1D59" w14:textId="77777777" w:rsidR="003622EF" w:rsidRPr="00CD6C47" w:rsidRDefault="003622EF" w:rsidP="00FF3CC9">
            <w:pPr>
              <w:pStyle w:val="Tabletext0"/>
              <w:keepNext/>
              <w:spacing w:beforeLines="40" w:before="96" w:afterLines="40" w:after="96" w:line="23" w:lineRule="atLeast"/>
              <w:ind w:left="142"/>
              <w:rPr>
                <w:rFonts w:ascii="Arial" w:hAnsi="Arial" w:cs="Arial"/>
                <w:caps/>
                <w:color w:val="000000"/>
                <w:spacing w:val="5"/>
                <w:kern w:val="28"/>
                <w:u w:val="single"/>
                <w:lang w:val="en-US"/>
              </w:rPr>
            </w:pPr>
            <w:r w:rsidRPr="00CD6C47">
              <w:rPr>
                <w:rFonts w:ascii="Arial" w:hAnsi="Arial" w:cs="Arial"/>
              </w:rPr>
              <w:t>July 2009</w:t>
            </w:r>
          </w:p>
        </w:tc>
        <w:tc>
          <w:tcPr>
            <w:tcW w:w="4253" w:type="dxa"/>
          </w:tcPr>
          <w:p w14:paraId="76F4E8D3"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 xml:space="preserve">IPAH and PAH-CTD </w:t>
            </w:r>
          </w:p>
        </w:tc>
        <w:tc>
          <w:tcPr>
            <w:tcW w:w="1832" w:type="dxa"/>
          </w:tcPr>
          <w:p w14:paraId="2C94CC7B"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1 December 2009</w:t>
            </w:r>
          </w:p>
        </w:tc>
      </w:tr>
      <w:tr w:rsidR="003622EF" w:rsidRPr="00CD6C47" w14:paraId="0194902D" w14:textId="77777777" w:rsidTr="00CD6C47">
        <w:tc>
          <w:tcPr>
            <w:tcW w:w="1565" w:type="dxa"/>
            <w:tcBorders>
              <w:bottom w:val="single" w:sz="4" w:space="0" w:color="auto"/>
            </w:tcBorders>
          </w:tcPr>
          <w:p w14:paraId="28C3C42F" w14:textId="77777777" w:rsidR="003622EF" w:rsidRPr="00CD6C47" w:rsidRDefault="0099750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macitentan</w:t>
            </w:r>
          </w:p>
        </w:tc>
        <w:tc>
          <w:tcPr>
            <w:tcW w:w="1417" w:type="dxa"/>
            <w:tcBorders>
              <w:bottom w:val="single" w:sz="4" w:space="0" w:color="auto"/>
            </w:tcBorders>
          </w:tcPr>
          <w:p w14:paraId="7949F864" w14:textId="77777777" w:rsidR="003622EF" w:rsidRPr="00CD6C47" w:rsidRDefault="003622EF" w:rsidP="00FF3CC9">
            <w:pPr>
              <w:pStyle w:val="Tabletext0"/>
              <w:keepNext/>
              <w:spacing w:beforeLines="40" w:before="96" w:afterLines="40" w:after="96" w:line="23" w:lineRule="atLeast"/>
              <w:ind w:left="142"/>
              <w:rPr>
                <w:rFonts w:ascii="Arial" w:hAnsi="Arial" w:cs="Arial"/>
                <w:b/>
                <w:caps/>
                <w:color w:val="000000"/>
                <w:spacing w:val="5"/>
                <w:kern w:val="28"/>
                <w:u w:val="single"/>
                <w:lang w:val="en-US"/>
              </w:rPr>
            </w:pPr>
            <w:r w:rsidRPr="00CD6C47">
              <w:rPr>
                <w:rFonts w:ascii="Arial" w:hAnsi="Arial" w:cs="Arial"/>
              </w:rPr>
              <w:t xml:space="preserve">March 2014 </w:t>
            </w:r>
          </w:p>
        </w:tc>
        <w:tc>
          <w:tcPr>
            <w:tcW w:w="4253" w:type="dxa"/>
            <w:tcBorders>
              <w:bottom w:val="single" w:sz="4" w:space="0" w:color="auto"/>
            </w:tcBorders>
          </w:tcPr>
          <w:p w14:paraId="25CB12CF"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IPAH, PAH-CTD and PAH-CHD</w:t>
            </w:r>
          </w:p>
        </w:tc>
        <w:tc>
          <w:tcPr>
            <w:tcW w:w="1832" w:type="dxa"/>
            <w:tcBorders>
              <w:bottom w:val="single" w:sz="4" w:space="0" w:color="auto"/>
            </w:tcBorders>
          </w:tcPr>
          <w:p w14:paraId="7A9D5A0D"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1 September 2014</w:t>
            </w:r>
          </w:p>
        </w:tc>
      </w:tr>
      <w:tr w:rsidR="003622EF" w:rsidRPr="00CD6C47" w14:paraId="2CF52FFC" w14:textId="77777777" w:rsidTr="00CD6C47">
        <w:tc>
          <w:tcPr>
            <w:tcW w:w="9067" w:type="dxa"/>
            <w:gridSpan w:val="4"/>
            <w:shd w:val="clear" w:color="auto" w:fill="D9D9D9" w:themeFill="background1" w:themeFillShade="D9"/>
          </w:tcPr>
          <w:p w14:paraId="3B6BADBE"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b/>
              </w:rPr>
              <w:t>Prostanoids</w:t>
            </w:r>
          </w:p>
        </w:tc>
      </w:tr>
      <w:tr w:rsidR="003622EF" w:rsidRPr="00CD6C47" w14:paraId="79DAF3E9" w14:textId="77777777" w:rsidTr="00CD6C47">
        <w:tc>
          <w:tcPr>
            <w:tcW w:w="1565" w:type="dxa"/>
            <w:tcBorders>
              <w:bottom w:val="nil"/>
            </w:tcBorders>
          </w:tcPr>
          <w:p w14:paraId="553EB34F" w14:textId="77777777" w:rsidR="003622EF" w:rsidRPr="00CD6C47" w:rsidRDefault="0099750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 xml:space="preserve">iloprost </w:t>
            </w:r>
          </w:p>
        </w:tc>
        <w:tc>
          <w:tcPr>
            <w:tcW w:w="1417" w:type="dxa"/>
          </w:tcPr>
          <w:p w14:paraId="6171B297"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November 2004</w:t>
            </w:r>
          </w:p>
        </w:tc>
        <w:tc>
          <w:tcPr>
            <w:tcW w:w="4253" w:type="dxa"/>
          </w:tcPr>
          <w:p w14:paraId="61DD4357"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IPAH, PAH-CTD and drug-induced PAH</w:t>
            </w:r>
          </w:p>
        </w:tc>
        <w:tc>
          <w:tcPr>
            <w:tcW w:w="1832" w:type="dxa"/>
          </w:tcPr>
          <w:p w14:paraId="006D3D72"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1 April 2005</w:t>
            </w:r>
          </w:p>
        </w:tc>
      </w:tr>
      <w:tr w:rsidR="003622EF" w:rsidRPr="00CD6C47" w14:paraId="65A6F2FC" w14:textId="77777777" w:rsidTr="00CD6C47">
        <w:tc>
          <w:tcPr>
            <w:tcW w:w="1565" w:type="dxa"/>
            <w:tcBorders>
              <w:top w:val="nil"/>
              <w:bottom w:val="single" w:sz="4" w:space="0" w:color="auto"/>
            </w:tcBorders>
          </w:tcPr>
          <w:p w14:paraId="5FCC2602" w14:textId="77777777" w:rsidR="003622EF" w:rsidRPr="00CD6C47" w:rsidRDefault="003622EF" w:rsidP="00FF3CC9">
            <w:pPr>
              <w:pStyle w:val="Tabletext0"/>
              <w:keepNext/>
              <w:spacing w:beforeLines="40" w:before="96" w:afterLines="40" w:after="96" w:line="23" w:lineRule="atLeast"/>
              <w:ind w:left="142"/>
              <w:rPr>
                <w:rFonts w:ascii="Arial" w:hAnsi="Arial" w:cs="Arial"/>
              </w:rPr>
            </w:pPr>
          </w:p>
        </w:tc>
        <w:tc>
          <w:tcPr>
            <w:tcW w:w="1417" w:type="dxa"/>
          </w:tcPr>
          <w:p w14:paraId="35DB038D"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March 2008</w:t>
            </w:r>
          </w:p>
        </w:tc>
        <w:tc>
          <w:tcPr>
            <w:tcW w:w="4253" w:type="dxa"/>
          </w:tcPr>
          <w:p w14:paraId="2E24167C"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Removal of ‘adult’ from restrictions to permit use in children (minor submission)</w:t>
            </w:r>
          </w:p>
        </w:tc>
        <w:tc>
          <w:tcPr>
            <w:tcW w:w="1832" w:type="dxa"/>
          </w:tcPr>
          <w:p w14:paraId="397F59DB"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1 July 2008</w:t>
            </w:r>
          </w:p>
        </w:tc>
      </w:tr>
      <w:tr w:rsidR="003622EF" w:rsidRPr="00CD6C47" w14:paraId="2915732F" w14:textId="77777777" w:rsidTr="00CD6C47">
        <w:tc>
          <w:tcPr>
            <w:tcW w:w="1565" w:type="dxa"/>
            <w:tcBorders>
              <w:top w:val="single" w:sz="4" w:space="0" w:color="auto"/>
              <w:bottom w:val="nil"/>
            </w:tcBorders>
          </w:tcPr>
          <w:p w14:paraId="50C491E0" w14:textId="77777777" w:rsidR="003622EF" w:rsidRPr="00CD6C47" w:rsidRDefault="0099750F" w:rsidP="00FF3CC9">
            <w:pPr>
              <w:pStyle w:val="Tabletext0"/>
              <w:keepNext/>
              <w:spacing w:beforeLines="40" w:before="96" w:afterLines="40" w:after="96" w:line="23" w:lineRule="atLeast"/>
              <w:ind w:left="142" w:right="-57"/>
              <w:rPr>
                <w:rFonts w:ascii="Arial" w:hAnsi="Arial" w:cs="Arial"/>
              </w:rPr>
            </w:pPr>
            <w:r w:rsidRPr="00CD6C47">
              <w:rPr>
                <w:rFonts w:ascii="Arial" w:hAnsi="Arial" w:cs="Arial"/>
              </w:rPr>
              <w:t>epoprostenol</w:t>
            </w:r>
          </w:p>
        </w:tc>
        <w:tc>
          <w:tcPr>
            <w:tcW w:w="1417" w:type="dxa"/>
          </w:tcPr>
          <w:p w14:paraId="201D2089"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March 2006</w:t>
            </w:r>
          </w:p>
        </w:tc>
        <w:tc>
          <w:tcPr>
            <w:tcW w:w="4253" w:type="dxa"/>
          </w:tcPr>
          <w:p w14:paraId="1875D94D"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IPAH</w:t>
            </w:r>
          </w:p>
        </w:tc>
        <w:tc>
          <w:tcPr>
            <w:tcW w:w="1832" w:type="dxa"/>
          </w:tcPr>
          <w:p w14:paraId="7C1E14EB"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1 August 2006</w:t>
            </w:r>
          </w:p>
        </w:tc>
      </w:tr>
      <w:tr w:rsidR="003622EF" w:rsidRPr="00CD6C47" w14:paraId="57CCE1F1" w14:textId="77777777" w:rsidTr="00CD6C47">
        <w:tc>
          <w:tcPr>
            <w:tcW w:w="1565" w:type="dxa"/>
            <w:tcBorders>
              <w:top w:val="nil"/>
              <w:bottom w:val="single" w:sz="4" w:space="0" w:color="auto"/>
            </w:tcBorders>
          </w:tcPr>
          <w:p w14:paraId="36F096A2" w14:textId="77777777" w:rsidR="003622EF" w:rsidRPr="00CD6C47" w:rsidRDefault="003622EF" w:rsidP="00FF3CC9">
            <w:pPr>
              <w:pStyle w:val="Tabletext0"/>
              <w:keepNext/>
              <w:spacing w:beforeLines="40" w:before="96" w:afterLines="40" w:after="96" w:line="23" w:lineRule="atLeast"/>
              <w:ind w:left="142"/>
              <w:rPr>
                <w:rFonts w:ascii="Arial" w:hAnsi="Arial" w:cs="Arial"/>
              </w:rPr>
            </w:pPr>
          </w:p>
        </w:tc>
        <w:tc>
          <w:tcPr>
            <w:tcW w:w="1417" w:type="dxa"/>
            <w:tcBorders>
              <w:bottom w:val="single" w:sz="4" w:space="0" w:color="auto"/>
            </w:tcBorders>
          </w:tcPr>
          <w:p w14:paraId="46CFA668"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November 2011</w:t>
            </w:r>
          </w:p>
        </w:tc>
        <w:tc>
          <w:tcPr>
            <w:tcW w:w="4253" w:type="dxa"/>
            <w:tcBorders>
              <w:bottom w:val="single" w:sz="4" w:space="0" w:color="auto"/>
            </w:tcBorders>
          </w:tcPr>
          <w:p w14:paraId="272FD0A7"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 xml:space="preserve">PAH-CTD (WHO FC III second line; WHO FC IV first line) </w:t>
            </w:r>
          </w:p>
        </w:tc>
        <w:tc>
          <w:tcPr>
            <w:tcW w:w="1832" w:type="dxa"/>
            <w:tcBorders>
              <w:bottom w:val="single" w:sz="4" w:space="0" w:color="auto"/>
            </w:tcBorders>
          </w:tcPr>
          <w:p w14:paraId="70646D95"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1 April 2011</w:t>
            </w:r>
          </w:p>
        </w:tc>
      </w:tr>
      <w:tr w:rsidR="0004089D" w:rsidRPr="006D37E5" w14:paraId="5291A61A" w14:textId="77777777" w:rsidTr="00CD6C47">
        <w:tc>
          <w:tcPr>
            <w:tcW w:w="9067" w:type="dxa"/>
            <w:gridSpan w:val="4"/>
            <w:shd w:val="clear" w:color="auto" w:fill="D9D9D9" w:themeFill="background1" w:themeFillShade="D9"/>
          </w:tcPr>
          <w:p w14:paraId="6A04BB48" w14:textId="77777777" w:rsidR="0004089D" w:rsidRPr="006D37E5" w:rsidRDefault="0004089D" w:rsidP="00FF3CC9">
            <w:pPr>
              <w:pStyle w:val="Tabletext0"/>
              <w:keepNext/>
              <w:spacing w:beforeLines="40" w:before="96" w:afterLines="40" w:after="96" w:line="23" w:lineRule="atLeast"/>
              <w:ind w:left="142"/>
              <w:rPr>
                <w:rFonts w:ascii="Arial" w:hAnsi="Arial" w:cs="Arial"/>
                <w:b/>
              </w:rPr>
            </w:pPr>
            <w:r w:rsidRPr="006D37E5">
              <w:rPr>
                <w:rFonts w:ascii="Arial" w:hAnsi="Arial" w:cs="Arial"/>
                <w:b/>
              </w:rPr>
              <w:t>Phosphodiesterase type 5 inhibitors</w:t>
            </w:r>
          </w:p>
        </w:tc>
      </w:tr>
      <w:tr w:rsidR="0004089D" w:rsidRPr="00CD6C47" w14:paraId="7C42F438" w14:textId="77777777" w:rsidTr="00CD6C47">
        <w:tc>
          <w:tcPr>
            <w:tcW w:w="1565" w:type="dxa"/>
          </w:tcPr>
          <w:p w14:paraId="389E1155" w14:textId="77777777" w:rsidR="0004089D" w:rsidRPr="00CD6C47" w:rsidRDefault="0099750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sildenafil</w:t>
            </w:r>
          </w:p>
        </w:tc>
        <w:tc>
          <w:tcPr>
            <w:tcW w:w="1417" w:type="dxa"/>
          </w:tcPr>
          <w:p w14:paraId="230BB436" w14:textId="77777777" w:rsidR="0004089D" w:rsidRPr="00CD6C47" w:rsidRDefault="0004089D" w:rsidP="00FF3CC9">
            <w:pPr>
              <w:pStyle w:val="Tabletext0"/>
              <w:keepNext/>
              <w:spacing w:beforeLines="40" w:before="96" w:afterLines="40" w:after="96" w:line="23" w:lineRule="atLeast"/>
              <w:ind w:left="142"/>
              <w:rPr>
                <w:rFonts w:ascii="Arial" w:hAnsi="Arial" w:cs="Arial"/>
              </w:rPr>
            </w:pPr>
            <w:r w:rsidRPr="00CD6C47">
              <w:rPr>
                <w:rFonts w:ascii="Arial" w:hAnsi="Arial" w:cs="Arial"/>
              </w:rPr>
              <w:t xml:space="preserve">November 2006 </w:t>
            </w:r>
          </w:p>
        </w:tc>
        <w:tc>
          <w:tcPr>
            <w:tcW w:w="4253" w:type="dxa"/>
          </w:tcPr>
          <w:p w14:paraId="130D364A" w14:textId="77777777" w:rsidR="0004089D" w:rsidRPr="00CD6C47" w:rsidRDefault="0004089D" w:rsidP="00FF3CC9">
            <w:pPr>
              <w:pStyle w:val="Tabletext0"/>
              <w:keepNext/>
              <w:spacing w:beforeLines="40" w:before="96" w:afterLines="40" w:after="96" w:line="23" w:lineRule="atLeast"/>
              <w:ind w:left="142"/>
              <w:rPr>
                <w:rFonts w:ascii="Arial" w:hAnsi="Arial" w:cs="Arial"/>
              </w:rPr>
            </w:pPr>
            <w:r w:rsidRPr="00CD6C47">
              <w:rPr>
                <w:rFonts w:ascii="Arial" w:hAnsi="Arial" w:cs="Arial"/>
              </w:rPr>
              <w:t>IPAH and PAH-CTD (WHO FC III only)</w:t>
            </w:r>
          </w:p>
        </w:tc>
        <w:tc>
          <w:tcPr>
            <w:tcW w:w="1832" w:type="dxa"/>
          </w:tcPr>
          <w:p w14:paraId="7CE870F9" w14:textId="77777777" w:rsidR="0004089D" w:rsidRPr="00CD6C47" w:rsidRDefault="0004089D" w:rsidP="00FF3CC9">
            <w:pPr>
              <w:pStyle w:val="Tabletext0"/>
              <w:keepNext/>
              <w:spacing w:beforeLines="40" w:before="96" w:afterLines="40" w:after="96" w:line="23" w:lineRule="atLeast"/>
              <w:ind w:left="142"/>
              <w:rPr>
                <w:rFonts w:ascii="Arial" w:hAnsi="Arial" w:cs="Arial"/>
              </w:rPr>
            </w:pPr>
            <w:r w:rsidRPr="00CD6C47">
              <w:rPr>
                <w:rFonts w:ascii="Arial" w:hAnsi="Arial" w:cs="Arial"/>
              </w:rPr>
              <w:t>1 March 2007</w:t>
            </w:r>
          </w:p>
        </w:tc>
      </w:tr>
      <w:tr w:rsidR="0004089D" w:rsidRPr="00CD6C47" w14:paraId="0F5B7291" w14:textId="77777777" w:rsidTr="00CD6C47">
        <w:tc>
          <w:tcPr>
            <w:tcW w:w="1565" w:type="dxa"/>
            <w:tcBorders>
              <w:bottom w:val="single" w:sz="4" w:space="0" w:color="auto"/>
            </w:tcBorders>
          </w:tcPr>
          <w:p w14:paraId="2F9FFA9C" w14:textId="77777777" w:rsidR="0004089D" w:rsidRPr="00CD6C47" w:rsidRDefault="0099750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tadalafil</w:t>
            </w:r>
          </w:p>
        </w:tc>
        <w:tc>
          <w:tcPr>
            <w:tcW w:w="1417" w:type="dxa"/>
            <w:tcBorders>
              <w:bottom w:val="single" w:sz="4" w:space="0" w:color="auto"/>
            </w:tcBorders>
          </w:tcPr>
          <w:p w14:paraId="275E0CAA" w14:textId="77777777" w:rsidR="0004089D" w:rsidRPr="00CD6C47" w:rsidRDefault="0004089D" w:rsidP="00FF3CC9">
            <w:pPr>
              <w:pStyle w:val="Tabletext0"/>
              <w:keepNext/>
              <w:spacing w:beforeLines="40" w:before="96" w:afterLines="40" w:after="96" w:line="23" w:lineRule="atLeast"/>
              <w:ind w:left="142"/>
              <w:rPr>
                <w:rFonts w:ascii="Arial" w:hAnsi="Arial" w:cs="Arial"/>
              </w:rPr>
            </w:pPr>
            <w:r w:rsidRPr="00CD6C47">
              <w:rPr>
                <w:rFonts w:ascii="Arial" w:hAnsi="Arial" w:cs="Arial"/>
              </w:rPr>
              <w:t xml:space="preserve">November 2011 </w:t>
            </w:r>
          </w:p>
        </w:tc>
        <w:tc>
          <w:tcPr>
            <w:tcW w:w="4253" w:type="dxa"/>
            <w:tcBorders>
              <w:bottom w:val="single" w:sz="4" w:space="0" w:color="auto"/>
            </w:tcBorders>
          </w:tcPr>
          <w:p w14:paraId="5E188F00" w14:textId="77777777" w:rsidR="0004089D" w:rsidRPr="00CD6C47" w:rsidRDefault="0004089D" w:rsidP="00FF3CC9">
            <w:pPr>
              <w:pStyle w:val="Tabletext0"/>
              <w:keepNext/>
              <w:spacing w:beforeLines="40" w:before="96" w:afterLines="40" w:after="96" w:line="23" w:lineRule="atLeast"/>
              <w:ind w:left="142"/>
              <w:rPr>
                <w:rFonts w:ascii="Arial" w:hAnsi="Arial" w:cs="Arial"/>
              </w:rPr>
            </w:pPr>
            <w:r w:rsidRPr="00CD6C47">
              <w:rPr>
                <w:rFonts w:ascii="Arial" w:hAnsi="Arial" w:cs="Arial"/>
              </w:rPr>
              <w:t>IPAH and PAH-CTD (WHO FC III only)</w:t>
            </w:r>
          </w:p>
        </w:tc>
        <w:tc>
          <w:tcPr>
            <w:tcW w:w="1832" w:type="dxa"/>
            <w:tcBorders>
              <w:bottom w:val="single" w:sz="4" w:space="0" w:color="auto"/>
            </w:tcBorders>
          </w:tcPr>
          <w:p w14:paraId="6F32EA82" w14:textId="77777777" w:rsidR="0004089D" w:rsidRPr="00CD6C47" w:rsidRDefault="0004089D" w:rsidP="00FF3CC9">
            <w:pPr>
              <w:pStyle w:val="Tabletext0"/>
              <w:keepNext/>
              <w:spacing w:beforeLines="40" w:before="96" w:afterLines="40" w:after="96" w:line="23" w:lineRule="atLeast"/>
              <w:ind w:left="142"/>
              <w:rPr>
                <w:rFonts w:ascii="Arial" w:hAnsi="Arial" w:cs="Arial"/>
              </w:rPr>
            </w:pPr>
            <w:r w:rsidRPr="00CD6C47">
              <w:rPr>
                <w:rFonts w:ascii="Arial" w:hAnsi="Arial" w:cs="Arial"/>
              </w:rPr>
              <w:t>1 April 2012</w:t>
            </w:r>
          </w:p>
        </w:tc>
      </w:tr>
      <w:tr w:rsidR="003622EF" w:rsidRPr="006D37E5" w14:paraId="357A03D6" w14:textId="77777777" w:rsidTr="00CD6C47">
        <w:tc>
          <w:tcPr>
            <w:tcW w:w="9067" w:type="dxa"/>
            <w:gridSpan w:val="4"/>
            <w:tcBorders>
              <w:bottom w:val="single" w:sz="4" w:space="0" w:color="auto"/>
            </w:tcBorders>
            <w:shd w:val="clear" w:color="auto" w:fill="D9D9D9" w:themeFill="background1" w:themeFillShade="D9"/>
          </w:tcPr>
          <w:p w14:paraId="4246E989" w14:textId="77777777" w:rsidR="003622EF" w:rsidRPr="006D37E5" w:rsidRDefault="00CD6C47" w:rsidP="00FF3CC9">
            <w:pPr>
              <w:pStyle w:val="Tabletext0"/>
              <w:keepNext/>
              <w:spacing w:beforeLines="40" w:before="96" w:afterLines="40" w:after="96" w:line="23" w:lineRule="atLeast"/>
              <w:ind w:left="142"/>
              <w:rPr>
                <w:rFonts w:ascii="Arial" w:hAnsi="Arial" w:cs="Arial"/>
                <w:b/>
              </w:rPr>
            </w:pPr>
            <w:r w:rsidRPr="006D37E5">
              <w:rPr>
                <w:rFonts w:ascii="Arial" w:hAnsi="Arial" w:cs="Arial"/>
                <w:b/>
              </w:rPr>
              <w:t>Soluble guanylate cyclase stimulator</w:t>
            </w:r>
          </w:p>
        </w:tc>
      </w:tr>
      <w:tr w:rsidR="003622EF" w:rsidRPr="00CD6C47" w14:paraId="1F71D7D6" w14:textId="77777777" w:rsidTr="00CD6C47">
        <w:tc>
          <w:tcPr>
            <w:tcW w:w="1565" w:type="dxa"/>
            <w:tcBorders>
              <w:top w:val="single" w:sz="4" w:space="0" w:color="auto"/>
              <w:bottom w:val="single" w:sz="4" w:space="0" w:color="auto"/>
            </w:tcBorders>
          </w:tcPr>
          <w:p w14:paraId="24F20521" w14:textId="77777777" w:rsidR="003622EF" w:rsidRPr="00CD6C47" w:rsidRDefault="0099750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riociguat</w:t>
            </w:r>
          </w:p>
        </w:tc>
        <w:tc>
          <w:tcPr>
            <w:tcW w:w="1417" w:type="dxa"/>
            <w:tcBorders>
              <w:top w:val="single" w:sz="4" w:space="0" w:color="auto"/>
              <w:bottom w:val="single" w:sz="4" w:space="0" w:color="auto"/>
            </w:tcBorders>
          </w:tcPr>
          <w:p w14:paraId="73BB9B67"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March 2014</w:t>
            </w:r>
          </w:p>
        </w:tc>
        <w:tc>
          <w:tcPr>
            <w:tcW w:w="4253" w:type="dxa"/>
            <w:tcBorders>
              <w:top w:val="single" w:sz="4" w:space="0" w:color="auto"/>
              <w:bottom w:val="single" w:sz="4" w:space="0" w:color="auto"/>
            </w:tcBorders>
          </w:tcPr>
          <w:p w14:paraId="7F45A524"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IPAH, PAH-CTD and PAH-CHD</w:t>
            </w:r>
          </w:p>
        </w:tc>
        <w:tc>
          <w:tcPr>
            <w:tcW w:w="1832" w:type="dxa"/>
            <w:tcBorders>
              <w:top w:val="single" w:sz="4" w:space="0" w:color="auto"/>
              <w:bottom w:val="single" w:sz="4" w:space="0" w:color="auto"/>
            </w:tcBorders>
          </w:tcPr>
          <w:p w14:paraId="2DDD577B" w14:textId="77777777" w:rsidR="003622EF" w:rsidRPr="00CD6C47" w:rsidRDefault="003622EF" w:rsidP="00FF3CC9">
            <w:pPr>
              <w:pStyle w:val="Tabletext0"/>
              <w:keepNext/>
              <w:spacing w:beforeLines="40" w:before="96" w:afterLines="40" w:after="96" w:line="23" w:lineRule="atLeast"/>
              <w:ind w:left="142"/>
              <w:rPr>
                <w:rFonts w:ascii="Arial" w:hAnsi="Arial" w:cs="Arial"/>
              </w:rPr>
            </w:pPr>
            <w:r w:rsidRPr="00CD6C47">
              <w:rPr>
                <w:rFonts w:ascii="Arial" w:hAnsi="Arial" w:cs="Arial"/>
              </w:rPr>
              <w:t xml:space="preserve">1 </w:t>
            </w:r>
            <w:r w:rsidR="00FB0A8B" w:rsidRPr="00CD6C47">
              <w:rPr>
                <w:rFonts w:ascii="Arial" w:hAnsi="Arial" w:cs="Arial"/>
              </w:rPr>
              <w:t>February</w:t>
            </w:r>
            <w:r w:rsidRPr="00CD6C47">
              <w:rPr>
                <w:rFonts w:ascii="Arial" w:hAnsi="Arial" w:cs="Arial"/>
              </w:rPr>
              <w:t xml:space="preserve"> 2017</w:t>
            </w:r>
          </w:p>
        </w:tc>
      </w:tr>
    </w:tbl>
    <w:p w14:paraId="6D71F186" w14:textId="77777777" w:rsidR="0092086B" w:rsidRPr="002E566F" w:rsidRDefault="0092086B" w:rsidP="00121658">
      <w:pPr>
        <w:spacing w:before="0" w:after="240" w:line="240" w:lineRule="auto"/>
        <w:rPr>
          <w:rFonts w:ascii="Arial" w:hAnsi="Arial" w:cs="Arial"/>
          <w:sz w:val="16"/>
          <w:szCs w:val="16"/>
        </w:rPr>
      </w:pPr>
      <w:r w:rsidRPr="002E566F">
        <w:rPr>
          <w:rFonts w:ascii="Arial" w:hAnsi="Arial" w:cs="Arial"/>
          <w:sz w:val="16"/>
          <w:szCs w:val="16"/>
        </w:rPr>
        <w:t>Source: compiled for this review</w:t>
      </w:r>
    </w:p>
    <w:p w14:paraId="474B9824" w14:textId="77777777" w:rsidR="003B74ED" w:rsidRPr="00123B2E" w:rsidRDefault="003B74ED" w:rsidP="00FF3CC9">
      <w:pPr>
        <w:pStyle w:val="BodyTextnospacebefore"/>
        <w:spacing w:before="240"/>
      </w:pPr>
      <w:bookmarkStart w:id="69" w:name="_Ref505771772"/>
      <w:bookmarkStart w:id="70" w:name="_Toc502867686"/>
      <w:bookmarkStart w:id="71" w:name="_Toc503800653"/>
      <w:bookmarkStart w:id="72" w:name="_Toc503811605"/>
      <w:bookmarkEnd w:id="53"/>
      <w:bookmarkEnd w:id="54"/>
      <w:bookmarkEnd w:id="55"/>
      <w:bookmarkEnd w:id="56"/>
      <w:r w:rsidRPr="00B66E09">
        <w:t xml:space="preserve">The basis for the economic analysis as considered by the PBAC in making the recommendation to list the each of the currently PBS subsidised PAH medicines, and the corresponding </w:t>
      </w:r>
      <w:proofErr w:type="spellStart"/>
      <w:r w:rsidRPr="00B66E09">
        <w:t>equi</w:t>
      </w:r>
      <w:proofErr w:type="spellEnd"/>
      <w:r w:rsidRPr="00B66E09">
        <w:t>-effective doses</w:t>
      </w:r>
      <w:r w:rsidR="00AD5787" w:rsidRPr="00B66E09">
        <w:t xml:space="preserve">, </w:t>
      </w:r>
      <w:r w:rsidRPr="00B66E09">
        <w:t xml:space="preserve">are </w:t>
      </w:r>
      <w:r w:rsidR="00AD5787" w:rsidRPr="00B66E09">
        <w:t>show</w:t>
      </w:r>
      <w:r w:rsidR="00AD5787" w:rsidRPr="00252749">
        <w:t xml:space="preserve">n </w:t>
      </w:r>
      <w:r w:rsidRPr="00252749">
        <w:t>in</w:t>
      </w:r>
      <w:r w:rsidR="00123B2E">
        <w:t xml:space="preserve"> </w:t>
      </w:r>
      <w:r w:rsidR="00505D99">
        <w:t>Table B.</w:t>
      </w:r>
      <w:r w:rsidR="00505D99">
        <w:rPr>
          <w:noProof/>
        </w:rPr>
        <w:t>5</w:t>
      </w:r>
      <w:r w:rsidR="00123B2E">
        <w:t>.</w:t>
      </w:r>
    </w:p>
    <w:bookmarkEnd w:id="69"/>
    <w:p w14:paraId="3A187DA9" w14:textId="77777777" w:rsidR="00123B2E" w:rsidRDefault="00123B2E" w:rsidP="00121658">
      <w:pPr>
        <w:spacing w:before="0" w:line="240" w:lineRule="auto"/>
        <w:rPr>
          <w:rFonts w:asciiTheme="minorHAnsi" w:hAnsiTheme="minorHAnsi"/>
          <w:b/>
          <w:iCs/>
          <w:szCs w:val="18"/>
        </w:rPr>
      </w:pPr>
      <w:r>
        <w:br w:type="page"/>
      </w:r>
    </w:p>
    <w:p w14:paraId="58999B67" w14:textId="77777777" w:rsidR="00CA30EE" w:rsidRDefault="00CA30EE" w:rsidP="00D14982">
      <w:pPr>
        <w:pStyle w:val="ToR1TableHeader"/>
        <w:tabs>
          <w:tab w:val="clear" w:pos="1134"/>
          <w:tab w:val="left" w:pos="0"/>
        </w:tabs>
        <w:ind w:left="0" w:firstLine="0"/>
      </w:pPr>
      <w:bookmarkStart w:id="73" w:name="_Ref510019848"/>
      <w:bookmarkStart w:id="74" w:name="_Toc29377242"/>
      <w:r>
        <w:lastRenderedPageBreak/>
        <w:t>Table B.</w:t>
      </w:r>
      <w:r w:rsidR="00505D99">
        <w:rPr>
          <w:noProof/>
        </w:rPr>
        <w:t>5</w:t>
      </w:r>
      <w:bookmarkEnd w:id="73"/>
      <w:r w:rsidR="0015688E">
        <w:tab/>
      </w:r>
      <w:r w:rsidRPr="00735785">
        <w:t xml:space="preserve">The Economic analyses and </w:t>
      </w:r>
      <w:proofErr w:type="spellStart"/>
      <w:r w:rsidRPr="00735785">
        <w:t>equi</w:t>
      </w:r>
      <w:proofErr w:type="spellEnd"/>
      <w:r w:rsidRPr="00735785">
        <w:t>-effective doses considered by the PBAC in recommending PBS listing of PAH medicines</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Caption w:val="Economic analyses and equi-effective doses for PAH medicines on the PBS"/>
      </w:tblPr>
      <w:tblGrid>
        <w:gridCol w:w="1627"/>
        <w:gridCol w:w="1927"/>
        <w:gridCol w:w="1572"/>
        <w:gridCol w:w="3890"/>
      </w:tblGrid>
      <w:tr w:rsidR="007D75B6" w:rsidRPr="006D37E5" w14:paraId="26A73EC4" w14:textId="77777777" w:rsidTr="006D37E5">
        <w:trPr>
          <w:cantSplit/>
          <w:tblHeader/>
        </w:trPr>
        <w:tc>
          <w:tcPr>
            <w:tcW w:w="0" w:type="auto"/>
            <w:shd w:val="clear" w:color="auto" w:fill="BFBFBF"/>
            <w:vAlign w:val="center"/>
          </w:tcPr>
          <w:p w14:paraId="17EBA48C" w14:textId="77777777" w:rsidR="007D75B6" w:rsidRPr="006D37E5" w:rsidRDefault="007D75B6" w:rsidP="009062F9">
            <w:pPr>
              <w:pStyle w:val="02TableHEADINGcentred"/>
              <w:tabs>
                <w:tab w:val="left" w:pos="2410"/>
              </w:tabs>
              <w:ind w:left="0"/>
              <w:jc w:val="left"/>
              <w:rPr>
                <w:rFonts w:ascii="Arial" w:hAnsi="Arial" w:cs="Arial"/>
                <w:sz w:val="20"/>
                <w:szCs w:val="20"/>
              </w:rPr>
            </w:pPr>
            <w:r w:rsidRPr="006D37E5">
              <w:rPr>
                <w:rFonts w:ascii="Arial" w:hAnsi="Arial" w:cs="Arial"/>
                <w:sz w:val="20"/>
                <w:szCs w:val="20"/>
              </w:rPr>
              <w:t>Date of PBAC consideration</w:t>
            </w:r>
          </w:p>
        </w:tc>
        <w:tc>
          <w:tcPr>
            <w:tcW w:w="1927" w:type="dxa"/>
            <w:shd w:val="clear" w:color="auto" w:fill="BFBFBF"/>
            <w:vAlign w:val="center"/>
          </w:tcPr>
          <w:p w14:paraId="46145870" w14:textId="77777777" w:rsidR="007D75B6" w:rsidRPr="006D37E5" w:rsidRDefault="007D75B6" w:rsidP="00FA1DD0">
            <w:pPr>
              <w:pStyle w:val="02TableHEADINGcentred"/>
              <w:tabs>
                <w:tab w:val="left" w:pos="2410"/>
              </w:tabs>
              <w:ind w:left="98"/>
              <w:jc w:val="left"/>
              <w:rPr>
                <w:rFonts w:ascii="Arial" w:hAnsi="Arial" w:cs="Arial"/>
                <w:sz w:val="20"/>
                <w:szCs w:val="20"/>
              </w:rPr>
            </w:pPr>
            <w:r w:rsidRPr="006D37E5">
              <w:rPr>
                <w:rFonts w:ascii="Arial" w:hAnsi="Arial" w:cs="Arial"/>
                <w:sz w:val="20"/>
                <w:szCs w:val="20"/>
              </w:rPr>
              <w:t>Active ingredient</w:t>
            </w:r>
          </w:p>
          <w:p w14:paraId="1591A8C4" w14:textId="77777777" w:rsidR="007D75B6" w:rsidRPr="006D37E5" w:rsidRDefault="007D75B6" w:rsidP="00FA1DD0">
            <w:pPr>
              <w:pStyle w:val="02TableHEADINGcentred"/>
              <w:tabs>
                <w:tab w:val="left" w:pos="2410"/>
              </w:tabs>
              <w:ind w:left="98"/>
              <w:jc w:val="left"/>
              <w:rPr>
                <w:rFonts w:ascii="Arial" w:hAnsi="Arial" w:cs="Arial"/>
                <w:i/>
                <w:sz w:val="20"/>
                <w:szCs w:val="20"/>
              </w:rPr>
            </w:pPr>
            <w:r w:rsidRPr="006D37E5">
              <w:rPr>
                <w:rFonts w:ascii="Arial" w:hAnsi="Arial" w:cs="Arial"/>
                <w:i/>
                <w:sz w:val="20"/>
                <w:szCs w:val="20"/>
              </w:rPr>
              <w:t>Brand name and strength</w:t>
            </w:r>
          </w:p>
        </w:tc>
        <w:tc>
          <w:tcPr>
            <w:tcW w:w="1572" w:type="dxa"/>
            <w:shd w:val="clear" w:color="auto" w:fill="BFBFBF"/>
            <w:vAlign w:val="center"/>
          </w:tcPr>
          <w:p w14:paraId="10042625" w14:textId="77777777" w:rsidR="007D75B6" w:rsidRPr="006D37E5" w:rsidRDefault="007D75B6" w:rsidP="00FA1DD0">
            <w:pPr>
              <w:pStyle w:val="02TableHEADINGcentred"/>
              <w:tabs>
                <w:tab w:val="left" w:pos="2410"/>
              </w:tabs>
              <w:ind w:left="14"/>
              <w:jc w:val="left"/>
              <w:rPr>
                <w:rFonts w:ascii="Arial" w:hAnsi="Arial" w:cs="Arial"/>
                <w:sz w:val="20"/>
                <w:szCs w:val="20"/>
              </w:rPr>
            </w:pPr>
            <w:r w:rsidRPr="006D37E5">
              <w:rPr>
                <w:rFonts w:ascii="Arial" w:hAnsi="Arial" w:cs="Arial"/>
                <w:sz w:val="20"/>
                <w:szCs w:val="20"/>
              </w:rPr>
              <w:t xml:space="preserve">Basis of economic </w:t>
            </w:r>
            <w:proofErr w:type="spellStart"/>
            <w:r w:rsidRPr="006D37E5">
              <w:rPr>
                <w:rFonts w:ascii="Arial" w:hAnsi="Arial" w:cs="Arial"/>
                <w:sz w:val="20"/>
                <w:szCs w:val="20"/>
              </w:rPr>
              <w:t>analysis</w:t>
            </w:r>
            <w:r w:rsidRPr="006D37E5">
              <w:rPr>
                <w:rFonts w:ascii="Arial" w:hAnsi="Arial" w:cs="Arial"/>
                <w:sz w:val="20"/>
                <w:szCs w:val="20"/>
                <w:vertAlign w:val="superscript"/>
              </w:rPr>
              <w:t>a</w:t>
            </w:r>
            <w:proofErr w:type="spellEnd"/>
          </w:p>
        </w:tc>
        <w:tc>
          <w:tcPr>
            <w:tcW w:w="0" w:type="auto"/>
            <w:shd w:val="clear" w:color="auto" w:fill="BFBFBF"/>
            <w:vAlign w:val="center"/>
          </w:tcPr>
          <w:p w14:paraId="0A382319" w14:textId="77777777" w:rsidR="007D75B6" w:rsidRPr="006D37E5" w:rsidRDefault="007D75B6" w:rsidP="00FA1DD0">
            <w:pPr>
              <w:pStyle w:val="02TableHEADINGcentred"/>
              <w:tabs>
                <w:tab w:val="left" w:pos="2410"/>
              </w:tabs>
              <w:ind w:left="144"/>
              <w:jc w:val="left"/>
              <w:rPr>
                <w:rFonts w:ascii="Arial" w:hAnsi="Arial" w:cs="Arial"/>
                <w:sz w:val="20"/>
                <w:szCs w:val="20"/>
              </w:rPr>
            </w:pPr>
            <w:proofErr w:type="spellStart"/>
            <w:r w:rsidRPr="006D37E5">
              <w:rPr>
                <w:rFonts w:ascii="Arial" w:hAnsi="Arial" w:cs="Arial"/>
                <w:sz w:val="20"/>
                <w:szCs w:val="20"/>
              </w:rPr>
              <w:t>Equi</w:t>
            </w:r>
            <w:proofErr w:type="spellEnd"/>
            <w:r w:rsidRPr="006D37E5">
              <w:rPr>
                <w:rFonts w:ascii="Arial" w:hAnsi="Arial" w:cs="Arial"/>
                <w:sz w:val="20"/>
                <w:szCs w:val="20"/>
              </w:rPr>
              <w:t>-effective doses</w:t>
            </w:r>
            <w:r w:rsidR="00165B13" w:rsidRPr="006D37E5">
              <w:rPr>
                <w:rFonts w:ascii="Arial" w:hAnsi="Arial" w:cs="Arial"/>
                <w:sz w:val="20"/>
                <w:szCs w:val="20"/>
              </w:rPr>
              <w:t xml:space="preserve"> </w:t>
            </w:r>
            <w:proofErr w:type="spellStart"/>
            <w:r w:rsidR="00165B13" w:rsidRPr="006D37E5">
              <w:rPr>
                <w:rFonts w:ascii="Arial" w:hAnsi="Arial" w:cs="Arial"/>
                <w:sz w:val="20"/>
                <w:szCs w:val="20"/>
              </w:rPr>
              <w:t>recommended</w:t>
            </w:r>
            <w:r w:rsidRPr="006D37E5">
              <w:rPr>
                <w:rFonts w:ascii="Arial" w:hAnsi="Arial" w:cs="Arial"/>
                <w:sz w:val="20"/>
                <w:szCs w:val="20"/>
                <w:vertAlign w:val="superscript"/>
              </w:rPr>
              <w:t>a</w:t>
            </w:r>
            <w:proofErr w:type="spellEnd"/>
          </w:p>
        </w:tc>
      </w:tr>
      <w:tr w:rsidR="007D75B6" w:rsidRPr="00D14716" w14:paraId="5F25B2EC" w14:textId="77777777" w:rsidTr="006D37E5">
        <w:trPr>
          <w:cantSplit/>
        </w:trPr>
        <w:tc>
          <w:tcPr>
            <w:tcW w:w="0" w:type="auto"/>
            <w:tcBorders>
              <w:bottom w:val="single" w:sz="4" w:space="0" w:color="auto"/>
            </w:tcBorders>
            <w:shd w:val="clear" w:color="auto" w:fill="auto"/>
          </w:tcPr>
          <w:p w14:paraId="791FA005" w14:textId="77777777" w:rsidR="007D75B6" w:rsidRPr="00D14716" w:rsidRDefault="007D75B6" w:rsidP="009062F9">
            <w:pPr>
              <w:pStyle w:val="05Tabletext"/>
              <w:tabs>
                <w:tab w:val="left" w:pos="2410"/>
              </w:tabs>
              <w:ind w:left="0"/>
              <w:rPr>
                <w:rFonts w:ascii="Arial" w:hAnsi="Arial" w:cs="Arial"/>
                <w:sz w:val="20"/>
                <w:szCs w:val="20"/>
              </w:rPr>
            </w:pPr>
            <w:r w:rsidRPr="00D14716">
              <w:rPr>
                <w:rFonts w:ascii="Arial" w:hAnsi="Arial" w:cs="Arial"/>
                <w:sz w:val="20"/>
                <w:szCs w:val="20"/>
              </w:rPr>
              <w:t>December 2003</w:t>
            </w:r>
          </w:p>
        </w:tc>
        <w:tc>
          <w:tcPr>
            <w:tcW w:w="1927" w:type="dxa"/>
            <w:tcBorders>
              <w:bottom w:val="single" w:sz="4" w:space="0" w:color="auto"/>
            </w:tcBorders>
            <w:shd w:val="clear" w:color="auto" w:fill="auto"/>
          </w:tcPr>
          <w:p w14:paraId="4D4AD035" w14:textId="77777777" w:rsidR="007D75B6" w:rsidRPr="00D14716" w:rsidRDefault="0099750F" w:rsidP="00FA1DD0">
            <w:pPr>
              <w:pStyle w:val="05Tabletext"/>
              <w:tabs>
                <w:tab w:val="left" w:pos="2410"/>
              </w:tabs>
              <w:ind w:left="98"/>
              <w:rPr>
                <w:rFonts w:ascii="Arial" w:hAnsi="Arial" w:cs="Arial"/>
                <w:b/>
                <w:sz w:val="20"/>
                <w:szCs w:val="20"/>
              </w:rPr>
            </w:pPr>
            <w:r w:rsidRPr="00D14716">
              <w:rPr>
                <w:rFonts w:ascii="Arial" w:hAnsi="Arial" w:cs="Arial"/>
                <w:b/>
                <w:sz w:val="20"/>
                <w:szCs w:val="20"/>
              </w:rPr>
              <w:t>bosentan</w:t>
            </w:r>
          </w:p>
          <w:p w14:paraId="4A226CC7" w14:textId="5CE127F1" w:rsidR="007D75B6" w:rsidRPr="00D14716" w:rsidRDefault="00060C26" w:rsidP="00FA1DD0">
            <w:pPr>
              <w:pStyle w:val="05Tabletext"/>
              <w:tabs>
                <w:tab w:val="left" w:pos="2410"/>
              </w:tabs>
              <w:ind w:left="98"/>
              <w:rPr>
                <w:rFonts w:ascii="Arial" w:hAnsi="Arial" w:cs="Arial"/>
                <w:b/>
                <w:sz w:val="20"/>
                <w:szCs w:val="20"/>
              </w:rPr>
            </w:pPr>
            <w:proofErr w:type="spellStart"/>
            <w:r w:rsidRPr="00D14716">
              <w:rPr>
                <w:rFonts w:ascii="Arial" w:hAnsi="Arial" w:cs="Arial"/>
                <w:sz w:val="20"/>
                <w:szCs w:val="20"/>
              </w:rPr>
              <w:t>Tracleer</w:t>
            </w:r>
            <w:proofErr w:type="spellEnd"/>
            <w:r w:rsidR="00B21981" w:rsidRPr="00D14716">
              <w:rPr>
                <w:rFonts w:ascii="Arial" w:hAnsi="Arial" w:cs="Arial"/>
                <w:color w:val="222222"/>
                <w:sz w:val="20"/>
                <w:szCs w:val="20"/>
                <w:shd w:val="clear" w:color="auto" w:fill="FFFFFF"/>
              </w:rPr>
              <w:t xml:space="preserve">® </w:t>
            </w:r>
            <w:r w:rsidR="007D75B6" w:rsidRPr="00D14716">
              <w:rPr>
                <w:rFonts w:ascii="Arial" w:hAnsi="Arial" w:cs="Arial"/>
                <w:sz w:val="20"/>
                <w:szCs w:val="20"/>
              </w:rPr>
              <w:t>62.5</w:t>
            </w:r>
            <w:r w:rsidR="006C614A">
              <w:rPr>
                <w:rFonts w:ascii="Arial" w:hAnsi="Arial" w:cs="Arial"/>
                <w:sz w:val="20"/>
                <w:szCs w:val="20"/>
              </w:rPr>
              <w:t xml:space="preserve"> </w:t>
            </w:r>
            <w:r w:rsidR="007D75B6" w:rsidRPr="00D14716">
              <w:rPr>
                <w:rFonts w:ascii="Arial" w:hAnsi="Arial" w:cs="Arial"/>
                <w:sz w:val="20"/>
                <w:szCs w:val="20"/>
              </w:rPr>
              <w:t>mg and 125</w:t>
            </w:r>
            <w:r w:rsidR="00067504">
              <w:rPr>
                <w:rFonts w:ascii="Arial" w:hAnsi="Arial" w:cs="Arial"/>
                <w:sz w:val="20"/>
                <w:szCs w:val="20"/>
              </w:rPr>
              <w:t xml:space="preserve"> mg</w:t>
            </w:r>
          </w:p>
        </w:tc>
        <w:tc>
          <w:tcPr>
            <w:tcW w:w="1572" w:type="dxa"/>
            <w:tcBorders>
              <w:bottom w:val="single" w:sz="4" w:space="0" w:color="auto"/>
            </w:tcBorders>
            <w:shd w:val="clear" w:color="auto" w:fill="auto"/>
          </w:tcPr>
          <w:p w14:paraId="25B3DADF" w14:textId="77777777" w:rsidR="007D75B6" w:rsidRPr="00F4698B" w:rsidRDefault="00F4698B" w:rsidP="00FA1DD0">
            <w:pPr>
              <w:pStyle w:val="05Tabletext"/>
              <w:tabs>
                <w:tab w:val="left" w:pos="2410"/>
              </w:tabs>
              <w:ind w:left="14"/>
              <w:rPr>
                <w:rFonts w:ascii="Arial" w:hAnsi="Arial" w:cs="Arial"/>
                <w:sz w:val="20"/>
                <w:szCs w:val="20"/>
                <w:highlight w:val="black"/>
              </w:rPr>
            </w:pPr>
            <w:r>
              <w:rPr>
                <w:rFonts w:ascii="Arial" w:hAnsi="Arial" w:cs="Arial"/>
                <w:noProof/>
                <w:color w:val="000000"/>
                <w:sz w:val="20"/>
                <w:szCs w:val="20"/>
                <w:highlight w:val="black"/>
              </w:rPr>
              <w:t>'''''''''''' '''''''''''''''''''''' ''''''''' ''''''''''''''''''' ''''''''''</w:t>
            </w:r>
          </w:p>
        </w:tc>
        <w:tc>
          <w:tcPr>
            <w:tcW w:w="0" w:type="auto"/>
            <w:tcBorders>
              <w:bottom w:val="single" w:sz="4" w:space="0" w:color="auto"/>
            </w:tcBorders>
            <w:shd w:val="clear" w:color="auto" w:fill="auto"/>
          </w:tcPr>
          <w:p w14:paraId="7FE068E9" w14:textId="77777777" w:rsidR="007D75B6" w:rsidRPr="00D14716" w:rsidRDefault="007D75B6" w:rsidP="00FA1DD0">
            <w:pPr>
              <w:pStyle w:val="07Tablebullet"/>
              <w:numPr>
                <w:ilvl w:val="0"/>
                <w:numId w:val="0"/>
              </w:numPr>
              <w:tabs>
                <w:tab w:val="left" w:pos="2410"/>
              </w:tabs>
              <w:ind w:left="144"/>
              <w:rPr>
                <w:rFonts w:cs="Arial"/>
                <w:szCs w:val="20"/>
              </w:rPr>
            </w:pPr>
            <w:r w:rsidRPr="00D14716">
              <w:rPr>
                <w:rFonts w:cs="Arial"/>
                <w:szCs w:val="20"/>
              </w:rPr>
              <w:t>N/A</w:t>
            </w:r>
          </w:p>
        </w:tc>
      </w:tr>
      <w:tr w:rsidR="007D75B6" w:rsidRPr="006D37E5" w14:paraId="4614CD55" w14:textId="77777777" w:rsidTr="006D37E5">
        <w:trPr>
          <w:cantSplit/>
        </w:trPr>
        <w:tc>
          <w:tcPr>
            <w:tcW w:w="0" w:type="auto"/>
            <w:tcBorders>
              <w:bottom w:val="single" w:sz="4" w:space="0" w:color="auto"/>
            </w:tcBorders>
            <w:shd w:val="clear" w:color="auto" w:fill="auto"/>
          </w:tcPr>
          <w:p w14:paraId="444DE060" w14:textId="77777777" w:rsidR="007D75B6" w:rsidRPr="00D14716" w:rsidRDefault="007D75B6" w:rsidP="009062F9">
            <w:pPr>
              <w:pStyle w:val="05Tabletext"/>
              <w:tabs>
                <w:tab w:val="left" w:pos="2410"/>
              </w:tabs>
              <w:ind w:left="0"/>
              <w:rPr>
                <w:rFonts w:ascii="Arial" w:hAnsi="Arial" w:cs="Arial"/>
                <w:sz w:val="20"/>
                <w:szCs w:val="20"/>
              </w:rPr>
            </w:pPr>
            <w:r w:rsidRPr="00D14716">
              <w:rPr>
                <w:rFonts w:ascii="Arial" w:hAnsi="Arial" w:cs="Arial"/>
                <w:sz w:val="20"/>
                <w:szCs w:val="20"/>
              </w:rPr>
              <w:t>November 2004</w:t>
            </w:r>
          </w:p>
        </w:tc>
        <w:tc>
          <w:tcPr>
            <w:tcW w:w="1927" w:type="dxa"/>
            <w:tcBorders>
              <w:bottom w:val="single" w:sz="4" w:space="0" w:color="auto"/>
            </w:tcBorders>
            <w:shd w:val="clear" w:color="auto" w:fill="auto"/>
          </w:tcPr>
          <w:p w14:paraId="7AA59824" w14:textId="77777777" w:rsidR="007D75B6" w:rsidRPr="00D14716" w:rsidRDefault="0099750F" w:rsidP="00FA1DD0">
            <w:pPr>
              <w:pStyle w:val="05Tabletext"/>
              <w:tabs>
                <w:tab w:val="left" w:pos="2410"/>
              </w:tabs>
              <w:ind w:left="98"/>
              <w:rPr>
                <w:rFonts w:ascii="Arial" w:hAnsi="Arial" w:cs="Arial"/>
                <w:b/>
                <w:sz w:val="20"/>
                <w:szCs w:val="20"/>
              </w:rPr>
            </w:pPr>
            <w:r w:rsidRPr="00D14716">
              <w:rPr>
                <w:rFonts w:ascii="Arial" w:hAnsi="Arial" w:cs="Arial"/>
                <w:b/>
                <w:sz w:val="20"/>
                <w:szCs w:val="20"/>
              </w:rPr>
              <w:t xml:space="preserve">iloprost </w:t>
            </w:r>
          </w:p>
          <w:p w14:paraId="3DCA920B" w14:textId="77777777" w:rsidR="007D75B6" w:rsidRPr="00D14716" w:rsidRDefault="00060C26" w:rsidP="00FA1DD0">
            <w:pPr>
              <w:pStyle w:val="05Tabletext"/>
              <w:tabs>
                <w:tab w:val="left" w:pos="2410"/>
              </w:tabs>
              <w:ind w:left="98"/>
              <w:rPr>
                <w:rFonts w:ascii="Arial" w:hAnsi="Arial" w:cs="Arial"/>
                <w:sz w:val="20"/>
                <w:szCs w:val="20"/>
              </w:rPr>
            </w:pPr>
            <w:proofErr w:type="spellStart"/>
            <w:r w:rsidRPr="00D14716">
              <w:rPr>
                <w:rFonts w:ascii="Arial" w:hAnsi="Arial" w:cs="Arial"/>
                <w:sz w:val="20"/>
                <w:szCs w:val="20"/>
              </w:rPr>
              <w:t>Ventavis</w:t>
            </w:r>
            <w:proofErr w:type="spellEnd"/>
            <w:r w:rsidR="00B21981" w:rsidRPr="006840E7">
              <w:rPr>
                <w:rFonts w:ascii="Arial" w:hAnsi="Arial" w:cs="Arial"/>
                <w:color w:val="222222"/>
                <w:sz w:val="20"/>
                <w:szCs w:val="20"/>
                <w:shd w:val="clear" w:color="auto" w:fill="FFFFFF"/>
                <w:vertAlign w:val="superscript"/>
              </w:rPr>
              <w:t>®</w:t>
            </w:r>
            <w:r w:rsidR="007D75B6" w:rsidRPr="00D14716">
              <w:rPr>
                <w:rFonts w:ascii="Arial" w:hAnsi="Arial" w:cs="Arial"/>
                <w:sz w:val="20"/>
                <w:szCs w:val="20"/>
              </w:rPr>
              <w:t xml:space="preserve"> 10 </w:t>
            </w:r>
            <w:proofErr w:type="spellStart"/>
            <w:r w:rsidR="007D75B6" w:rsidRPr="00D14716">
              <w:rPr>
                <w:rFonts w:ascii="Arial" w:hAnsi="Arial" w:cs="Arial"/>
                <w:sz w:val="20"/>
                <w:szCs w:val="20"/>
              </w:rPr>
              <w:t>μg</w:t>
            </w:r>
            <w:proofErr w:type="spellEnd"/>
            <w:r w:rsidR="007D75B6" w:rsidRPr="00D14716">
              <w:rPr>
                <w:rFonts w:ascii="Arial" w:hAnsi="Arial" w:cs="Arial"/>
                <w:sz w:val="20"/>
                <w:szCs w:val="20"/>
              </w:rPr>
              <w:t xml:space="preserve"> in 2mL ampoule</w:t>
            </w:r>
          </w:p>
        </w:tc>
        <w:tc>
          <w:tcPr>
            <w:tcW w:w="1572" w:type="dxa"/>
            <w:tcBorders>
              <w:bottom w:val="dashed" w:sz="4" w:space="0" w:color="auto"/>
            </w:tcBorders>
            <w:shd w:val="clear" w:color="auto" w:fill="auto"/>
          </w:tcPr>
          <w:p w14:paraId="1F51784E" w14:textId="77777777" w:rsidR="007D75B6" w:rsidRPr="00F4698B" w:rsidRDefault="00F4698B" w:rsidP="00FA1DD0">
            <w:pPr>
              <w:pStyle w:val="05Tabletext"/>
              <w:tabs>
                <w:tab w:val="left" w:pos="2410"/>
              </w:tabs>
              <w:ind w:left="14"/>
              <w:rPr>
                <w:rFonts w:ascii="Arial" w:hAnsi="Arial" w:cs="Arial"/>
                <w:sz w:val="20"/>
                <w:szCs w:val="20"/>
                <w:highlight w:val="black"/>
              </w:rPr>
            </w:pPr>
            <w:r>
              <w:rPr>
                <w:rFonts w:ascii="Arial" w:hAnsi="Arial" w:cs="Arial"/>
                <w:noProof/>
                <w:color w:val="000000"/>
                <w:sz w:val="20"/>
                <w:szCs w:val="20"/>
                <w:highlight w:val="black"/>
              </w:rPr>
              <w:t>''''''''''' '''''''''''''''''''''' ''''''''' '''''''''''''''''''''</w:t>
            </w:r>
          </w:p>
        </w:tc>
        <w:tc>
          <w:tcPr>
            <w:tcW w:w="0" w:type="auto"/>
            <w:tcBorders>
              <w:bottom w:val="single" w:sz="4" w:space="0" w:color="auto"/>
            </w:tcBorders>
            <w:shd w:val="clear" w:color="auto" w:fill="auto"/>
          </w:tcPr>
          <w:p w14:paraId="138106AE" w14:textId="77777777" w:rsidR="007D75B6" w:rsidRPr="00F4698B" w:rsidRDefault="00F4698B" w:rsidP="00FA1DD0">
            <w:pPr>
              <w:pStyle w:val="07Tablebullet"/>
              <w:numPr>
                <w:ilvl w:val="0"/>
                <w:numId w:val="0"/>
              </w:numPr>
              <w:tabs>
                <w:tab w:val="left" w:pos="2410"/>
              </w:tabs>
              <w:ind w:left="144"/>
              <w:rPr>
                <w:rFonts w:cs="Arial"/>
                <w:szCs w:val="20"/>
                <w:highlight w:val="black"/>
              </w:rPr>
            </w:pPr>
            <w:r>
              <w:rPr>
                <w:rFonts w:cs="Arial"/>
                <w:noProof/>
                <w:color w:val="000000"/>
                <w:szCs w:val="20"/>
                <w:highlight w:val="black"/>
              </w:rPr>
              <w:t>''''''''''''''''' '''''''''''' ''''''' '''''''''''''''''''''''' '''''''' ''''''''''''' ''''''' '''''''''' ''''''''''''' ''' ''''''''''''' ''''' '''''''' ''' '''''''''''' '''''''''''''''''''''''' '''''''''''''''''''''''' ''''''''' '''''''''</w:t>
            </w:r>
          </w:p>
          <w:p w14:paraId="57E9F97B" w14:textId="77777777" w:rsidR="007D75B6" w:rsidRPr="00F4698B" w:rsidRDefault="00F4698B" w:rsidP="00FA1DD0">
            <w:pPr>
              <w:pStyle w:val="07Tablebullet"/>
              <w:numPr>
                <w:ilvl w:val="0"/>
                <w:numId w:val="0"/>
              </w:numPr>
              <w:tabs>
                <w:tab w:val="left" w:pos="2410"/>
              </w:tabs>
              <w:ind w:left="144"/>
              <w:rPr>
                <w:rFonts w:cs="Arial"/>
                <w:szCs w:val="20"/>
                <w:highlight w:val="black"/>
              </w:rPr>
            </w:pPr>
            <w:r>
              <w:rPr>
                <w:rFonts w:cs="Arial"/>
                <w:noProof/>
                <w:color w:val="000000"/>
                <w:szCs w:val="20"/>
                <w:highlight w:val="black"/>
              </w:rPr>
              <w:t>'''''''''''''''''''''' ''''''''' ''''''' ''''''''''''' '''''''''''</w:t>
            </w:r>
          </w:p>
        </w:tc>
      </w:tr>
      <w:tr w:rsidR="007D75B6" w:rsidRPr="006D37E5" w14:paraId="170B9A2D" w14:textId="77777777" w:rsidTr="006D37E5">
        <w:trPr>
          <w:cantSplit/>
        </w:trPr>
        <w:tc>
          <w:tcPr>
            <w:tcW w:w="0" w:type="auto"/>
            <w:tcBorders>
              <w:bottom w:val="single" w:sz="4" w:space="0" w:color="auto"/>
            </w:tcBorders>
            <w:shd w:val="clear" w:color="auto" w:fill="auto"/>
          </w:tcPr>
          <w:p w14:paraId="27161411" w14:textId="77777777" w:rsidR="007D75B6" w:rsidRPr="006D37E5" w:rsidRDefault="007D75B6" w:rsidP="009062F9">
            <w:pPr>
              <w:pStyle w:val="05Tabletext"/>
              <w:tabs>
                <w:tab w:val="left" w:pos="2410"/>
              </w:tabs>
              <w:ind w:left="0"/>
              <w:rPr>
                <w:rFonts w:ascii="Arial" w:hAnsi="Arial" w:cs="Arial"/>
                <w:sz w:val="20"/>
                <w:szCs w:val="20"/>
              </w:rPr>
            </w:pPr>
            <w:r w:rsidRPr="006D37E5">
              <w:rPr>
                <w:rFonts w:ascii="Arial" w:hAnsi="Arial" w:cs="Arial"/>
                <w:sz w:val="20"/>
                <w:szCs w:val="20"/>
              </w:rPr>
              <w:t>March 2006</w:t>
            </w:r>
          </w:p>
        </w:tc>
        <w:tc>
          <w:tcPr>
            <w:tcW w:w="1927" w:type="dxa"/>
            <w:tcBorders>
              <w:bottom w:val="single" w:sz="4" w:space="0" w:color="auto"/>
            </w:tcBorders>
            <w:shd w:val="clear" w:color="auto" w:fill="auto"/>
          </w:tcPr>
          <w:p w14:paraId="150C9005" w14:textId="77777777" w:rsidR="007D75B6" w:rsidRPr="006D37E5" w:rsidRDefault="0099750F" w:rsidP="00FA1DD0">
            <w:pPr>
              <w:pStyle w:val="05Tabletext"/>
              <w:tabs>
                <w:tab w:val="left" w:pos="2410"/>
              </w:tabs>
              <w:ind w:left="98"/>
              <w:rPr>
                <w:rFonts w:ascii="Arial" w:hAnsi="Arial" w:cs="Arial"/>
                <w:b/>
                <w:sz w:val="20"/>
                <w:szCs w:val="20"/>
              </w:rPr>
            </w:pPr>
            <w:r w:rsidRPr="006D37E5">
              <w:rPr>
                <w:rFonts w:ascii="Arial" w:hAnsi="Arial" w:cs="Arial"/>
                <w:b/>
                <w:sz w:val="20"/>
                <w:szCs w:val="20"/>
              </w:rPr>
              <w:t>epoprostenol</w:t>
            </w:r>
          </w:p>
          <w:p w14:paraId="1DFDBA01" w14:textId="77777777" w:rsidR="007D75B6" w:rsidRPr="006D37E5" w:rsidRDefault="00060C26" w:rsidP="00FA1DD0">
            <w:pPr>
              <w:pStyle w:val="05Tabletext"/>
              <w:tabs>
                <w:tab w:val="left" w:pos="2410"/>
              </w:tabs>
              <w:ind w:left="98"/>
              <w:rPr>
                <w:rFonts w:ascii="Arial" w:hAnsi="Arial" w:cs="Arial"/>
                <w:sz w:val="20"/>
                <w:szCs w:val="20"/>
              </w:rPr>
            </w:pPr>
            <w:proofErr w:type="spellStart"/>
            <w:r w:rsidRPr="006D37E5">
              <w:rPr>
                <w:rFonts w:ascii="Arial" w:hAnsi="Arial" w:cs="Arial"/>
                <w:sz w:val="20"/>
                <w:szCs w:val="20"/>
              </w:rPr>
              <w:t>Flolan</w:t>
            </w:r>
            <w:proofErr w:type="spellEnd"/>
            <w:r w:rsidR="00B21981" w:rsidRPr="006840E7">
              <w:rPr>
                <w:rFonts w:ascii="Arial" w:hAnsi="Arial" w:cs="Arial"/>
                <w:color w:val="222222"/>
                <w:sz w:val="20"/>
                <w:szCs w:val="20"/>
                <w:shd w:val="clear" w:color="auto" w:fill="FFFFFF"/>
                <w:vertAlign w:val="superscript"/>
              </w:rPr>
              <w:t>®</w:t>
            </w:r>
            <w:r w:rsidR="007D75B6" w:rsidRPr="006D37E5">
              <w:rPr>
                <w:rFonts w:ascii="Arial" w:hAnsi="Arial" w:cs="Arial"/>
                <w:sz w:val="20"/>
                <w:szCs w:val="20"/>
              </w:rPr>
              <w:t xml:space="preserve"> 1.5 mg injection and 500 </w:t>
            </w:r>
            <w:proofErr w:type="spellStart"/>
            <w:r w:rsidR="007D75B6" w:rsidRPr="006D37E5">
              <w:rPr>
                <w:rFonts w:ascii="Arial" w:hAnsi="Arial" w:cs="Arial"/>
                <w:sz w:val="20"/>
                <w:szCs w:val="20"/>
              </w:rPr>
              <w:t>μg</w:t>
            </w:r>
            <w:proofErr w:type="spellEnd"/>
            <w:r w:rsidR="007D75B6" w:rsidRPr="006D37E5">
              <w:rPr>
                <w:rFonts w:ascii="Arial" w:hAnsi="Arial" w:cs="Arial"/>
                <w:sz w:val="20"/>
                <w:szCs w:val="20"/>
              </w:rPr>
              <w:t xml:space="preserve"> injection</w:t>
            </w:r>
          </w:p>
        </w:tc>
        <w:tc>
          <w:tcPr>
            <w:tcW w:w="1572" w:type="dxa"/>
            <w:shd w:val="clear" w:color="auto" w:fill="auto"/>
          </w:tcPr>
          <w:p w14:paraId="29D575F5" w14:textId="77777777" w:rsidR="007D75B6" w:rsidRPr="006D37E5" w:rsidRDefault="007D75B6" w:rsidP="00FA1DD0">
            <w:pPr>
              <w:pStyle w:val="05Tabletext"/>
              <w:tabs>
                <w:tab w:val="left" w:pos="2410"/>
              </w:tabs>
              <w:ind w:left="14"/>
              <w:rPr>
                <w:rFonts w:ascii="Arial" w:hAnsi="Arial" w:cs="Arial"/>
                <w:sz w:val="20"/>
                <w:szCs w:val="20"/>
              </w:rPr>
            </w:pPr>
            <w:r w:rsidRPr="006D37E5">
              <w:rPr>
                <w:rFonts w:ascii="Arial" w:hAnsi="Arial" w:cs="Arial"/>
                <w:sz w:val="20"/>
                <w:szCs w:val="20"/>
              </w:rPr>
              <w:t>CMA compared with bosentan</w:t>
            </w:r>
          </w:p>
        </w:tc>
        <w:tc>
          <w:tcPr>
            <w:tcW w:w="0" w:type="auto"/>
            <w:tcBorders>
              <w:bottom w:val="single" w:sz="4" w:space="0" w:color="auto"/>
            </w:tcBorders>
            <w:shd w:val="clear" w:color="auto" w:fill="auto"/>
          </w:tcPr>
          <w:p w14:paraId="7D1AF751"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e</w:t>
            </w:r>
            <w:r w:rsidR="007D75B6" w:rsidRPr="006D37E5">
              <w:rPr>
                <w:rFonts w:cs="Arial"/>
                <w:szCs w:val="20"/>
              </w:rPr>
              <w:t>poprostenol, commencing at an average dose of 11.9 ng/kg/min over the first 3 months of treatment and escalating linearly in steps to an aver</w:t>
            </w:r>
            <w:r w:rsidR="009062F9">
              <w:rPr>
                <w:rFonts w:cs="Arial"/>
                <w:szCs w:val="20"/>
              </w:rPr>
              <w:t xml:space="preserve">age dose of 27.2 ng/kg/min at </w:t>
            </w:r>
            <w:r w:rsidR="009062F9" w:rsidRPr="009062F9">
              <w:t>3</w:t>
            </w:r>
            <w:r w:rsidR="009062F9">
              <w:t> </w:t>
            </w:r>
            <w:r w:rsidR="007D75B6" w:rsidRPr="009062F9">
              <w:t>years</w:t>
            </w:r>
          </w:p>
          <w:p w14:paraId="0E8ECAED"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b</w:t>
            </w:r>
            <w:r w:rsidR="007D75B6" w:rsidRPr="006D37E5">
              <w:rPr>
                <w:rFonts w:cs="Arial"/>
                <w:szCs w:val="20"/>
              </w:rPr>
              <w:t>osentan 125 mg twice daily</w:t>
            </w:r>
          </w:p>
        </w:tc>
      </w:tr>
      <w:tr w:rsidR="007D75B6" w:rsidRPr="006D37E5" w14:paraId="6D8BF4BD" w14:textId="77777777" w:rsidTr="006D37E5">
        <w:trPr>
          <w:cantSplit/>
        </w:trPr>
        <w:tc>
          <w:tcPr>
            <w:tcW w:w="0" w:type="auto"/>
            <w:tcBorders>
              <w:bottom w:val="single" w:sz="4" w:space="0" w:color="auto"/>
            </w:tcBorders>
            <w:shd w:val="clear" w:color="auto" w:fill="auto"/>
          </w:tcPr>
          <w:p w14:paraId="33266D0A" w14:textId="77777777" w:rsidR="007D75B6" w:rsidRPr="006D37E5" w:rsidRDefault="007D75B6" w:rsidP="009062F9">
            <w:pPr>
              <w:pStyle w:val="05Tabletext"/>
              <w:tabs>
                <w:tab w:val="left" w:pos="2410"/>
              </w:tabs>
              <w:ind w:left="0"/>
              <w:rPr>
                <w:rFonts w:ascii="Arial" w:hAnsi="Arial" w:cs="Arial"/>
                <w:sz w:val="20"/>
                <w:szCs w:val="20"/>
              </w:rPr>
            </w:pPr>
            <w:r w:rsidRPr="006D37E5">
              <w:rPr>
                <w:rFonts w:ascii="Arial" w:hAnsi="Arial" w:cs="Arial"/>
                <w:sz w:val="20"/>
                <w:szCs w:val="20"/>
              </w:rPr>
              <w:t>November 2006</w:t>
            </w:r>
          </w:p>
        </w:tc>
        <w:tc>
          <w:tcPr>
            <w:tcW w:w="1927" w:type="dxa"/>
            <w:tcBorders>
              <w:bottom w:val="single" w:sz="4" w:space="0" w:color="auto"/>
            </w:tcBorders>
            <w:shd w:val="clear" w:color="auto" w:fill="auto"/>
          </w:tcPr>
          <w:p w14:paraId="6431F76A" w14:textId="77777777" w:rsidR="007D75B6" w:rsidRPr="006D37E5" w:rsidRDefault="0099750F" w:rsidP="00FA1DD0">
            <w:pPr>
              <w:pStyle w:val="05Tabletext"/>
              <w:tabs>
                <w:tab w:val="left" w:pos="2410"/>
              </w:tabs>
              <w:ind w:left="98"/>
              <w:rPr>
                <w:rFonts w:ascii="Arial" w:hAnsi="Arial" w:cs="Arial"/>
                <w:b/>
                <w:sz w:val="20"/>
                <w:szCs w:val="20"/>
              </w:rPr>
            </w:pPr>
            <w:r w:rsidRPr="006D37E5">
              <w:rPr>
                <w:rFonts w:ascii="Arial" w:hAnsi="Arial" w:cs="Arial"/>
                <w:b/>
                <w:sz w:val="20"/>
                <w:szCs w:val="20"/>
              </w:rPr>
              <w:t>s</w:t>
            </w:r>
            <w:r w:rsidR="003B74ED" w:rsidRPr="006D37E5">
              <w:rPr>
                <w:rFonts w:ascii="Arial" w:hAnsi="Arial" w:cs="Arial"/>
                <w:b/>
                <w:sz w:val="20"/>
                <w:szCs w:val="20"/>
              </w:rPr>
              <w:t>i</w:t>
            </w:r>
            <w:r w:rsidRPr="006D37E5">
              <w:rPr>
                <w:rFonts w:ascii="Arial" w:hAnsi="Arial" w:cs="Arial"/>
                <w:b/>
                <w:sz w:val="20"/>
                <w:szCs w:val="20"/>
              </w:rPr>
              <w:t>ldenafil</w:t>
            </w:r>
          </w:p>
          <w:p w14:paraId="6BED9517" w14:textId="77777777" w:rsidR="007D75B6" w:rsidRPr="006D37E5" w:rsidRDefault="00060C26" w:rsidP="00FA1DD0">
            <w:pPr>
              <w:pStyle w:val="05Tabletext"/>
              <w:tabs>
                <w:tab w:val="left" w:pos="2410"/>
              </w:tabs>
              <w:ind w:left="98"/>
              <w:rPr>
                <w:rFonts w:ascii="Arial" w:hAnsi="Arial" w:cs="Arial"/>
                <w:sz w:val="20"/>
                <w:szCs w:val="20"/>
              </w:rPr>
            </w:pPr>
            <w:proofErr w:type="spellStart"/>
            <w:r w:rsidRPr="006D37E5">
              <w:rPr>
                <w:rFonts w:ascii="Arial" w:hAnsi="Arial" w:cs="Arial"/>
                <w:sz w:val="20"/>
                <w:szCs w:val="20"/>
              </w:rPr>
              <w:t>Revatio</w:t>
            </w:r>
            <w:proofErr w:type="spellEnd"/>
            <w:r w:rsidR="00B21981" w:rsidRPr="006840E7">
              <w:rPr>
                <w:rFonts w:ascii="Arial" w:hAnsi="Arial" w:cs="Arial"/>
                <w:color w:val="222222"/>
                <w:sz w:val="20"/>
                <w:szCs w:val="20"/>
                <w:shd w:val="clear" w:color="auto" w:fill="FFFFFF"/>
                <w:vertAlign w:val="superscript"/>
              </w:rPr>
              <w:t>®</w:t>
            </w:r>
            <w:r w:rsidR="007D75B6" w:rsidRPr="006D37E5">
              <w:rPr>
                <w:rFonts w:ascii="Arial" w:hAnsi="Arial" w:cs="Arial"/>
                <w:sz w:val="20"/>
                <w:szCs w:val="20"/>
              </w:rPr>
              <w:t xml:space="preserve"> 20 mg</w:t>
            </w:r>
          </w:p>
        </w:tc>
        <w:tc>
          <w:tcPr>
            <w:tcW w:w="1572" w:type="dxa"/>
            <w:shd w:val="clear" w:color="auto" w:fill="auto"/>
          </w:tcPr>
          <w:p w14:paraId="147D8FAA" w14:textId="77777777" w:rsidR="007D75B6" w:rsidRPr="006D37E5" w:rsidRDefault="007D75B6" w:rsidP="00FA1DD0">
            <w:pPr>
              <w:pStyle w:val="05Tabletext"/>
              <w:tabs>
                <w:tab w:val="left" w:pos="2410"/>
              </w:tabs>
              <w:ind w:left="14"/>
              <w:rPr>
                <w:rFonts w:ascii="Arial" w:hAnsi="Arial" w:cs="Arial"/>
                <w:sz w:val="20"/>
                <w:szCs w:val="20"/>
              </w:rPr>
            </w:pPr>
            <w:r w:rsidRPr="006D37E5">
              <w:rPr>
                <w:rFonts w:ascii="Arial" w:hAnsi="Arial" w:cs="Arial"/>
                <w:sz w:val="20"/>
                <w:szCs w:val="20"/>
              </w:rPr>
              <w:t>CMA compared with bosentan</w:t>
            </w:r>
          </w:p>
        </w:tc>
        <w:tc>
          <w:tcPr>
            <w:tcW w:w="0" w:type="auto"/>
            <w:tcBorders>
              <w:bottom w:val="single" w:sz="4" w:space="0" w:color="auto"/>
            </w:tcBorders>
            <w:shd w:val="clear" w:color="auto" w:fill="auto"/>
          </w:tcPr>
          <w:p w14:paraId="2FFD2D6C"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s</w:t>
            </w:r>
            <w:r w:rsidR="007D75B6" w:rsidRPr="006D37E5">
              <w:rPr>
                <w:rFonts w:cs="Arial"/>
                <w:szCs w:val="20"/>
              </w:rPr>
              <w:t>ildenafil 20 mg three times daily</w:t>
            </w:r>
          </w:p>
          <w:p w14:paraId="1EC458B6"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b</w:t>
            </w:r>
            <w:r w:rsidR="007D75B6" w:rsidRPr="006D37E5">
              <w:rPr>
                <w:rFonts w:cs="Arial"/>
                <w:szCs w:val="20"/>
              </w:rPr>
              <w:t>os</w:t>
            </w:r>
            <w:r w:rsidR="009062F9">
              <w:rPr>
                <w:rFonts w:cs="Arial"/>
                <w:szCs w:val="20"/>
              </w:rPr>
              <w:t>entan 62.5 mg twice daily for 4 </w:t>
            </w:r>
            <w:r w:rsidR="007D75B6" w:rsidRPr="006D37E5">
              <w:rPr>
                <w:rFonts w:cs="Arial"/>
                <w:szCs w:val="20"/>
              </w:rPr>
              <w:t>weeks then 125 mg twice daily as the maintenance dose</w:t>
            </w:r>
          </w:p>
        </w:tc>
      </w:tr>
      <w:tr w:rsidR="007D75B6" w:rsidRPr="006D37E5" w14:paraId="44B57A5C" w14:textId="77777777" w:rsidTr="006D37E5">
        <w:trPr>
          <w:cantSplit/>
        </w:trPr>
        <w:tc>
          <w:tcPr>
            <w:tcW w:w="0" w:type="auto"/>
            <w:tcBorders>
              <w:bottom w:val="dashed" w:sz="4" w:space="0" w:color="auto"/>
            </w:tcBorders>
            <w:shd w:val="clear" w:color="auto" w:fill="auto"/>
          </w:tcPr>
          <w:p w14:paraId="2D38E076" w14:textId="77777777" w:rsidR="007D75B6" w:rsidRPr="006D37E5" w:rsidRDefault="007D75B6" w:rsidP="009062F9">
            <w:pPr>
              <w:pStyle w:val="05Tabletext"/>
              <w:tabs>
                <w:tab w:val="left" w:pos="2410"/>
              </w:tabs>
              <w:ind w:left="0"/>
              <w:rPr>
                <w:rFonts w:ascii="Arial" w:hAnsi="Arial" w:cs="Arial"/>
                <w:sz w:val="20"/>
                <w:szCs w:val="20"/>
              </w:rPr>
            </w:pPr>
            <w:r w:rsidRPr="006D37E5">
              <w:rPr>
                <w:rFonts w:ascii="Arial" w:hAnsi="Arial" w:cs="Arial"/>
                <w:sz w:val="20"/>
                <w:szCs w:val="20"/>
              </w:rPr>
              <w:t>March 2008</w:t>
            </w:r>
            <w:r w:rsidRPr="006D37E5">
              <w:rPr>
                <w:rFonts w:ascii="Arial" w:hAnsi="Arial" w:cs="Arial"/>
                <w:sz w:val="20"/>
                <w:szCs w:val="20"/>
                <w:vertAlign w:val="superscript"/>
              </w:rPr>
              <w:t>b</w:t>
            </w:r>
          </w:p>
        </w:tc>
        <w:tc>
          <w:tcPr>
            <w:tcW w:w="1927" w:type="dxa"/>
            <w:tcBorders>
              <w:bottom w:val="dashed" w:sz="4" w:space="0" w:color="auto"/>
            </w:tcBorders>
            <w:shd w:val="clear" w:color="auto" w:fill="auto"/>
          </w:tcPr>
          <w:p w14:paraId="7A07D49F" w14:textId="77777777" w:rsidR="007D75B6" w:rsidRPr="006D37E5" w:rsidRDefault="0099750F" w:rsidP="00FA1DD0">
            <w:pPr>
              <w:pStyle w:val="05Tabletext"/>
              <w:tabs>
                <w:tab w:val="left" w:pos="2410"/>
              </w:tabs>
              <w:ind w:left="98"/>
              <w:rPr>
                <w:rFonts w:ascii="Arial" w:hAnsi="Arial" w:cs="Arial"/>
                <w:b/>
                <w:sz w:val="20"/>
                <w:szCs w:val="20"/>
              </w:rPr>
            </w:pPr>
            <w:r w:rsidRPr="006D37E5">
              <w:rPr>
                <w:rFonts w:ascii="Arial" w:hAnsi="Arial" w:cs="Arial"/>
                <w:b/>
                <w:sz w:val="20"/>
                <w:szCs w:val="20"/>
              </w:rPr>
              <w:t>bosentan</w:t>
            </w:r>
          </w:p>
          <w:p w14:paraId="1974DC16" w14:textId="77777777" w:rsidR="007D75B6" w:rsidRPr="006D37E5" w:rsidRDefault="00060C26" w:rsidP="00FA1DD0">
            <w:pPr>
              <w:pStyle w:val="05Tabletext"/>
              <w:tabs>
                <w:tab w:val="left" w:pos="2410"/>
              </w:tabs>
              <w:ind w:left="98"/>
              <w:rPr>
                <w:rFonts w:ascii="Arial" w:hAnsi="Arial" w:cs="Arial"/>
                <w:sz w:val="20"/>
                <w:szCs w:val="20"/>
              </w:rPr>
            </w:pPr>
            <w:proofErr w:type="spellStart"/>
            <w:r w:rsidRPr="006D37E5">
              <w:rPr>
                <w:rFonts w:ascii="Arial" w:hAnsi="Arial" w:cs="Arial"/>
                <w:sz w:val="20"/>
                <w:szCs w:val="20"/>
              </w:rPr>
              <w:t>Tracleer</w:t>
            </w:r>
            <w:proofErr w:type="spellEnd"/>
            <w:r w:rsidR="00B21981" w:rsidRPr="006840E7">
              <w:rPr>
                <w:rFonts w:ascii="Arial" w:hAnsi="Arial" w:cs="Arial"/>
                <w:color w:val="222222"/>
                <w:sz w:val="20"/>
                <w:szCs w:val="20"/>
                <w:shd w:val="clear" w:color="auto" w:fill="FFFFFF"/>
                <w:vertAlign w:val="superscript"/>
              </w:rPr>
              <w:t>®</w:t>
            </w:r>
            <w:r w:rsidR="007D75B6" w:rsidRPr="006D37E5">
              <w:rPr>
                <w:rFonts w:ascii="Arial" w:hAnsi="Arial" w:cs="Arial"/>
                <w:sz w:val="20"/>
                <w:szCs w:val="20"/>
              </w:rPr>
              <w:t xml:space="preserve"> 62.5 mg and 125 mg</w:t>
            </w:r>
          </w:p>
        </w:tc>
        <w:tc>
          <w:tcPr>
            <w:tcW w:w="1572" w:type="dxa"/>
            <w:shd w:val="clear" w:color="auto" w:fill="auto"/>
          </w:tcPr>
          <w:p w14:paraId="332C0971" w14:textId="77777777" w:rsidR="007D75B6" w:rsidRPr="006D37E5" w:rsidRDefault="007D75B6" w:rsidP="00FA1DD0">
            <w:pPr>
              <w:pStyle w:val="05Tabletext"/>
              <w:tabs>
                <w:tab w:val="left" w:pos="2410"/>
              </w:tabs>
              <w:ind w:left="14"/>
              <w:rPr>
                <w:rFonts w:ascii="Arial" w:hAnsi="Arial" w:cs="Arial"/>
                <w:sz w:val="20"/>
                <w:szCs w:val="20"/>
              </w:rPr>
            </w:pPr>
            <w:r w:rsidRPr="006D37E5">
              <w:rPr>
                <w:rFonts w:ascii="Arial" w:hAnsi="Arial" w:cs="Arial"/>
                <w:sz w:val="20"/>
                <w:szCs w:val="20"/>
              </w:rPr>
              <w:t xml:space="preserve">Economic analysis not </w:t>
            </w:r>
            <w:proofErr w:type="spellStart"/>
            <w:r w:rsidRPr="006D37E5">
              <w:rPr>
                <w:rFonts w:ascii="Arial" w:hAnsi="Arial" w:cs="Arial"/>
                <w:sz w:val="20"/>
                <w:szCs w:val="20"/>
              </w:rPr>
              <w:t>presented</w:t>
            </w:r>
            <w:r w:rsidRPr="006D37E5">
              <w:rPr>
                <w:rFonts w:ascii="Arial" w:hAnsi="Arial" w:cs="Arial"/>
                <w:sz w:val="20"/>
                <w:szCs w:val="20"/>
                <w:vertAlign w:val="superscript"/>
              </w:rPr>
              <w:t>c</w:t>
            </w:r>
            <w:proofErr w:type="spellEnd"/>
          </w:p>
        </w:tc>
        <w:tc>
          <w:tcPr>
            <w:tcW w:w="0" w:type="auto"/>
            <w:tcBorders>
              <w:bottom w:val="dashed" w:sz="4" w:space="0" w:color="auto"/>
            </w:tcBorders>
            <w:shd w:val="clear" w:color="auto" w:fill="auto"/>
          </w:tcPr>
          <w:p w14:paraId="3B72F889" w14:textId="77777777" w:rsidR="007D75B6" w:rsidRPr="006D37E5" w:rsidRDefault="007D75B6" w:rsidP="00FA1DD0">
            <w:pPr>
              <w:pStyle w:val="07Tablebullet"/>
              <w:numPr>
                <w:ilvl w:val="0"/>
                <w:numId w:val="0"/>
              </w:numPr>
              <w:tabs>
                <w:tab w:val="left" w:pos="2410"/>
              </w:tabs>
              <w:ind w:left="144"/>
              <w:rPr>
                <w:rFonts w:cs="Arial"/>
                <w:szCs w:val="20"/>
              </w:rPr>
            </w:pPr>
            <w:r w:rsidRPr="006D37E5">
              <w:rPr>
                <w:rFonts w:cs="Arial"/>
                <w:szCs w:val="20"/>
              </w:rPr>
              <w:t>N/A</w:t>
            </w:r>
          </w:p>
        </w:tc>
      </w:tr>
      <w:tr w:rsidR="007D75B6" w:rsidRPr="006D37E5" w14:paraId="2E92FB75" w14:textId="77777777" w:rsidTr="006D37E5">
        <w:trPr>
          <w:cantSplit/>
        </w:trPr>
        <w:tc>
          <w:tcPr>
            <w:tcW w:w="0" w:type="auto"/>
            <w:shd w:val="clear" w:color="auto" w:fill="auto"/>
          </w:tcPr>
          <w:p w14:paraId="0123E60E" w14:textId="77777777" w:rsidR="007D75B6" w:rsidRPr="006D37E5" w:rsidRDefault="007D75B6" w:rsidP="009062F9">
            <w:pPr>
              <w:pStyle w:val="05Tabletext"/>
              <w:tabs>
                <w:tab w:val="left" w:pos="2410"/>
              </w:tabs>
              <w:ind w:left="0"/>
              <w:rPr>
                <w:rFonts w:ascii="Arial" w:hAnsi="Arial" w:cs="Arial"/>
                <w:sz w:val="20"/>
                <w:szCs w:val="20"/>
              </w:rPr>
            </w:pPr>
            <w:r w:rsidRPr="006D37E5">
              <w:rPr>
                <w:rFonts w:ascii="Arial" w:hAnsi="Arial" w:cs="Arial"/>
                <w:sz w:val="20"/>
                <w:szCs w:val="20"/>
              </w:rPr>
              <w:t>July 2009</w:t>
            </w:r>
          </w:p>
        </w:tc>
        <w:tc>
          <w:tcPr>
            <w:tcW w:w="1927" w:type="dxa"/>
            <w:shd w:val="clear" w:color="auto" w:fill="auto"/>
          </w:tcPr>
          <w:p w14:paraId="593D5743" w14:textId="77777777" w:rsidR="007D75B6" w:rsidRPr="006D37E5" w:rsidRDefault="0099750F" w:rsidP="00FA1DD0">
            <w:pPr>
              <w:pStyle w:val="05Tabletext"/>
              <w:tabs>
                <w:tab w:val="left" w:pos="2410"/>
              </w:tabs>
              <w:ind w:left="98"/>
              <w:rPr>
                <w:rFonts w:ascii="Arial" w:hAnsi="Arial" w:cs="Arial"/>
                <w:b/>
                <w:sz w:val="20"/>
                <w:szCs w:val="20"/>
              </w:rPr>
            </w:pPr>
            <w:r w:rsidRPr="006D37E5">
              <w:rPr>
                <w:rFonts w:ascii="Arial" w:hAnsi="Arial" w:cs="Arial"/>
                <w:b/>
                <w:sz w:val="20"/>
                <w:szCs w:val="20"/>
              </w:rPr>
              <w:t>ambrisentan</w:t>
            </w:r>
          </w:p>
          <w:p w14:paraId="21499DAE" w14:textId="2FFAF03C" w:rsidR="007D75B6" w:rsidRPr="006D37E5" w:rsidRDefault="00777ACB" w:rsidP="00FA1DD0">
            <w:pPr>
              <w:pStyle w:val="05Tabletext"/>
              <w:tabs>
                <w:tab w:val="left" w:pos="2410"/>
              </w:tabs>
              <w:ind w:left="98"/>
              <w:rPr>
                <w:rFonts w:ascii="Arial" w:hAnsi="Arial" w:cs="Arial"/>
                <w:sz w:val="20"/>
                <w:szCs w:val="20"/>
              </w:rPr>
            </w:pPr>
            <w:proofErr w:type="spellStart"/>
            <w:r w:rsidRPr="006D37E5">
              <w:rPr>
                <w:rFonts w:ascii="Arial" w:hAnsi="Arial" w:cs="Arial"/>
                <w:sz w:val="20"/>
                <w:szCs w:val="20"/>
              </w:rPr>
              <w:t>Volibris</w:t>
            </w:r>
            <w:proofErr w:type="spellEnd"/>
            <w:r w:rsidR="00B21981" w:rsidRPr="006840E7">
              <w:rPr>
                <w:rFonts w:ascii="Arial" w:hAnsi="Arial" w:cs="Arial"/>
                <w:color w:val="222222"/>
                <w:sz w:val="20"/>
                <w:szCs w:val="20"/>
                <w:shd w:val="clear" w:color="auto" w:fill="FFFFFF"/>
                <w:vertAlign w:val="superscript"/>
              </w:rPr>
              <w:t>®</w:t>
            </w:r>
            <w:r w:rsidR="007D75B6" w:rsidRPr="006D37E5">
              <w:rPr>
                <w:rFonts w:ascii="Arial" w:hAnsi="Arial" w:cs="Arial"/>
                <w:sz w:val="20"/>
                <w:szCs w:val="20"/>
              </w:rPr>
              <w:t xml:space="preserve"> 5 mg and 10</w:t>
            </w:r>
            <w:r w:rsidR="00067504">
              <w:rPr>
                <w:rFonts w:ascii="Arial" w:hAnsi="Arial" w:cs="Arial"/>
                <w:sz w:val="20"/>
                <w:szCs w:val="20"/>
              </w:rPr>
              <w:t xml:space="preserve"> mg</w:t>
            </w:r>
          </w:p>
        </w:tc>
        <w:tc>
          <w:tcPr>
            <w:tcW w:w="1572" w:type="dxa"/>
            <w:shd w:val="clear" w:color="auto" w:fill="auto"/>
          </w:tcPr>
          <w:p w14:paraId="2032D037" w14:textId="77777777" w:rsidR="007D75B6" w:rsidRPr="006D37E5" w:rsidRDefault="007D75B6" w:rsidP="00FA1DD0">
            <w:pPr>
              <w:pStyle w:val="05Tabletext"/>
              <w:tabs>
                <w:tab w:val="left" w:pos="2410"/>
              </w:tabs>
              <w:ind w:left="14"/>
              <w:rPr>
                <w:rFonts w:ascii="Arial" w:hAnsi="Arial" w:cs="Arial"/>
                <w:sz w:val="20"/>
                <w:szCs w:val="20"/>
              </w:rPr>
            </w:pPr>
            <w:r w:rsidRPr="006D37E5">
              <w:rPr>
                <w:rFonts w:ascii="Arial" w:hAnsi="Arial" w:cs="Arial"/>
                <w:sz w:val="20"/>
                <w:szCs w:val="20"/>
              </w:rPr>
              <w:t>CMA compared with bosentan</w:t>
            </w:r>
          </w:p>
        </w:tc>
        <w:tc>
          <w:tcPr>
            <w:tcW w:w="0" w:type="auto"/>
            <w:shd w:val="clear" w:color="auto" w:fill="auto"/>
          </w:tcPr>
          <w:p w14:paraId="586A83B4"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a</w:t>
            </w:r>
            <w:r w:rsidR="007D75B6" w:rsidRPr="006D37E5">
              <w:rPr>
                <w:rFonts w:cs="Arial"/>
                <w:szCs w:val="20"/>
              </w:rPr>
              <w:t xml:space="preserve">mbrisentan 5 mg once daily </w:t>
            </w:r>
          </w:p>
          <w:p w14:paraId="094B734D"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b</w:t>
            </w:r>
            <w:r w:rsidR="007D75B6" w:rsidRPr="006D37E5">
              <w:rPr>
                <w:rFonts w:cs="Arial"/>
                <w:szCs w:val="20"/>
              </w:rPr>
              <w:t>osentan 125 mg twice daily</w:t>
            </w:r>
          </w:p>
        </w:tc>
      </w:tr>
      <w:tr w:rsidR="007D75B6" w:rsidRPr="006D37E5" w14:paraId="7F85F910" w14:textId="77777777" w:rsidTr="006D37E5">
        <w:trPr>
          <w:cantSplit/>
        </w:trPr>
        <w:tc>
          <w:tcPr>
            <w:tcW w:w="0" w:type="auto"/>
            <w:shd w:val="clear" w:color="auto" w:fill="auto"/>
          </w:tcPr>
          <w:p w14:paraId="57C590F8" w14:textId="77777777" w:rsidR="007D75B6" w:rsidRPr="006D37E5" w:rsidRDefault="007D75B6" w:rsidP="009062F9">
            <w:pPr>
              <w:pStyle w:val="05Tabletext"/>
              <w:tabs>
                <w:tab w:val="left" w:pos="2410"/>
              </w:tabs>
              <w:ind w:left="0"/>
              <w:rPr>
                <w:rFonts w:ascii="Arial" w:hAnsi="Arial" w:cs="Arial"/>
                <w:sz w:val="20"/>
                <w:szCs w:val="20"/>
              </w:rPr>
            </w:pPr>
            <w:r w:rsidRPr="006D37E5">
              <w:rPr>
                <w:rFonts w:ascii="Arial" w:hAnsi="Arial" w:cs="Arial"/>
                <w:sz w:val="20"/>
                <w:szCs w:val="20"/>
              </w:rPr>
              <w:t>November 2011</w:t>
            </w:r>
          </w:p>
        </w:tc>
        <w:tc>
          <w:tcPr>
            <w:tcW w:w="1927" w:type="dxa"/>
            <w:shd w:val="clear" w:color="auto" w:fill="auto"/>
          </w:tcPr>
          <w:p w14:paraId="51574F49" w14:textId="77777777" w:rsidR="007D75B6" w:rsidRPr="006D37E5" w:rsidRDefault="0099750F" w:rsidP="00FA1DD0">
            <w:pPr>
              <w:pStyle w:val="05Tabletext"/>
              <w:tabs>
                <w:tab w:val="left" w:pos="2410"/>
              </w:tabs>
              <w:ind w:left="98"/>
              <w:rPr>
                <w:rFonts w:ascii="Arial" w:hAnsi="Arial" w:cs="Arial"/>
                <w:b/>
                <w:sz w:val="20"/>
                <w:szCs w:val="20"/>
              </w:rPr>
            </w:pPr>
            <w:r w:rsidRPr="006D37E5">
              <w:rPr>
                <w:rFonts w:ascii="Arial" w:hAnsi="Arial" w:cs="Arial"/>
                <w:b/>
                <w:sz w:val="20"/>
                <w:szCs w:val="20"/>
              </w:rPr>
              <w:t>tadalafil</w:t>
            </w:r>
          </w:p>
          <w:p w14:paraId="1D899184" w14:textId="77777777" w:rsidR="007D75B6" w:rsidRPr="006D37E5" w:rsidRDefault="00060C26" w:rsidP="00FA1DD0">
            <w:pPr>
              <w:pStyle w:val="05Tabletext"/>
              <w:tabs>
                <w:tab w:val="left" w:pos="2410"/>
              </w:tabs>
              <w:ind w:left="98"/>
              <w:rPr>
                <w:rFonts w:ascii="Arial" w:hAnsi="Arial" w:cs="Arial"/>
                <w:sz w:val="20"/>
                <w:szCs w:val="20"/>
              </w:rPr>
            </w:pPr>
            <w:proofErr w:type="spellStart"/>
            <w:r w:rsidRPr="006D37E5">
              <w:rPr>
                <w:rFonts w:ascii="Arial" w:hAnsi="Arial" w:cs="Arial"/>
                <w:sz w:val="20"/>
                <w:szCs w:val="20"/>
              </w:rPr>
              <w:t>Adcirca</w:t>
            </w:r>
            <w:proofErr w:type="spellEnd"/>
            <w:r w:rsidR="00B21981" w:rsidRPr="006840E7">
              <w:rPr>
                <w:rFonts w:ascii="Arial" w:hAnsi="Arial" w:cs="Arial"/>
                <w:color w:val="222222"/>
                <w:sz w:val="20"/>
                <w:szCs w:val="20"/>
                <w:shd w:val="clear" w:color="auto" w:fill="FFFFFF"/>
                <w:vertAlign w:val="superscript"/>
              </w:rPr>
              <w:t>®</w:t>
            </w:r>
            <w:r w:rsidR="007D75B6" w:rsidRPr="006D37E5">
              <w:rPr>
                <w:rFonts w:ascii="Arial" w:hAnsi="Arial" w:cs="Arial"/>
                <w:sz w:val="20"/>
                <w:szCs w:val="20"/>
              </w:rPr>
              <w:t xml:space="preserve"> 20 mg</w:t>
            </w:r>
          </w:p>
        </w:tc>
        <w:tc>
          <w:tcPr>
            <w:tcW w:w="1572" w:type="dxa"/>
            <w:shd w:val="clear" w:color="auto" w:fill="auto"/>
          </w:tcPr>
          <w:p w14:paraId="41A0414E" w14:textId="77777777" w:rsidR="007D75B6" w:rsidRPr="006D37E5" w:rsidRDefault="007D75B6" w:rsidP="00FA1DD0">
            <w:pPr>
              <w:pStyle w:val="05Tabletext"/>
              <w:tabs>
                <w:tab w:val="left" w:pos="2410"/>
              </w:tabs>
              <w:ind w:left="14"/>
              <w:rPr>
                <w:rFonts w:ascii="Arial" w:hAnsi="Arial" w:cs="Arial"/>
                <w:sz w:val="20"/>
                <w:szCs w:val="20"/>
              </w:rPr>
            </w:pPr>
            <w:r w:rsidRPr="006D37E5">
              <w:rPr>
                <w:rFonts w:ascii="Arial" w:hAnsi="Arial" w:cs="Arial"/>
                <w:sz w:val="20"/>
                <w:szCs w:val="20"/>
              </w:rPr>
              <w:t>CMA compared with sildenafil</w:t>
            </w:r>
          </w:p>
        </w:tc>
        <w:tc>
          <w:tcPr>
            <w:tcW w:w="0" w:type="auto"/>
            <w:shd w:val="clear" w:color="auto" w:fill="auto"/>
          </w:tcPr>
          <w:p w14:paraId="3BF62AB2"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t</w:t>
            </w:r>
            <w:r w:rsidR="007D75B6" w:rsidRPr="006D37E5">
              <w:rPr>
                <w:rFonts w:cs="Arial"/>
                <w:szCs w:val="20"/>
              </w:rPr>
              <w:t>adalafil 40 mg once daily</w:t>
            </w:r>
          </w:p>
          <w:p w14:paraId="6DD0D4F0"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s</w:t>
            </w:r>
            <w:r w:rsidR="007D75B6" w:rsidRPr="006D37E5">
              <w:rPr>
                <w:rFonts w:cs="Arial"/>
                <w:szCs w:val="20"/>
              </w:rPr>
              <w:t>ildenafil 20 mg three times daily</w:t>
            </w:r>
          </w:p>
        </w:tc>
      </w:tr>
      <w:tr w:rsidR="007D75B6" w:rsidRPr="006D37E5" w14:paraId="3A4F7AF1" w14:textId="77777777" w:rsidTr="006D37E5">
        <w:trPr>
          <w:cantSplit/>
        </w:trPr>
        <w:tc>
          <w:tcPr>
            <w:tcW w:w="0" w:type="auto"/>
            <w:shd w:val="clear" w:color="auto" w:fill="auto"/>
          </w:tcPr>
          <w:p w14:paraId="51B0E102" w14:textId="77777777" w:rsidR="007D75B6" w:rsidRPr="006D37E5" w:rsidRDefault="007D75B6" w:rsidP="009062F9">
            <w:pPr>
              <w:pStyle w:val="05Tabletext"/>
              <w:tabs>
                <w:tab w:val="left" w:pos="2410"/>
              </w:tabs>
              <w:ind w:left="0"/>
              <w:rPr>
                <w:rFonts w:ascii="Arial" w:hAnsi="Arial" w:cs="Arial"/>
                <w:sz w:val="20"/>
                <w:szCs w:val="20"/>
              </w:rPr>
            </w:pPr>
            <w:r w:rsidRPr="006D37E5">
              <w:rPr>
                <w:rFonts w:ascii="Arial" w:hAnsi="Arial" w:cs="Arial"/>
                <w:sz w:val="20"/>
                <w:szCs w:val="20"/>
              </w:rPr>
              <w:t>November 2011</w:t>
            </w:r>
            <w:r w:rsidR="00165B13" w:rsidRPr="006D37E5">
              <w:rPr>
                <w:rFonts w:ascii="Arial" w:hAnsi="Arial" w:cs="Arial"/>
                <w:sz w:val="20"/>
                <w:szCs w:val="20"/>
                <w:vertAlign w:val="superscript"/>
              </w:rPr>
              <w:t>b</w:t>
            </w:r>
          </w:p>
        </w:tc>
        <w:tc>
          <w:tcPr>
            <w:tcW w:w="1927" w:type="dxa"/>
            <w:shd w:val="clear" w:color="auto" w:fill="auto"/>
          </w:tcPr>
          <w:p w14:paraId="09B4EFDC" w14:textId="77777777" w:rsidR="007D75B6" w:rsidRPr="006D37E5" w:rsidRDefault="0099750F" w:rsidP="00FA1DD0">
            <w:pPr>
              <w:pStyle w:val="05Tabletext"/>
              <w:tabs>
                <w:tab w:val="left" w:pos="2410"/>
              </w:tabs>
              <w:ind w:left="98"/>
              <w:rPr>
                <w:rFonts w:ascii="Arial" w:hAnsi="Arial" w:cs="Arial"/>
                <w:b/>
                <w:sz w:val="20"/>
                <w:szCs w:val="20"/>
              </w:rPr>
            </w:pPr>
            <w:r w:rsidRPr="006D37E5">
              <w:rPr>
                <w:rFonts w:ascii="Arial" w:hAnsi="Arial" w:cs="Arial"/>
                <w:b/>
                <w:sz w:val="20"/>
                <w:szCs w:val="20"/>
              </w:rPr>
              <w:t>epoprostenol</w:t>
            </w:r>
          </w:p>
          <w:p w14:paraId="7D626E22" w14:textId="77777777" w:rsidR="007D75B6" w:rsidRPr="006D37E5" w:rsidRDefault="00060C26" w:rsidP="00FA1DD0">
            <w:pPr>
              <w:pStyle w:val="05Tabletext"/>
              <w:tabs>
                <w:tab w:val="left" w:pos="2410"/>
              </w:tabs>
              <w:ind w:left="98"/>
              <w:rPr>
                <w:rFonts w:ascii="Arial" w:hAnsi="Arial" w:cs="Arial"/>
                <w:b/>
                <w:sz w:val="20"/>
                <w:szCs w:val="20"/>
              </w:rPr>
            </w:pPr>
            <w:proofErr w:type="spellStart"/>
            <w:r w:rsidRPr="006D37E5">
              <w:rPr>
                <w:rFonts w:ascii="Arial" w:hAnsi="Arial" w:cs="Arial"/>
                <w:sz w:val="20"/>
                <w:szCs w:val="20"/>
              </w:rPr>
              <w:t>Flolan</w:t>
            </w:r>
            <w:proofErr w:type="spellEnd"/>
            <w:r w:rsidR="00B21981" w:rsidRPr="006840E7">
              <w:rPr>
                <w:rFonts w:ascii="Arial" w:hAnsi="Arial" w:cs="Arial"/>
                <w:color w:val="222222"/>
                <w:sz w:val="20"/>
                <w:szCs w:val="20"/>
                <w:shd w:val="clear" w:color="auto" w:fill="FFFFFF"/>
                <w:vertAlign w:val="superscript"/>
              </w:rPr>
              <w:t>®</w:t>
            </w:r>
            <w:r w:rsidR="007D75B6" w:rsidRPr="006840E7">
              <w:rPr>
                <w:rFonts w:ascii="Arial" w:hAnsi="Arial" w:cs="Arial"/>
                <w:sz w:val="20"/>
                <w:szCs w:val="20"/>
                <w:vertAlign w:val="superscript"/>
              </w:rPr>
              <w:t xml:space="preserve"> </w:t>
            </w:r>
            <w:r w:rsidR="007D75B6" w:rsidRPr="006D37E5">
              <w:rPr>
                <w:rFonts w:ascii="Arial" w:hAnsi="Arial" w:cs="Arial"/>
                <w:sz w:val="20"/>
                <w:szCs w:val="20"/>
              </w:rPr>
              <w:t>1.5 mg injection and 500 </w:t>
            </w:r>
            <w:proofErr w:type="spellStart"/>
            <w:r w:rsidR="007D75B6" w:rsidRPr="006D37E5">
              <w:rPr>
                <w:rFonts w:ascii="Arial" w:hAnsi="Arial" w:cs="Arial"/>
                <w:sz w:val="20"/>
                <w:szCs w:val="20"/>
              </w:rPr>
              <w:t>μg</w:t>
            </w:r>
            <w:proofErr w:type="spellEnd"/>
            <w:r w:rsidR="007D75B6" w:rsidRPr="006D37E5">
              <w:rPr>
                <w:rFonts w:ascii="Arial" w:hAnsi="Arial" w:cs="Arial"/>
                <w:sz w:val="20"/>
                <w:szCs w:val="20"/>
              </w:rPr>
              <w:t xml:space="preserve"> injection</w:t>
            </w:r>
          </w:p>
        </w:tc>
        <w:tc>
          <w:tcPr>
            <w:tcW w:w="1572" w:type="dxa"/>
            <w:shd w:val="clear" w:color="auto" w:fill="auto"/>
          </w:tcPr>
          <w:p w14:paraId="44281CCA" w14:textId="77777777" w:rsidR="007D75B6" w:rsidRPr="006D37E5" w:rsidRDefault="007D75B6" w:rsidP="00FA1DD0">
            <w:pPr>
              <w:pStyle w:val="05Tabletext"/>
              <w:tabs>
                <w:tab w:val="left" w:pos="2410"/>
              </w:tabs>
              <w:ind w:left="14"/>
              <w:rPr>
                <w:rFonts w:ascii="Arial" w:hAnsi="Arial" w:cs="Arial"/>
                <w:sz w:val="20"/>
                <w:szCs w:val="20"/>
              </w:rPr>
            </w:pPr>
            <w:r w:rsidRPr="006D37E5">
              <w:rPr>
                <w:rFonts w:ascii="Arial" w:hAnsi="Arial" w:cs="Arial"/>
                <w:sz w:val="20"/>
                <w:szCs w:val="20"/>
              </w:rPr>
              <w:t>CMA compared with bosentan and sildenafil</w:t>
            </w:r>
          </w:p>
        </w:tc>
        <w:tc>
          <w:tcPr>
            <w:tcW w:w="0" w:type="auto"/>
            <w:shd w:val="clear" w:color="auto" w:fill="auto"/>
          </w:tcPr>
          <w:p w14:paraId="51E556C3"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e</w:t>
            </w:r>
            <w:r w:rsidR="007D75B6" w:rsidRPr="006D37E5">
              <w:rPr>
                <w:rFonts w:cs="Arial"/>
                <w:szCs w:val="20"/>
              </w:rPr>
              <w:t>poprostenol, commencing at a dose of 2.2 ng/kg/min, with an average dose of 11.2 ng/kg/min at week 12, increasing linearly in steps to an average dose of 47.4 ng/kg/min at 3 years</w:t>
            </w:r>
          </w:p>
          <w:p w14:paraId="663E4776"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b</w:t>
            </w:r>
            <w:r w:rsidR="007D75B6" w:rsidRPr="006D37E5">
              <w:rPr>
                <w:rFonts w:cs="Arial"/>
                <w:szCs w:val="20"/>
              </w:rPr>
              <w:t>os</w:t>
            </w:r>
            <w:r w:rsidR="009062F9">
              <w:rPr>
                <w:rFonts w:cs="Arial"/>
                <w:szCs w:val="20"/>
              </w:rPr>
              <w:t>entan 62.5 mg twice daily for 4 </w:t>
            </w:r>
            <w:r w:rsidR="007D75B6" w:rsidRPr="006D37E5">
              <w:rPr>
                <w:rFonts w:cs="Arial"/>
                <w:szCs w:val="20"/>
              </w:rPr>
              <w:t>weeks, then a maintenance dose of 125 mg twice daily</w:t>
            </w:r>
          </w:p>
          <w:p w14:paraId="7E4864C9"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i</w:t>
            </w:r>
            <w:r w:rsidR="007D75B6" w:rsidRPr="006D37E5">
              <w:rPr>
                <w:rFonts w:cs="Arial"/>
                <w:szCs w:val="20"/>
              </w:rPr>
              <w:t xml:space="preserve">loprost 2.5-5 µg nebulised 6-9 times per day, giving a mean of 7.5 x 20 µg </w:t>
            </w:r>
            <w:r w:rsidR="00165B13" w:rsidRPr="006D37E5">
              <w:rPr>
                <w:rFonts w:cs="Arial"/>
                <w:szCs w:val="20"/>
              </w:rPr>
              <w:t xml:space="preserve">ampoules </w:t>
            </w:r>
            <w:r w:rsidR="00043CB5" w:rsidRPr="006D37E5">
              <w:rPr>
                <w:rFonts w:cs="Arial"/>
                <w:szCs w:val="20"/>
              </w:rPr>
              <w:t xml:space="preserve">consumed </w:t>
            </w:r>
            <w:r w:rsidR="00011758">
              <w:rPr>
                <w:rFonts w:cs="Arial"/>
                <w:szCs w:val="20"/>
              </w:rPr>
              <w:t>per day</w:t>
            </w:r>
          </w:p>
        </w:tc>
      </w:tr>
      <w:tr w:rsidR="007D75B6" w:rsidRPr="006D37E5" w14:paraId="0DFB4B79" w14:textId="77777777" w:rsidTr="006D37E5">
        <w:trPr>
          <w:cantSplit/>
        </w:trPr>
        <w:tc>
          <w:tcPr>
            <w:tcW w:w="0" w:type="auto"/>
            <w:shd w:val="clear" w:color="auto" w:fill="auto"/>
          </w:tcPr>
          <w:p w14:paraId="162C3636" w14:textId="77777777" w:rsidR="007D75B6" w:rsidRPr="006D37E5" w:rsidRDefault="007D75B6" w:rsidP="009062F9">
            <w:pPr>
              <w:pStyle w:val="05Tabletext"/>
              <w:tabs>
                <w:tab w:val="left" w:pos="2410"/>
              </w:tabs>
              <w:ind w:left="0"/>
              <w:rPr>
                <w:rFonts w:ascii="Arial" w:hAnsi="Arial" w:cs="Arial"/>
                <w:sz w:val="20"/>
                <w:szCs w:val="20"/>
              </w:rPr>
            </w:pPr>
            <w:r w:rsidRPr="006D37E5">
              <w:rPr>
                <w:rFonts w:ascii="Arial" w:hAnsi="Arial" w:cs="Arial"/>
                <w:sz w:val="20"/>
                <w:szCs w:val="20"/>
              </w:rPr>
              <w:t>March 2014</w:t>
            </w:r>
          </w:p>
        </w:tc>
        <w:tc>
          <w:tcPr>
            <w:tcW w:w="1927" w:type="dxa"/>
            <w:shd w:val="clear" w:color="auto" w:fill="auto"/>
          </w:tcPr>
          <w:p w14:paraId="3928741C" w14:textId="77777777" w:rsidR="007D75B6" w:rsidRPr="006D37E5" w:rsidRDefault="0099750F" w:rsidP="00FA1DD0">
            <w:pPr>
              <w:pStyle w:val="05Tabletext"/>
              <w:tabs>
                <w:tab w:val="left" w:pos="2410"/>
              </w:tabs>
              <w:ind w:left="98"/>
              <w:rPr>
                <w:rFonts w:ascii="Arial" w:hAnsi="Arial" w:cs="Arial"/>
                <w:b/>
                <w:sz w:val="20"/>
                <w:szCs w:val="20"/>
              </w:rPr>
            </w:pPr>
            <w:r w:rsidRPr="006D37E5">
              <w:rPr>
                <w:rFonts w:ascii="Arial" w:hAnsi="Arial" w:cs="Arial"/>
                <w:b/>
                <w:sz w:val="20"/>
                <w:szCs w:val="20"/>
              </w:rPr>
              <w:t>macitentan</w:t>
            </w:r>
          </w:p>
          <w:p w14:paraId="5FFB1C61" w14:textId="08653996" w:rsidR="007D75B6" w:rsidRPr="006D37E5" w:rsidRDefault="00060C26" w:rsidP="00FA1DD0">
            <w:pPr>
              <w:pStyle w:val="05Tabletext"/>
              <w:tabs>
                <w:tab w:val="left" w:pos="2410"/>
              </w:tabs>
              <w:ind w:left="98"/>
              <w:rPr>
                <w:rFonts w:ascii="Arial" w:hAnsi="Arial" w:cs="Arial"/>
                <w:sz w:val="20"/>
                <w:szCs w:val="20"/>
              </w:rPr>
            </w:pPr>
            <w:proofErr w:type="spellStart"/>
            <w:r w:rsidRPr="006D37E5">
              <w:rPr>
                <w:rFonts w:ascii="Arial" w:hAnsi="Arial" w:cs="Arial"/>
                <w:sz w:val="20"/>
                <w:szCs w:val="20"/>
              </w:rPr>
              <w:t>Opsumit</w:t>
            </w:r>
            <w:proofErr w:type="spellEnd"/>
            <w:r w:rsidR="00B21981" w:rsidRPr="006840E7">
              <w:rPr>
                <w:rFonts w:ascii="Arial" w:hAnsi="Arial" w:cs="Arial"/>
                <w:color w:val="222222"/>
                <w:sz w:val="20"/>
                <w:szCs w:val="20"/>
                <w:shd w:val="clear" w:color="auto" w:fill="FFFFFF"/>
                <w:vertAlign w:val="superscript"/>
              </w:rPr>
              <w:t>®</w:t>
            </w:r>
            <w:r w:rsidR="007D75B6" w:rsidRPr="006D37E5">
              <w:rPr>
                <w:rFonts w:ascii="Arial" w:hAnsi="Arial" w:cs="Arial"/>
                <w:sz w:val="20"/>
                <w:szCs w:val="20"/>
              </w:rPr>
              <w:t xml:space="preserve"> 10</w:t>
            </w:r>
            <w:r w:rsidR="00C25DD9">
              <w:rPr>
                <w:rFonts w:ascii="Arial" w:hAnsi="Arial" w:cs="Arial"/>
                <w:sz w:val="20"/>
                <w:szCs w:val="20"/>
              </w:rPr>
              <w:t xml:space="preserve"> </w:t>
            </w:r>
            <w:r w:rsidR="007D75B6" w:rsidRPr="006D37E5">
              <w:rPr>
                <w:rFonts w:ascii="Arial" w:hAnsi="Arial" w:cs="Arial"/>
                <w:sz w:val="20"/>
                <w:szCs w:val="20"/>
              </w:rPr>
              <w:t>mg</w:t>
            </w:r>
          </w:p>
        </w:tc>
        <w:tc>
          <w:tcPr>
            <w:tcW w:w="1572" w:type="dxa"/>
            <w:shd w:val="clear" w:color="auto" w:fill="auto"/>
          </w:tcPr>
          <w:p w14:paraId="3F7C96A5" w14:textId="77777777" w:rsidR="007D75B6" w:rsidRPr="006D37E5" w:rsidRDefault="007D75B6" w:rsidP="00FA1DD0">
            <w:pPr>
              <w:pStyle w:val="05Tabletext"/>
              <w:tabs>
                <w:tab w:val="left" w:pos="2410"/>
              </w:tabs>
              <w:ind w:left="14"/>
              <w:rPr>
                <w:rFonts w:ascii="Arial" w:hAnsi="Arial" w:cs="Arial"/>
                <w:sz w:val="20"/>
                <w:szCs w:val="20"/>
              </w:rPr>
            </w:pPr>
            <w:r w:rsidRPr="006D37E5">
              <w:rPr>
                <w:rFonts w:ascii="Arial" w:hAnsi="Arial" w:cs="Arial"/>
                <w:sz w:val="20"/>
                <w:szCs w:val="20"/>
              </w:rPr>
              <w:t>CMA compared with bosentan</w:t>
            </w:r>
          </w:p>
        </w:tc>
        <w:tc>
          <w:tcPr>
            <w:tcW w:w="0" w:type="auto"/>
            <w:shd w:val="clear" w:color="auto" w:fill="auto"/>
          </w:tcPr>
          <w:p w14:paraId="29AC16E1"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m</w:t>
            </w:r>
            <w:r w:rsidR="007D75B6" w:rsidRPr="006D37E5">
              <w:rPr>
                <w:rFonts w:cs="Arial"/>
                <w:szCs w:val="20"/>
              </w:rPr>
              <w:t xml:space="preserve">acitentan 10 mg once daily </w:t>
            </w:r>
          </w:p>
          <w:p w14:paraId="49F66E89"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b</w:t>
            </w:r>
            <w:r w:rsidR="007D75B6" w:rsidRPr="006D37E5">
              <w:rPr>
                <w:rFonts w:cs="Arial"/>
                <w:szCs w:val="20"/>
              </w:rPr>
              <w:t>os</w:t>
            </w:r>
            <w:r w:rsidR="009062F9">
              <w:rPr>
                <w:rFonts w:cs="Arial"/>
                <w:szCs w:val="20"/>
              </w:rPr>
              <w:t>entan 62.5 mg twice daily for 4 </w:t>
            </w:r>
            <w:r w:rsidR="007D75B6" w:rsidRPr="006D37E5">
              <w:rPr>
                <w:rFonts w:cs="Arial"/>
                <w:szCs w:val="20"/>
              </w:rPr>
              <w:t>weeks, then a maintenance dose of 125 mg twice daily</w:t>
            </w:r>
          </w:p>
        </w:tc>
      </w:tr>
      <w:tr w:rsidR="007D75B6" w:rsidRPr="006D37E5" w14:paraId="7A7D4436" w14:textId="77777777" w:rsidTr="006D37E5">
        <w:trPr>
          <w:cantSplit/>
        </w:trPr>
        <w:tc>
          <w:tcPr>
            <w:tcW w:w="0" w:type="auto"/>
            <w:shd w:val="clear" w:color="auto" w:fill="auto"/>
          </w:tcPr>
          <w:p w14:paraId="7C8B224B" w14:textId="77777777" w:rsidR="007D75B6" w:rsidRPr="006D37E5" w:rsidRDefault="007D75B6" w:rsidP="009062F9">
            <w:pPr>
              <w:pStyle w:val="05Tabletext"/>
              <w:tabs>
                <w:tab w:val="left" w:pos="2410"/>
              </w:tabs>
              <w:ind w:left="0"/>
              <w:rPr>
                <w:rFonts w:ascii="Arial" w:hAnsi="Arial" w:cs="Arial"/>
                <w:sz w:val="20"/>
                <w:szCs w:val="20"/>
              </w:rPr>
            </w:pPr>
            <w:r w:rsidRPr="006D37E5">
              <w:rPr>
                <w:rFonts w:ascii="Arial" w:hAnsi="Arial" w:cs="Arial"/>
                <w:sz w:val="20"/>
                <w:szCs w:val="20"/>
              </w:rPr>
              <w:t>March 2014</w:t>
            </w:r>
          </w:p>
        </w:tc>
        <w:tc>
          <w:tcPr>
            <w:tcW w:w="1927" w:type="dxa"/>
            <w:shd w:val="clear" w:color="auto" w:fill="auto"/>
          </w:tcPr>
          <w:p w14:paraId="00AF8013" w14:textId="77777777" w:rsidR="007D75B6" w:rsidRPr="006D37E5" w:rsidRDefault="0099750F" w:rsidP="00FA1DD0">
            <w:pPr>
              <w:pStyle w:val="05Tabletext"/>
              <w:tabs>
                <w:tab w:val="left" w:pos="2410"/>
              </w:tabs>
              <w:ind w:left="98"/>
              <w:rPr>
                <w:rFonts w:ascii="Arial" w:hAnsi="Arial" w:cs="Arial"/>
                <w:b/>
                <w:sz w:val="20"/>
                <w:szCs w:val="20"/>
              </w:rPr>
            </w:pPr>
            <w:r w:rsidRPr="006D37E5">
              <w:rPr>
                <w:rFonts w:ascii="Arial" w:hAnsi="Arial" w:cs="Arial"/>
                <w:b/>
                <w:sz w:val="20"/>
                <w:szCs w:val="20"/>
              </w:rPr>
              <w:t>riociguat</w:t>
            </w:r>
          </w:p>
          <w:p w14:paraId="67D110DF" w14:textId="77777777" w:rsidR="007D75B6" w:rsidRPr="006D37E5" w:rsidRDefault="00060C26" w:rsidP="00FA1DD0">
            <w:pPr>
              <w:pStyle w:val="05Tabletext"/>
              <w:tabs>
                <w:tab w:val="left" w:pos="2410"/>
              </w:tabs>
              <w:ind w:left="98"/>
              <w:rPr>
                <w:rFonts w:ascii="Arial" w:hAnsi="Arial" w:cs="Arial"/>
                <w:sz w:val="20"/>
                <w:szCs w:val="20"/>
              </w:rPr>
            </w:pPr>
            <w:proofErr w:type="spellStart"/>
            <w:r w:rsidRPr="006D37E5">
              <w:rPr>
                <w:rFonts w:ascii="Arial" w:hAnsi="Arial" w:cs="Arial"/>
                <w:sz w:val="20"/>
                <w:szCs w:val="20"/>
              </w:rPr>
              <w:t>Adempas</w:t>
            </w:r>
            <w:proofErr w:type="spellEnd"/>
            <w:r w:rsidR="00B21981" w:rsidRPr="006840E7">
              <w:rPr>
                <w:rFonts w:ascii="Arial" w:hAnsi="Arial" w:cs="Arial"/>
                <w:color w:val="222222"/>
                <w:sz w:val="20"/>
                <w:szCs w:val="20"/>
                <w:shd w:val="clear" w:color="auto" w:fill="FFFFFF"/>
                <w:vertAlign w:val="superscript"/>
              </w:rPr>
              <w:t>®</w:t>
            </w:r>
            <w:r w:rsidR="007D75B6" w:rsidRPr="006D37E5">
              <w:rPr>
                <w:rFonts w:ascii="Arial" w:hAnsi="Arial" w:cs="Arial"/>
                <w:sz w:val="20"/>
                <w:szCs w:val="20"/>
              </w:rPr>
              <w:t xml:space="preserve"> 500 μg,1 mg, 1.5 mg, 2 mg and 2.5 mg</w:t>
            </w:r>
          </w:p>
        </w:tc>
        <w:tc>
          <w:tcPr>
            <w:tcW w:w="1572" w:type="dxa"/>
            <w:shd w:val="clear" w:color="auto" w:fill="auto"/>
          </w:tcPr>
          <w:p w14:paraId="5A812F27" w14:textId="77777777" w:rsidR="007D75B6" w:rsidRPr="006D37E5" w:rsidRDefault="007D75B6" w:rsidP="00FA1DD0">
            <w:pPr>
              <w:pStyle w:val="05Tabletext"/>
              <w:tabs>
                <w:tab w:val="left" w:pos="2410"/>
              </w:tabs>
              <w:ind w:left="14"/>
              <w:rPr>
                <w:rFonts w:ascii="Arial" w:hAnsi="Arial" w:cs="Arial"/>
                <w:sz w:val="20"/>
                <w:szCs w:val="20"/>
              </w:rPr>
            </w:pPr>
            <w:r w:rsidRPr="006D37E5">
              <w:rPr>
                <w:rFonts w:ascii="Arial" w:hAnsi="Arial" w:cs="Arial"/>
                <w:sz w:val="20"/>
                <w:szCs w:val="20"/>
              </w:rPr>
              <w:t>CMA compared with bosentan and sildenafil</w:t>
            </w:r>
          </w:p>
        </w:tc>
        <w:tc>
          <w:tcPr>
            <w:tcW w:w="0" w:type="auto"/>
            <w:shd w:val="clear" w:color="auto" w:fill="auto"/>
          </w:tcPr>
          <w:p w14:paraId="28FABEF1"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r</w:t>
            </w:r>
            <w:r w:rsidR="007D75B6" w:rsidRPr="006D37E5">
              <w:rPr>
                <w:rFonts w:cs="Arial"/>
                <w:szCs w:val="20"/>
              </w:rPr>
              <w:t>iociguat individually titrated (1 mg three times daily to 2.5 mg three times daily</w:t>
            </w:r>
          </w:p>
          <w:p w14:paraId="367BD9E0"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b</w:t>
            </w:r>
            <w:r w:rsidR="007D75B6" w:rsidRPr="006D37E5">
              <w:rPr>
                <w:rFonts w:cs="Arial"/>
                <w:szCs w:val="20"/>
              </w:rPr>
              <w:t>osentan 62.5 mg twice daily or 125 mg twice daily</w:t>
            </w:r>
          </w:p>
          <w:p w14:paraId="4862344D" w14:textId="77777777" w:rsidR="007D75B6" w:rsidRPr="006D37E5" w:rsidRDefault="000967D8" w:rsidP="00FA1DD0">
            <w:pPr>
              <w:pStyle w:val="07Tablebullet"/>
              <w:numPr>
                <w:ilvl w:val="0"/>
                <w:numId w:val="0"/>
              </w:numPr>
              <w:tabs>
                <w:tab w:val="left" w:pos="2410"/>
              </w:tabs>
              <w:ind w:left="144"/>
              <w:rPr>
                <w:rFonts w:cs="Arial"/>
                <w:szCs w:val="20"/>
              </w:rPr>
            </w:pPr>
            <w:r>
              <w:rPr>
                <w:rFonts w:cs="Arial"/>
                <w:szCs w:val="20"/>
              </w:rPr>
              <w:t>s</w:t>
            </w:r>
            <w:r w:rsidR="007D75B6" w:rsidRPr="006D37E5">
              <w:rPr>
                <w:rFonts w:cs="Arial"/>
                <w:szCs w:val="20"/>
              </w:rPr>
              <w:t>ildenafil 20 mg three times daily</w:t>
            </w:r>
          </w:p>
        </w:tc>
      </w:tr>
    </w:tbl>
    <w:p w14:paraId="32AECE71" w14:textId="77777777" w:rsidR="007D75B6" w:rsidRPr="002E566F" w:rsidRDefault="007D75B6" w:rsidP="00121658">
      <w:pPr>
        <w:pStyle w:val="10TableorFigurefootnote"/>
        <w:tabs>
          <w:tab w:val="left" w:pos="2410"/>
        </w:tabs>
        <w:rPr>
          <w:rFonts w:ascii="Arial" w:hAnsi="Arial" w:cs="Arial"/>
          <w:sz w:val="18"/>
          <w:szCs w:val="18"/>
        </w:rPr>
      </w:pPr>
      <w:r w:rsidRPr="002E566F">
        <w:rPr>
          <w:rFonts w:ascii="Arial" w:hAnsi="Arial" w:cs="Arial"/>
          <w:sz w:val="18"/>
          <w:szCs w:val="18"/>
        </w:rPr>
        <w:lastRenderedPageBreak/>
        <w:t>CEA = cost-effectiveness-analysis; CMA = cost-minimisation analysis; PAH = pulmonary arterial hypertension; PBS = Pharmaceutical Benefits Scheme</w:t>
      </w:r>
    </w:p>
    <w:p w14:paraId="7732A495" w14:textId="77777777" w:rsidR="007D75B6" w:rsidRPr="002E566F" w:rsidRDefault="007D75B6" w:rsidP="00121658">
      <w:pPr>
        <w:pStyle w:val="10TableorFigurefootnote"/>
        <w:rPr>
          <w:rFonts w:ascii="Arial" w:hAnsi="Arial" w:cs="Arial"/>
          <w:sz w:val="18"/>
          <w:szCs w:val="18"/>
        </w:rPr>
      </w:pPr>
      <w:proofErr w:type="gramStart"/>
      <w:r w:rsidRPr="002E566F">
        <w:rPr>
          <w:rFonts w:ascii="Arial" w:hAnsi="Arial" w:cs="Arial"/>
          <w:sz w:val="18"/>
          <w:szCs w:val="18"/>
          <w:vertAlign w:val="superscript"/>
        </w:rPr>
        <w:t>a</w:t>
      </w:r>
      <w:proofErr w:type="gramEnd"/>
      <w:r w:rsidRPr="002E566F">
        <w:rPr>
          <w:rFonts w:ascii="Arial" w:hAnsi="Arial" w:cs="Arial"/>
          <w:sz w:val="18"/>
          <w:szCs w:val="18"/>
          <w:vertAlign w:val="superscript"/>
        </w:rPr>
        <w:t xml:space="preserve"> </w:t>
      </w:r>
      <w:r w:rsidRPr="002E566F">
        <w:rPr>
          <w:rFonts w:ascii="Arial" w:hAnsi="Arial" w:cs="Arial"/>
          <w:sz w:val="18"/>
          <w:szCs w:val="18"/>
        </w:rPr>
        <w:t>Taken from public summary documents, except for those highlighted (sourced from submissions or PBAC minutes)</w:t>
      </w:r>
    </w:p>
    <w:p w14:paraId="6CE0D8AB" w14:textId="77777777" w:rsidR="007D75B6" w:rsidRPr="002E566F" w:rsidRDefault="007D75B6" w:rsidP="00121658">
      <w:pPr>
        <w:pStyle w:val="10TableorFigurefootnote"/>
        <w:rPr>
          <w:rFonts w:ascii="Arial" w:hAnsi="Arial" w:cs="Arial"/>
          <w:sz w:val="18"/>
          <w:szCs w:val="18"/>
        </w:rPr>
      </w:pPr>
      <w:proofErr w:type="gramStart"/>
      <w:r w:rsidRPr="002E566F">
        <w:rPr>
          <w:rFonts w:ascii="Arial" w:hAnsi="Arial" w:cs="Arial"/>
          <w:sz w:val="18"/>
          <w:szCs w:val="18"/>
          <w:vertAlign w:val="superscript"/>
        </w:rPr>
        <w:t>b</w:t>
      </w:r>
      <w:proofErr w:type="gramEnd"/>
      <w:r w:rsidRPr="002E566F">
        <w:rPr>
          <w:rFonts w:ascii="Arial" w:hAnsi="Arial" w:cs="Arial"/>
          <w:sz w:val="18"/>
          <w:szCs w:val="18"/>
        </w:rPr>
        <w:t xml:space="preserve"> For extension of PBS listing</w:t>
      </w:r>
    </w:p>
    <w:p w14:paraId="08E511BC" w14:textId="77777777" w:rsidR="007D75B6" w:rsidRPr="002E566F" w:rsidRDefault="007D75B6" w:rsidP="00121658">
      <w:pPr>
        <w:pStyle w:val="10TableorFigurefootnote"/>
        <w:rPr>
          <w:rFonts w:ascii="Arial" w:hAnsi="Arial" w:cs="Arial"/>
          <w:sz w:val="18"/>
          <w:szCs w:val="18"/>
        </w:rPr>
      </w:pPr>
      <w:r w:rsidRPr="002E566F">
        <w:rPr>
          <w:rFonts w:ascii="Arial" w:hAnsi="Arial" w:cs="Arial"/>
          <w:sz w:val="18"/>
          <w:szCs w:val="18"/>
          <w:vertAlign w:val="superscript"/>
        </w:rPr>
        <w:t>c</w:t>
      </w:r>
      <w:r w:rsidRPr="002E566F">
        <w:rPr>
          <w:rFonts w:ascii="Arial" w:hAnsi="Arial" w:cs="Arial"/>
          <w:sz w:val="18"/>
          <w:szCs w:val="18"/>
        </w:rPr>
        <w:t xml:space="preserve"> An economic evaluation for bosentan in PAH associated with congenital heart disease was not presented, as the sponsor argued that the cost-effectiveness of bosentan in this population is likely to be similar to that previously demonstrated for idiopathic PAH.</w:t>
      </w:r>
    </w:p>
    <w:p w14:paraId="56E60547" w14:textId="77777777" w:rsidR="001C2742" w:rsidRPr="00B21981" w:rsidRDefault="002E2A6E" w:rsidP="00121658">
      <w:pPr>
        <w:pStyle w:val="Heading4"/>
      </w:pPr>
      <w:r w:rsidRPr="00B21981">
        <w:t>B</w:t>
      </w:r>
      <w:r w:rsidR="00B21981">
        <w:t>.</w:t>
      </w:r>
      <w:r w:rsidRPr="00B21981">
        <w:t>4.</w:t>
      </w:r>
      <w:r w:rsidR="005F0E94">
        <w:t>5.2</w:t>
      </w:r>
      <w:r w:rsidR="001008C6" w:rsidRPr="00B21981">
        <w:t xml:space="preserve"> </w:t>
      </w:r>
      <w:bookmarkStart w:id="75" w:name="_Toc480371866"/>
      <w:bookmarkStart w:id="76" w:name="_Toc486514205"/>
      <w:bookmarkStart w:id="77" w:name="_Ref505611932"/>
      <w:bookmarkStart w:id="78" w:name="_Ref505612111"/>
      <w:bookmarkEnd w:id="70"/>
      <w:bookmarkEnd w:id="71"/>
      <w:bookmarkEnd w:id="72"/>
      <w:r w:rsidR="001C2742" w:rsidRPr="00B21981">
        <w:t>PBS prescribing restrictions</w:t>
      </w:r>
      <w:bookmarkEnd w:id="75"/>
      <w:bookmarkEnd w:id="76"/>
      <w:bookmarkEnd w:id="77"/>
      <w:bookmarkEnd w:id="78"/>
    </w:p>
    <w:p w14:paraId="51656689" w14:textId="77777777" w:rsidR="009F3B03" w:rsidRPr="00B21981" w:rsidRDefault="009F3B03" w:rsidP="00121658">
      <w:pPr>
        <w:pStyle w:val="BodyTextnospacebefore"/>
      </w:pPr>
      <w:r w:rsidRPr="00B21981">
        <w:t xml:space="preserve">The PBS-listed PAH medicines cover most sub-types of PAH, except for PAH associated with </w:t>
      </w:r>
      <w:r w:rsidR="005902F5">
        <w:t>PAH-</w:t>
      </w:r>
      <w:r w:rsidRPr="00B21981">
        <w:t>HIV infection, portal hypertension and schistosomiasis.</w:t>
      </w:r>
    </w:p>
    <w:p w14:paraId="3A1B6545" w14:textId="77777777" w:rsidR="00B645C7" w:rsidRPr="00B21981" w:rsidRDefault="00B645C7" w:rsidP="00121658">
      <w:pPr>
        <w:pStyle w:val="BodyTextnospacebefore"/>
      </w:pPr>
      <w:bookmarkStart w:id="79" w:name="_Toc486514207"/>
      <w:bookmarkStart w:id="80" w:name="_Toc480371868"/>
      <w:r w:rsidRPr="00B21981">
        <w:t>The current</w:t>
      </w:r>
      <w:r w:rsidR="00E96CD6" w:rsidRPr="00B21981">
        <w:t xml:space="preserve"> </w:t>
      </w:r>
      <w:r w:rsidRPr="00B21981">
        <w:t xml:space="preserve">PBS </w:t>
      </w:r>
      <w:r w:rsidR="00E96CD6" w:rsidRPr="00B21981">
        <w:t xml:space="preserve">listed PAH medicines and subsidised </w:t>
      </w:r>
      <w:r w:rsidRPr="00B21981">
        <w:t>indications are summarised in</w:t>
      </w:r>
      <w:r w:rsidR="0012341F">
        <w:t xml:space="preserve"> </w:t>
      </w:r>
      <w:r w:rsidR="00505D99">
        <w:t>Table B.</w:t>
      </w:r>
      <w:r w:rsidR="00505D99">
        <w:rPr>
          <w:noProof/>
        </w:rPr>
        <w:t>6</w:t>
      </w:r>
      <w:r w:rsidRPr="00B21981">
        <w:t>, described in terms of PAH type and WHO Functional Class</w:t>
      </w:r>
      <w:r w:rsidR="00C6734D" w:rsidRPr="00B21981">
        <w:t>.</w:t>
      </w:r>
      <w:r w:rsidR="009F3B03" w:rsidRPr="00B21981">
        <w:t xml:space="preserve"> PBS subsidised use of PAH medicines does not include </w:t>
      </w:r>
      <w:r w:rsidR="001F1180" w:rsidRPr="00B21981">
        <w:t xml:space="preserve">treatment of WHO FC II patients </w:t>
      </w:r>
      <w:r w:rsidR="009F3B03" w:rsidRPr="00B21981">
        <w:t xml:space="preserve">or combination or add-on use </w:t>
      </w:r>
      <w:r w:rsidR="001F1180" w:rsidRPr="00B21981">
        <w:t xml:space="preserve">of </w:t>
      </w:r>
      <w:r w:rsidR="00F95235" w:rsidRPr="00B21981">
        <w:t>PAH medicines</w:t>
      </w:r>
      <w:r w:rsidR="00B21981" w:rsidRPr="00B21981">
        <w:t>.</w:t>
      </w:r>
    </w:p>
    <w:p w14:paraId="4808D731" w14:textId="77777777" w:rsidR="000F5DA6" w:rsidRPr="000F5DA6" w:rsidRDefault="000F5DA6" w:rsidP="00121658">
      <w:pPr>
        <w:rPr>
          <w:rFonts w:cstheme="minorHAnsi"/>
        </w:rPr>
      </w:pPr>
    </w:p>
    <w:p w14:paraId="16344573" w14:textId="77777777" w:rsidR="000F5DA6" w:rsidRDefault="000F5DA6" w:rsidP="00121658">
      <w:pPr>
        <w:pStyle w:val="Caption"/>
        <w:ind w:left="0"/>
        <w:jc w:val="left"/>
        <w:sectPr w:rsidR="000F5DA6" w:rsidSect="009C5335">
          <w:footnotePr>
            <w:numFmt w:val="chicago"/>
          </w:footnotePr>
          <w:pgSz w:w="11906" w:h="16838"/>
          <w:pgMar w:top="1440" w:right="1440" w:bottom="1440" w:left="1440" w:header="708" w:footer="708" w:gutter="0"/>
          <w:cols w:space="708"/>
          <w:titlePg/>
          <w:docGrid w:linePitch="360"/>
        </w:sectPr>
      </w:pPr>
    </w:p>
    <w:p w14:paraId="6E590DAA" w14:textId="77777777" w:rsidR="000F5DA6" w:rsidRPr="002F3393" w:rsidRDefault="000F5DA6" w:rsidP="00121658">
      <w:pPr>
        <w:rPr>
          <w:sz w:val="8"/>
          <w:szCs w:val="16"/>
        </w:rPr>
      </w:pPr>
      <w:bookmarkStart w:id="81" w:name="_Ref501009838"/>
    </w:p>
    <w:p w14:paraId="696E1822" w14:textId="77777777" w:rsidR="00CA30EE" w:rsidRDefault="00CA30EE" w:rsidP="00D14982">
      <w:pPr>
        <w:pStyle w:val="ToR1TableHeader"/>
        <w:tabs>
          <w:tab w:val="clear" w:pos="1134"/>
          <w:tab w:val="left" w:pos="0"/>
        </w:tabs>
        <w:ind w:left="0" w:firstLine="0"/>
      </w:pPr>
      <w:bookmarkStart w:id="82" w:name="_Ref510019896"/>
      <w:bookmarkStart w:id="83" w:name="_Ref510797845"/>
      <w:bookmarkStart w:id="84" w:name="_Toc29377243"/>
      <w:bookmarkEnd w:id="81"/>
      <w:r>
        <w:t>Table B.</w:t>
      </w:r>
      <w:r w:rsidR="00505D99">
        <w:rPr>
          <w:noProof/>
        </w:rPr>
        <w:t>6</w:t>
      </w:r>
      <w:bookmarkEnd w:id="82"/>
      <w:r w:rsidR="0015688E">
        <w:tab/>
      </w:r>
      <w:r w:rsidRPr="003460AE">
        <w:t>Overview of PBS-listed PAH medicines by PAH type and WHO Functional Class</w:t>
      </w:r>
      <w:bookmarkEnd w:id="83"/>
      <w:bookmarkEnd w:id="84"/>
    </w:p>
    <w:tbl>
      <w:tblPr>
        <w:tblStyle w:val="TableGrid7"/>
        <w:tblW w:w="13716" w:type="dxa"/>
        <w:tblLayout w:type="fixed"/>
        <w:tblLook w:val="04A0" w:firstRow="1" w:lastRow="0" w:firstColumn="1" w:lastColumn="0" w:noHBand="0" w:noVBand="1"/>
        <w:tblCaption w:val="Overview of PAH Listings by PAH type and WHO Functional Class "/>
      </w:tblPr>
      <w:tblGrid>
        <w:gridCol w:w="2660"/>
        <w:gridCol w:w="1276"/>
        <w:gridCol w:w="1509"/>
        <w:gridCol w:w="1379"/>
        <w:gridCol w:w="1378"/>
        <w:gridCol w:w="1378"/>
        <w:gridCol w:w="1301"/>
        <w:gridCol w:w="1560"/>
        <w:gridCol w:w="1275"/>
      </w:tblGrid>
      <w:tr w:rsidR="000F5DA6" w:rsidRPr="006D37E5" w14:paraId="23530817" w14:textId="77777777" w:rsidTr="006D37E5">
        <w:trPr>
          <w:tblHeader/>
        </w:trPr>
        <w:tc>
          <w:tcPr>
            <w:tcW w:w="2660" w:type="dxa"/>
            <w:shd w:val="clear" w:color="auto" w:fill="BFBFBF" w:themeFill="background1" w:themeFillShade="BF"/>
          </w:tcPr>
          <w:p w14:paraId="3FA0C76A" w14:textId="77777777" w:rsidR="000F5DA6" w:rsidRPr="006D37E5" w:rsidRDefault="000F5DA6" w:rsidP="00121658">
            <w:pPr>
              <w:pStyle w:val="TableText"/>
              <w:rPr>
                <w:rFonts w:ascii="Arial" w:eastAsia="Calibri" w:hAnsi="Arial"/>
                <w:b/>
                <w:szCs w:val="20"/>
              </w:rPr>
            </w:pPr>
            <w:r w:rsidRPr="006D37E5">
              <w:rPr>
                <w:rFonts w:ascii="Arial" w:eastAsia="Calibri" w:hAnsi="Arial"/>
                <w:b/>
                <w:szCs w:val="20"/>
              </w:rPr>
              <w:t>Type of PAH</w:t>
            </w:r>
          </w:p>
        </w:tc>
        <w:tc>
          <w:tcPr>
            <w:tcW w:w="1276" w:type="dxa"/>
            <w:shd w:val="clear" w:color="auto" w:fill="BFBFBF" w:themeFill="background1" w:themeFillShade="BF"/>
          </w:tcPr>
          <w:p w14:paraId="160EF90A" w14:textId="77777777" w:rsidR="000F5DA6" w:rsidRPr="006D37E5" w:rsidRDefault="000F5DA6" w:rsidP="00121658">
            <w:pPr>
              <w:pStyle w:val="TableText"/>
              <w:rPr>
                <w:rFonts w:ascii="Arial" w:eastAsia="Calibri" w:hAnsi="Arial"/>
                <w:b/>
                <w:szCs w:val="20"/>
              </w:rPr>
            </w:pPr>
            <w:r w:rsidRPr="006D37E5">
              <w:rPr>
                <w:rFonts w:ascii="Arial" w:eastAsia="Calibri" w:hAnsi="Arial"/>
                <w:b/>
                <w:szCs w:val="20"/>
              </w:rPr>
              <w:t xml:space="preserve">Bosentan </w:t>
            </w:r>
          </w:p>
        </w:tc>
        <w:tc>
          <w:tcPr>
            <w:tcW w:w="1509" w:type="dxa"/>
            <w:shd w:val="clear" w:color="auto" w:fill="BFBFBF" w:themeFill="background1" w:themeFillShade="BF"/>
          </w:tcPr>
          <w:p w14:paraId="5774ABB4" w14:textId="77777777" w:rsidR="000F5DA6" w:rsidRPr="006D37E5" w:rsidRDefault="000F5DA6" w:rsidP="00121658">
            <w:pPr>
              <w:pStyle w:val="TableText"/>
              <w:rPr>
                <w:rFonts w:ascii="Arial" w:eastAsia="Calibri" w:hAnsi="Arial"/>
                <w:b/>
                <w:szCs w:val="20"/>
              </w:rPr>
            </w:pPr>
            <w:r w:rsidRPr="006D37E5">
              <w:rPr>
                <w:rFonts w:ascii="Arial" w:eastAsia="Calibri" w:hAnsi="Arial"/>
                <w:b/>
                <w:szCs w:val="20"/>
              </w:rPr>
              <w:t xml:space="preserve">Ambrisentan </w:t>
            </w:r>
          </w:p>
        </w:tc>
        <w:tc>
          <w:tcPr>
            <w:tcW w:w="1379" w:type="dxa"/>
            <w:shd w:val="clear" w:color="auto" w:fill="BFBFBF" w:themeFill="background1" w:themeFillShade="BF"/>
          </w:tcPr>
          <w:p w14:paraId="31EC05A3" w14:textId="77777777" w:rsidR="000F5DA6" w:rsidRPr="006D37E5" w:rsidRDefault="000F5DA6" w:rsidP="00121658">
            <w:pPr>
              <w:pStyle w:val="TableText"/>
              <w:rPr>
                <w:rFonts w:ascii="Arial" w:eastAsia="Calibri" w:hAnsi="Arial"/>
                <w:b/>
                <w:szCs w:val="20"/>
              </w:rPr>
            </w:pPr>
            <w:r w:rsidRPr="006D37E5">
              <w:rPr>
                <w:rFonts w:ascii="Arial" w:eastAsia="Calibri" w:hAnsi="Arial"/>
                <w:b/>
                <w:szCs w:val="20"/>
              </w:rPr>
              <w:t xml:space="preserve">Macitentan </w:t>
            </w:r>
          </w:p>
        </w:tc>
        <w:tc>
          <w:tcPr>
            <w:tcW w:w="1378" w:type="dxa"/>
            <w:shd w:val="clear" w:color="auto" w:fill="BFBFBF" w:themeFill="background1" w:themeFillShade="BF"/>
          </w:tcPr>
          <w:p w14:paraId="46A1119C" w14:textId="77777777" w:rsidR="000F5DA6" w:rsidRPr="006D37E5" w:rsidRDefault="000F5DA6" w:rsidP="00121658">
            <w:pPr>
              <w:pStyle w:val="TableText"/>
              <w:rPr>
                <w:rFonts w:ascii="Arial" w:eastAsia="Calibri" w:hAnsi="Arial"/>
                <w:b/>
                <w:szCs w:val="20"/>
              </w:rPr>
            </w:pPr>
            <w:r w:rsidRPr="006D37E5">
              <w:rPr>
                <w:rFonts w:ascii="Arial" w:eastAsia="Calibri" w:hAnsi="Arial"/>
                <w:b/>
                <w:szCs w:val="20"/>
              </w:rPr>
              <w:t>Tadalafil</w:t>
            </w:r>
          </w:p>
        </w:tc>
        <w:tc>
          <w:tcPr>
            <w:tcW w:w="1378" w:type="dxa"/>
            <w:shd w:val="clear" w:color="auto" w:fill="BFBFBF" w:themeFill="background1" w:themeFillShade="BF"/>
          </w:tcPr>
          <w:p w14:paraId="2C2D6DE2" w14:textId="77777777" w:rsidR="000F5DA6" w:rsidRPr="006D37E5" w:rsidRDefault="000F5DA6" w:rsidP="00121658">
            <w:pPr>
              <w:pStyle w:val="TableText"/>
              <w:rPr>
                <w:rFonts w:ascii="Arial" w:eastAsia="Calibri" w:hAnsi="Arial"/>
                <w:b/>
                <w:szCs w:val="20"/>
              </w:rPr>
            </w:pPr>
            <w:r w:rsidRPr="006D37E5">
              <w:rPr>
                <w:rFonts w:ascii="Arial" w:eastAsia="Calibri" w:hAnsi="Arial"/>
                <w:b/>
                <w:szCs w:val="20"/>
              </w:rPr>
              <w:t>Sildenafil</w:t>
            </w:r>
          </w:p>
        </w:tc>
        <w:tc>
          <w:tcPr>
            <w:tcW w:w="1301" w:type="dxa"/>
            <w:shd w:val="clear" w:color="auto" w:fill="BFBFBF" w:themeFill="background1" w:themeFillShade="BF"/>
          </w:tcPr>
          <w:p w14:paraId="65DD3344" w14:textId="77777777" w:rsidR="000F5DA6" w:rsidRPr="006D37E5" w:rsidRDefault="000F5DA6" w:rsidP="00121658">
            <w:pPr>
              <w:pStyle w:val="TableText"/>
              <w:rPr>
                <w:rFonts w:ascii="Arial" w:eastAsia="Calibri" w:hAnsi="Arial"/>
                <w:b/>
                <w:szCs w:val="20"/>
              </w:rPr>
            </w:pPr>
            <w:r w:rsidRPr="006D37E5">
              <w:rPr>
                <w:rFonts w:ascii="Arial" w:eastAsia="Calibri" w:hAnsi="Arial"/>
                <w:b/>
                <w:szCs w:val="20"/>
              </w:rPr>
              <w:t xml:space="preserve">Iloprost </w:t>
            </w:r>
          </w:p>
        </w:tc>
        <w:tc>
          <w:tcPr>
            <w:tcW w:w="1560" w:type="dxa"/>
            <w:shd w:val="clear" w:color="auto" w:fill="BFBFBF" w:themeFill="background1" w:themeFillShade="BF"/>
          </w:tcPr>
          <w:p w14:paraId="7204B26F" w14:textId="77777777" w:rsidR="000F5DA6" w:rsidRPr="006D37E5" w:rsidRDefault="000F5DA6" w:rsidP="00121658">
            <w:pPr>
              <w:pStyle w:val="TableText"/>
              <w:rPr>
                <w:rFonts w:ascii="Arial" w:eastAsia="Calibri" w:hAnsi="Arial"/>
                <w:b/>
                <w:szCs w:val="20"/>
              </w:rPr>
            </w:pPr>
            <w:r w:rsidRPr="006D37E5">
              <w:rPr>
                <w:rFonts w:ascii="Arial" w:eastAsia="Calibri" w:hAnsi="Arial"/>
                <w:b/>
                <w:szCs w:val="20"/>
              </w:rPr>
              <w:t xml:space="preserve">Epoprostenol </w:t>
            </w:r>
          </w:p>
        </w:tc>
        <w:tc>
          <w:tcPr>
            <w:tcW w:w="1275" w:type="dxa"/>
            <w:shd w:val="clear" w:color="auto" w:fill="BFBFBF" w:themeFill="background1" w:themeFillShade="BF"/>
          </w:tcPr>
          <w:p w14:paraId="393E3A65" w14:textId="77777777" w:rsidR="000F5DA6" w:rsidRPr="006D37E5" w:rsidRDefault="000F5DA6" w:rsidP="00121658">
            <w:pPr>
              <w:pStyle w:val="TableText"/>
              <w:rPr>
                <w:rFonts w:ascii="Arial" w:eastAsia="Calibri" w:hAnsi="Arial"/>
                <w:b/>
                <w:szCs w:val="20"/>
              </w:rPr>
            </w:pPr>
            <w:r w:rsidRPr="006D37E5">
              <w:rPr>
                <w:rFonts w:ascii="Arial" w:eastAsia="Calibri" w:hAnsi="Arial"/>
                <w:b/>
                <w:szCs w:val="20"/>
              </w:rPr>
              <w:t xml:space="preserve">Riociguat </w:t>
            </w:r>
          </w:p>
        </w:tc>
      </w:tr>
      <w:tr w:rsidR="000F5DA6" w:rsidRPr="006D37E5" w14:paraId="4A9EEEE4" w14:textId="77777777" w:rsidTr="006D37E5">
        <w:tc>
          <w:tcPr>
            <w:tcW w:w="2660" w:type="dxa"/>
          </w:tcPr>
          <w:p w14:paraId="436A1433"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IPAH or</w:t>
            </w:r>
          </w:p>
          <w:p w14:paraId="5795CB0F"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 xml:space="preserve">Anorexigen-induced PAH or </w:t>
            </w:r>
          </w:p>
          <w:p w14:paraId="289BD2D2"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HPAH</w:t>
            </w:r>
          </w:p>
        </w:tc>
        <w:tc>
          <w:tcPr>
            <w:tcW w:w="1276" w:type="dxa"/>
          </w:tcPr>
          <w:p w14:paraId="7CF389FE"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 IV</w:t>
            </w:r>
          </w:p>
        </w:tc>
        <w:tc>
          <w:tcPr>
            <w:tcW w:w="1509" w:type="dxa"/>
          </w:tcPr>
          <w:p w14:paraId="2601CEF5"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 IV</w:t>
            </w:r>
          </w:p>
        </w:tc>
        <w:tc>
          <w:tcPr>
            <w:tcW w:w="1379" w:type="dxa"/>
          </w:tcPr>
          <w:p w14:paraId="2E6D663F"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 IV</w:t>
            </w:r>
          </w:p>
        </w:tc>
        <w:tc>
          <w:tcPr>
            <w:tcW w:w="1378" w:type="dxa"/>
          </w:tcPr>
          <w:p w14:paraId="35F83F2D"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w:t>
            </w:r>
          </w:p>
        </w:tc>
        <w:tc>
          <w:tcPr>
            <w:tcW w:w="1378" w:type="dxa"/>
          </w:tcPr>
          <w:p w14:paraId="0F9C7558"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w:t>
            </w:r>
          </w:p>
        </w:tc>
        <w:tc>
          <w:tcPr>
            <w:tcW w:w="1301" w:type="dxa"/>
          </w:tcPr>
          <w:p w14:paraId="004E7C33"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IV</w:t>
            </w:r>
          </w:p>
          <w:p w14:paraId="5DFF7217"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 2</w:t>
            </w:r>
            <w:r w:rsidRPr="006D37E5">
              <w:rPr>
                <w:rFonts w:ascii="Arial" w:eastAsia="Calibri" w:hAnsi="Arial"/>
                <w:szCs w:val="20"/>
                <w:vertAlign w:val="superscript"/>
              </w:rPr>
              <w:t>◦</w:t>
            </w:r>
            <w:r w:rsidRPr="006D37E5">
              <w:rPr>
                <w:rFonts w:ascii="Arial" w:eastAsia="Calibri" w:hAnsi="Arial"/>
                <w:szCs w:val="20"/>
              </w:rPr>
              <w:t xml:space="preserve"> line</w:t>
            </w:r>
          </w:p>
        </w:tc>
        <w:tc>
          <w:tcPr>
            <w:tcW w:w="1560" w:type="dxa"/>
          </w:tcPr>
          <w:p w14:paraId="2BC8B3BA"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IV</w:t>
            </w:r>
          </w:p>
          <w:p w14:paraId="4DA3A07D"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 2</w:t>
            </w:r>
            <w:r w:rsidRPr="006D37E5">
              <w:rPr>
                <w:rFonts w:ascii="Arial" w:eastAsia="Calibri" w:hAnsi="Arial"/>
                <w:szCs w:val="20"/>
                <w:vertAlign w:val="superscript"/>
              </w:rPr>
              <w:t>◦</w:t>
            </w:r>
            <w:r w:rsidRPr="006D37E5">
              <w:rPr>
                <w:rFonts w:ascii="Arial" w:eastAsia="Calibri" w:hAnsi="Arial"/>
                <w:szCs w:val="20"/>
              </w:rPr>
              <w:t xml:space="preserve"> line</w:t>
            </w:r>
          </w:p>
        </w:tc>
        <w:tc>
          <w:tcPr>
            <w:tcW w:w="1275" w:type="dxa"/>
          </w:tcPr>
          <w:p w14:paraId="1950C4E9"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 IV</w:t>
            </w:r>
          </w:p>
        </w:tc>
      </w:tr>
      <w:tr w:rsidR="000F5DA6" w:rsidRPr="006D37E5" w14:paraId="285515B5" w14:textId="77777777" w:rsidTr="006D37E5">
        <w:tc>
          <w:tcPr>
            <w:tcW w:w="2660" w:type="dxa"/>
          </w:tcPr>
          <w:p w14:paraId="4E3F8F46"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Drug-induced PAH</w:t>
            </w:r>
          </w:p>
        </w:tc>
        <w:tc>
          <w:tcPr>
            <w:tcW w:w="1276" w:type="dxa"/>
          </w:tcPr>
          <w:p w14:paraId="7768403A"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w:t>
            </w:r>
          </w:p>
        </w:tc>
        <w:tc>
          <w:tcPr>
            <w:tcW w:w="1509" w:type="dxa"/>
          </w:tcPr>
          <w:p w14:paraId="7574DC11"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w:t>
            </w:r>
          </w:p>
        </w:tc>
        <w:tc>
          <w:tcPr>
            <w:tcW w:w="1379" w:type="dxa"/>
          </w:tcPr>
          <w:p w14:paraId="1F2B60B4"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w:t>
            </w:r>
          </w:p>
        </w:tc>
        <w:tc>
          <w:tcPr>
            <w:tcW w:w="1378" w:type="dxa"/>
          </w:tcPr>
          <w:p w14:paraId="5E299BDA"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w:t>
            </w:r>
          </w:p>
        </w:tc>
        <w:tc>
          <w:tcPr>
            <w:tcW w:w="1378" w:type="dxa"/>
          </w:tcPr>
          <w:p w14:paraId="7D4CD874"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w:t>
            </w:r>
          </w:p>
        </w:tc>
        <w:tc>
          <w:tcPr>
            <w:tcW w:w="1301" w:type="dxa"/>
          </w:tcPr>
          <w:p w14:paraId="0818C751"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 IV</w:t>
            </w:r>
          </w:p>
        </w:tc>
        <w:tc>
          <w:tcPr>
            <w:tcW w:w="1560" w:type="dxa"/>
          </w:tcPr>
          <w:p w14:paraId="39A31491"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w:t>
            </w:r>
          </w:p>
        </w:tc>
        <w:tc>
          <w:tcPr>
            <w:tcW w:w="1275" w:type="dxa"/>
          </w:tcPr>
          <w:p w14:paraId="4058C39C"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w:t>
            </w:r>
          </w:p>
        </w:tc>
      </w:tr>
      <w:tr w:rsidR="000F5DA6" w:rsidRPr="006D37E5" w14:paraId="135533DE" w14:textId="77777777" w:rsidTr="006D37E5">
        <w:tc>
          <w:tcPr>
            <w:tcW w:w="2660" w:type="dxa"/>
          </w:tcPr>
          <w:p w14:paraId="632E9905"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PAH-CTD</w:t>
            </w:r>
          </w:p>
        </w:tc>
        <w:tc>
          <w:tcPr>
            <w:tcW w:w="1276" w:type="dxa"/>
          </w:tcPr>
          <w:p w14:paraId="0DB12D9C"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 IV</w:t>
            </w:r>
          </w:p>
        </w:tc>
        <w:tc>
          <w:tcPr>
            <w:tcW w:w="1509" w:type="dxa"/>
          </w:tcPr>
          <w:p w14:paraId="612F7683"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 IV</w:t>
            </w:r>
          </w:p>
        </w:tc>
        <w:tc>
          <w:tcPr>
            <w:tcW w:w="1379" w:type="dxa"/>
          </w:tcPr>
          <w:p w14:paraId="74E26C4F"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 IV</w:t>
            </w:r>
          </w:p>
        </w:tc>
        <w:tc>
          <w:tcPr>
            <w:tcW w:w="1378" w:type="dxa"/>
          </w:tcPr>
          <w:p w14:paraId="2D62020B"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w:t>
            </w:r>
          </w:p>
        </w:tc>
        <w:tc>
          <w:tcPr>
            <w:tcW w:w="1378" w:type="dxa"/>
          </w:tcPr>
          <w:p w14:paraId="23F536D7"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w:t>
            </w:r>
          </w:p>
        </w:tc>
        <w:tc>
          <w:tcPr>
            <w:tcW w:w="1301" w:type="dxa"/>
          </w:tcPr>
          <w:p w14:paraId="11459D97"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IV</w:t>
            </w:r>
          </w:p>
        </w:tc>
        <w:tc>
          <w:tcPr>
            <w:tcW w:w="1560" w:type="dxa"/>
          </w:tcPr>
          <w:p w14:paraId="36BB6846"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IV</w:t>
            </w:r>
          </w:p>
          <w:p w14:paraId="4E9C04AB"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 2</w:t>
            </w:r>
            <w:r w:rsidRPr="006D37E5">
              <w:rPr>
                <w:rFonts w:ascii="Arial" w:eastAsia="Calibri" w:hAnsi="Arial"/>
                <w:szCs w:val="20"/>
                <w:vertAlign w:val="superscript"/>
              </w:rPr>
              <w:t>◦</w:t>
            </w:r>
            <w:r w:rsidRPr="006D37E5">
              <w:rPr>
                <w:rFonts w:ascii="Arial" w:eastAsia="Calibri" w:hAnsi="Arial"/>
                <w:szCs w:val="20"/>
              </w:rPr>
              <w:t xml:space="preserve"> line</w:t>
            </w:r>
          </w:p>
        </w:tc>
        <w:tc>
          <w:tcPr>
            <w:tcW w:w="1275" w:type="dxa"/>
          </w:tcPr>
          <w:p w14:paraId="526BF9A6"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 IV</w:t>
            </w:r>
          </w:p>
        </w:tc>
      </w:tr>
      <w:tr w:rsidR="000F5DA6" w:rsidRPr="006D37E5" w14:paraId="3803678E" w14:textId="77777777" w:rsidTr="006D37E5">
        <w:tc>
          <w:tcPr>
            <w:tcW w:w="2660" w:type="dxa"/>
          </w:tcPr>
          <w:p w14:paraId="46B387F7"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PAH assoc. congenital systemic-to-pulmonary shunt (incl. Eisenmenger physiology)</w:t>
            </w:r>
          </w:p>
        </w:tc>
        <w:tc>
          <w:tcPr>
            <w:tcW w:w="1276" w:type="dxa"/>
          </w:tcPr>
          <w:p w14:paraId="7073F109"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 or IV</w:t>
            </w:r>
          </w:p>
        </w:tc>
        <w:tc>
          <w:tcPr>
            <w:tcW w:w="1509" w:type="dxa"/>
          </w:tcPr>
          <w:p w14:paraId="2AF2CC19"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w:t>
            </w:r>
          </w:p>
        </w:tc>
        <w:tc>
          <w:tcPr>
            <w:tcW w:w="1379" w:type="dxa"/>
          </w:tcPr>
          <w:p w14:paraId="3F8CAF3A"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 or IV</w:t>
            </w:r>
          </w:p>
        </w:tc>
        <w:tc>
          <w:tcPr>
            <w:tcW w:w="1378" w:type="dxa"/>
          </w:tcPr>
          <w:p w14:paraId="132B1D3D"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w:t>
            </w:r>
          </w:p>
        </w:tc>
        <w:tc>
          <w:tcPr>
            <w:tcW w:w="1378" w:type="dxa"/>
          </w:tcPr>
          <w:p w14:paraId="780D667A"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w:t>
            </w:r>
          </w:p>
        </w:tc>
        <w:tc>
          <w:tcPr>
            <w:tcW w:w="1301" w:type="dxa"/>
          </w:tcPr>
          <w:p w14:paraId="352154CD"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w:t>
            </w:r>
          </w:p>
        </w:tc>
        <w:tc>
          <w:tcPr>
            <w:tcW w:w="1560" w:type="dxa"/>
          </w:tcPr>
          <w:p w14:paraId="5ABF0753"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w:t>
            </w:r>
          </w:p>
        </w:tc>
        <w:tc>
          <w:tcPr>
            <w:tcW w:w="1275" w:type="dxa"/>
          </w:tcPr>
          <w:p w14:paraId="6D88E699" w14:textId="77777777" w:rsidR="000F5DA6" w:rsidRPr="006D37E5" w:rsidRDefault="000F5DA6" w:rsidP="00121658">
            <w:pPr>
              <w:pStyle w:val="TableText"/>
              <w:rPr>
                <w:rFonts w:ascii="Arial" w:eastAsia="Calibri" w:hAnsi="Arial"/>
                <w:szCs w:val="20"/>
              </w:rPr>
            </w:pPr>
            <w:r w:rsidRPr="006D37E5">
              <w:rPr>
                <w:rFonts w:ascii="Arial" w:eastAsia="Calibri" w:hAnsi="Arial"/>
                <w:szCs w:val="20"/>
              </w:rPr>
              <w:t>Class III or IV</w:t>
            </w:r>
          </w:p>
        </w:tc>
      </w:tr>
    </w:tbl>
    <w:p w14:paraId="75A882AE" w14:textId="77777777" w:rsidR="000F5DA6" w:rsidRPr="00D94C73" w:rsidRDefault="000F5DA6" w:rsidP="00121658">
      <w:pPr>
        <w:pStyle w:val="Tablenote"/>
        <w:rPr>
          <w:rFonts w:ascii="Arial" w:hAnsi="Arial" w:cs="Arial"/>
          <w:sz w:val="16"/>
          <w:szCs w:val="16"/>
        </w:rPr>
      </w:pPr>
      <w:r w:rsidRPr="00D94C73">
        <w:rPr>
          <w:rFonts w:ascii="Arial" w:hAnsi="Arial" w:cs="Arial"/>
          <w:sz w:val="16"/>
          <w:szCs w:val="16"/>
        </w:rPr>
        <w:t>HPAH = heritable pulmonary arterial hypertension; IPAH = idiopathic pulmonary arterial hypertension; PAH = pulmonary arterial hypertension; PAH-CTD = pulmonary arterial hypertension associated with connective tissue disease</w:t>
      </w:r>
    </w:p>
    <w:p w14:paraId="5CAA5415" w14:textId="77777777" w:rsidR="000F5DA6" w:rsidRPr="00D94C73" w:rsidRDefault="000F5DA6" w:rsidP="00121658">
      <w:pPr>
        <w:pStyle w:val="Tablenote"/>
        <w:rPr>
          <w:rFonts w:asciiTheme="minorHAnsi" w:hAnsiTheme="minorHAnsi"/>
          <w:sz w:val="16"/>
          <w:szCs w:val="16"/>
        </w:rPr>
      </w:pPr>
      <w:r w:rsidRPr="00D94C73">
        <w:rPr>
          <w:rFonts w:ascii="Arial" w:hAnsi="Arial" w:cs="Arial"/>
          <w:sz w:val="16"/>
          <w:szCs w:val="16"/>
        </w:rPr>
        <w:t xml:space="preserve">Source: </w:t>
      </w:r>
      <w:r w:rsidRPr="00F4698B">
        <w:rPr>
          <w:rFonts w:ascii="Arial" w:hAnsi="Arial" w:cs="Arial"/>
          <w:sz w:val="16"/>
          <w:szCs w:val="16"/>
        </w:rPr>
        <w:t>www.pbs.gov.au</w:t>
      </w:r>
    </w:p>
    <w:p w14:paraId="0D6881AC" w14:textId="77777777" w:rsidR="000F5DA6" w:rsidRPr="002E566F" w:rsidRDefault="000F5DA6" w:rsidP="00121658">
      <w:pPr>
        <w:rPr>
          <w:rFonts w:asciiTheme="minorHAnsi" w:hAnsiTheme="minorHAnsi"/>
          <w:sz w:val="18"/>
          <w:szCs w:val="18"/>
        </w:rPr>
        <w:sectPr w:rsidR="000F5DA6" w:rsidRPr="002E566F" w:rsidSect="009C5335">
          <w:headerReference w:type="even" r:id="rId20"/>
          <w:headerReference w:type="default" r:id="rId21"/>
          <w:footerReference w:type="first" r:id="rId22"/>
          <w:footnotePr>
            <w:numFmt w:val="chicago"/>
          </w:footnotePr>
          <w:pgSz w:w="16838" w:h="11906" w:orient="landscape"/>
          <w:pgMar w:top="1440" w:right="1440" w:bottom="1440" w:left="1440" w:header="708" w:footer="708" w:gutter="0"/>
          <w:cols w:space="708"/>
          <w:titlePg/>
          <w:docGrid w:linePitch="360"/>
        </w:sectPr>
      </w:pPr>
    </w:p>
    <w:p w14:paraId="7D43675E" w14:textId="77777777" w:rsidR="000F5DA6" w:rsidRDefault="005F0E94" w:rsidP="00121658">
      <w:pPr>
        <w:pStyle w:val="Heading4"/>
      </w:pPr>
      <w:bookmarkStart w:id="85" w:name="_Ref505611938"/>
      <w:bookmarkStart w:id="86" w:name="_Ref505612022"/>
      <w:bookmarkStart w:id="87" w:name="_Ref505612053"/>
      <w:r>
        <w:rPr>
          <w:rFonts w:eastAsiaTheme="minorEastAsia"/>
        </w:rPr>
        <w:lastRenderedPageBreak/>
        <w:t>B</w:t>
      </w:r>
      <w:r w:rsidR="002000D3">
        <w:rPr>
          <w:rFonts w:eastAsiaTheme="minorEastAsia"/>
        </w:rPr>
        <w:t>.</w:t>
      </w:r>
      <w:r>
        <w:rPr>
          <w:rFonts w:eastAsiaTheme="minorEastAsia"/>
        </w:rPr>
        <w:t>4.5.3</w:t>
      </w:r>
      <w:r w:rsidR="00FD5C2A">
        <w:rPr>
          <w:rFonts w:eastAsiaTheme="minorEastAsia"/>
        </w:rPr>
        <w:t xml:space="preserve"> </w:t>
      </w:r>
      <w:r w:rsidR="000F5DA6">
        <w:rPr>
          <w:rFonts w:eastAsiaTheme="minorEastAsia"/>
        </w:rPr>
        <w:t>Recent amendments to PBS Restrictions</w:t>
      </w:r>
      <w:bookmarkEnd w:id="85"/>
      <w:bookmarkEnd w:id="86"/>
      <w:bookmarkEnd w:id="87"/>
      <w:r w:rsidR="00DD4D18">
        <w:rPr>
          <w:rFonts w:eastAsiaTheme="minorEastAsia"/>
        </w:rPr>
        <w:t xml:space="preserve"> for PAH medicines</w:t>
      </w:r>
    </w:p>
    <w:p w14:paraId="1DE170B8" w14:textId="77777777" w:rsidR="000F5DA6" w:rsidRPr="00411C81" w:rsidRDefault="000F5DA6" w:rsidP="00FF3CC9">
      <w:pPr>
        <w:pStyle w:val="BodyTextnospacebefore"/>
      </w:pPr>
      <w:r w:rsidRPr="00411C81">
        <w:t xml:space="preserve">Recent amendments to the restrictions </w:t>
      </w:r>
      <w:proofErr w:type="gramStart"/>
      <w:r w:rsidRPr="00411C81">
        <w:t>have been made</w:t>
      </w:r>
      <w:proofErr w:type="gramEnd"/>
      <w:r w:rsidRPr="00411C81">
        <w:t xml:space="preserve"> to maintain currency with guideline criteria</w:t>
      </w:r>
      <w:r w:rsidR="00C6734D" w:rsidRPr="00411C81">
        <w:t xml:space="preserve">. </w:t>
      </w:r>
      <w:r w:rsidRPr="00411C81">
        <w:t xml:space="preserve">The DUSC 2015 report provides a summary of 2014 changes to terminology and restrictions. These </w:t>
      </w:r>
      <w:proofErr w:type="gramStart"/>
      <w:r w:rsidRPr="00411C81">
        <w:t>were updated</w:t>
      </w:r>
      <w:proofErr w:type="gramEnd"/>
      <w:r w:rsidRPr="00411C81">
        <w:t xml:space="preserve"> from 1 August 2014 following a request from the PHSANZ:</w:t>
      </w:r>
    </w:p>
    <w:p w14:paraId="6CAE0826" w14:textId="77777777" w:rsidR="000F5DA6" w:rsidRPr="006C0A13" w:rsidRDefault="000F5DA6" w:rsidP="00FF3CC9">
      <w:pPr>
        <w:pStyle w:val="ListParagraph"/>
        <w:numPr>
          <w:ilvl w:val="0"/>
          <w:numId w:val="12"/>
        </w:numPr>
        <w:ind w:left="426" w:hanging="426"/>
        <w:rPr>
          <w:rFonts w:asciiTheme="minorHAnsi" w:hAnsiTheme="minorHAnsi"/>
        </w:rPr>
      </w:pPr>
      <w:r w:rsidRPr="006C0A13">
        <w:rPr>
          <w:rFonts w:asciiTheme="minorHAnsi" w:hAnsiTheme="minorHAnsi"/>
        </w:rPr>
        <w:t>The existing single term "Primary Pulmonary Hypertension" was replaced by the terms "Idiopathic Pulmonary Arterial Hyp</w:t>
      </w:r>
      <w:r w:rsidR="00AF365F" w:rsidRPr="006C0A13">
        <w:rPr>
          <w:rFonts w:asciiTheme="minorHAnsi" w:hAnsiTheme="minorHAnsi"/>
        </w:rPr>
        <w:t>ertension (IPAH), anorexigen-</w:t>
      </w:r>
      <w:r w:rsidRPr="006C0A13">
        <w:rPr>
          <w:rFonts w:asciiTheme="minorHAnsi" w:hAnsiTheme="minorHAnsi"/>
        </w:rPr>
        <w:t>induced PAH and hereditable PAH".</w:t>
      </w:r>
    </w:p>
    <w:p w14:paraId="6B7B9AAE" w14:textId="77777777" w:rsidR="000F5DA6" w:rsidRPr="006C0A13" w:rsidRDefault="000F5DA6" w:rsidP="00FF3CC9">
      <w:pPr>
        <w:pStyle w:val="ListParagraph"/>
        <w:numPr>
          <w:ilvl w:val="0"/>
          <w:numId w:val="12"/>
        </w:numPr>
        <w:ind w:left="426" w:hanging="426"/>
        <w:rPr>
          <w:rFonts w:asciiTheme="minorHAnsi" w:hAnsiTheme="minorHAnsi"/>
        </w:rPr>
      </w:pPr>
      <w:r w:rsidRPr="006C0A13">
        <w:rPr>
          <w:rFonts w:asciiTheme="minorHAnsi" w:hAnsiTheme="minorHAnsi"/>
        </w:rPr>
        <w:t>The term "pulmonary capillary wedge pressure (PCWP)" was replaced by "Pulmonary Artery Wedge Pressure" and the cut-point for this parameter was lowered from &lt;18mmHg to &lt;15mmHg to comply with International Guidelines.</w:t>
      </w:r>
    </w:p>
    <w:p w14:paraId="7FE9EF3B" w14:textId="77777777" w:rsidR="000F5DA6" w:rsidRPr="006C0A13" w:rsidRDefault="000F5DA6" w:rsidP="00FF3CC9">
      <w:pPr>
        <w:pStyle w:val="ListParagraph"/>
        <w:numPr>
          <w:ilvl w:val="0"/>
          <w:numId w:val="12"/>
        </w:numPr>
        <w:spacing w:after="200"/>
        <w:ind w:left="426" w:hanging="426"/>
        <w:rPr>
          <w:rFonts w:asciiTheme="minorHAnsi" w:hAnsiTheme="minorHAnsi"/>
        </w:rPr>
      </w:pPr>
      <w:r w:rsidRPr="006C0A13">
        <w:rPr>
          <w:rFonts w:asciiTheme="minorHAnsi" w:hAnsiTheme="minorHAnsi"/>
        </w:rPr>
        <w:t>The reference to a</w:t>
      </w:r>
      <w:r w:rsidR="00FF3CC9">
        <w:rPr>
          <w:rFonts w:asciiTheme="minorHAnsi" w:hAnsiTheme="minorHAnsi"/>
        </w:rPr>
        <w:t>n</w:t>
      </w:r>
      <w:r w:rsidRPr="006C0A13">
        <w:rPr>
          <w:rFonts w:asciiTheme="minorHAnsi" w:hAnsiTheme="minorHAnsi"/>
        </w:rPr>
        <w:t xml:space="preserve"> mPAP &gt;30mmHg on exercise was removed as part of the definition of </w:t>
      </w:r>
      <w:r w:rsidRPr="006C5A64">
        <w:rPr>
          <w:rFonts w:asciiTheme="minorHAnsi" w:hAnsiTheme="minorHAnsi"/>
        </w:rPr>
        <w:t>Pulmonary Hypertension</w:t>
      </w:r>
      <w:r w:rsidR="0007477E" w:rsidRPr="006C0A13">
        <w:rPr>
          <w:rFonts w:asciiTheme="minorHAnsi" w:hAnsiTheme="minorHAnsi"/>
        </w:rPr>
        <w:t>.</w:t>
      </w:r>
    </w:p>
    <w:p w14:paraId="4C8BAB89" w14:textId="77777777" w:rsidR="000F5DA6" w:rsidRPr="006C0A13" w:rsidRDefault="000F5DA6" w:rsidP="00121658">
      <w:pPr>
        <w:pStyle w:val="BodyTextnospacebefore"/>
      </w:pPr>
      <w:r w:rsidRPr="006C0A13">
        <w:t>As of 1 September 2014, the restrictions include</w:t>
      </w:r>
      <w:r w:rsidR="00FF3CC9">
        <w:t>d</w:t>
      </w:r>
      <w:r w:rsidRPr="006C0A13">
        <w:t xml:space="preserve"> an explicit criterion “sole PBS-subsidised agent for this condition”</w:t>
      </w:r>
      <w:r w:rsidR="00C6734D" w:rsidRPr="006C0A13">
        <w:t>.</w:t>
      </w:r>
    </w:p>
    <w:p w14:paraId="25407F69" w14:textId="77777777" w:rsidR="000F5DA6" w:rsidRPr="006C0A13" w:rsidRDefault="000F5DA6" w:rsidP="00121658">
      <w:pPr>
        <w:pStyle w:val="BodyTextnospacebefore"/>
      </w:pPr>
      <w:r w:rsidRPr="006C0A13">
        <w:t xml:space="preserve">In July 2015, the PBAC considered a minor submission from PHSANZ to amend the assessments required for continuing treatment (PSD, July 2015 PBAC meeting). </w:t>
      </w:r>
      <w:r w:rsidR="004A5E1C" w:rsidRPr="006C0A13">
        <w:t>T</w:t>
      </w:r>
      <w:r w:rsidRPr="006C0A13">
        <w:t>he PAH listings were all amended such that the assessments required to demonstrate patient response</w:t>
      </w:r>
      <w:r w:rsidR="00324F91" w:rsidRPr="006C0A13">
        <w:t xml:space="preserve"> were retained only for the </w:t>
      </w:r>
      <w:r w:rsidRPr="006C0A13">
        <w:t>‘first continuing’ treatment restriction</w:t>
      </w:r>
      <w:r w:rsidR="00C6734D" w:rsidRPr="006C0A13">
        <w:t xml:space="preserve">. </w:t>
      </w:r>
      <w:r w:rsidRPr="006C0A13">
        <w:t xml:space="preserve">A new ‘subsequent continuing’ treatment restriction was added for </w:t>
      </w:r>
      <w:r w:rsidR="004A5E1C" w:rsidRPr="006C0A13">
        <w:t>subsequent applications</w:t>
      </w:r>
      <w:r w:rsidRPr="006C0A13">
        <w:t xml:space="preserve"> that required no provision of test results and which could be obtained as a telephone authority</w:t>
      </w:r>
      <w:r w:rsidR="00411C81">
        <w:t>.</w:t>
      </w:r>
    </w:p>
    <w:p w14:paraId="3664B46A" w14:textId="77777777" w:rsidR="00A57C2B" w:rsidRPr="00411C81" w:rsidRDefault="00A57C2B" w:rsidP="00121658">
      <w:pPr>
        <w:pStyle w:val="BodyTextnospacebefore"/>
        <w:spacing w:after="0"/>
        <w:rPr>
          <w:u w:val="single"/>
        </w:rPr>
      </w:pPr>
      <w:r w:rsidRPr="00411C81">
        <w:rPr>
          <w:u w:val="single"/>
        </w:rPr>
        <w:t>Current restrictions</w:t>
      </w:r>
    </w:p>
    <w:p w14:paraId="506A151B" w14:textId="77777777" w:rsidR="00691494" w:rsidRPr="006C0A13" w:rsidRDefault="00691494" w:rsidP="00121658">
      <w:pPr>
        <w:pStyle w:val="BodyTextnospacebefore"/>
      </w:pPr>
      <w:r w:rsidRPr="006C0A13">
        <w:t xml:space="preserve">All PAH medicines are authority required listings. </w:t>
      </w:r>
      <w:r w:rsidR="006C0A13">
        <w:t xml:space="preserve">Authority required listings require the prescriber to obtain approval from the </w:t>
      </w:r>
      <w:r w:rsidR="006C5A64">
        <w:t>Services Australia</w:t>
      </w:r>
      <w:r w:rsidR="006C0A13">
        <w:t xml:space="preserve"> prior to prescribing a PBS subsidised medicine. </w:t>
      </w:r>
      <w:r w:rsidRPr="006C0A13">
        <w:t xml:space="preserve">To be eligible for PBS subsidised treatment with </w:t>
      </w:r>
      <w:r w:rsidR="00DD4D18" w:rsidRPr="006C0A13">
        <w:t xml:space="preserve">a </w:t>
      </w:r>
      <w:r w:rsidRPr="006C0A13">
        <w:t xml:space="preserve">PAH medicine, a patient must be assessed by a physician at a designated hospital, </w:t>
      </w:r>
      <w:r w:rsidR="0024221E" w:rsidRPr="006C0A13">
        <w:t xml:space="preserve">the medicine </w:t>
      </w:r>
      <w:r w:rsidRPr="006C0A13">
        <w:t xml:space="preserve">must be the sole PBS-subsidised PAH </w:t>
      </w:r>
      <w:r w:rsidR="00DD4D18" w:rsidRPr="006C0A13">
        <w:t xml:space="preserve">medicine and the patient must meet </w:t>
      </w:r>
      <w:r w:rsidRPr="006C0A13">
        <w:t>strict clinical criteria</w:t>
      </w:r>
      <w:r w:rsidR="00044518" w:rsidRPr="006C0A13">
        <w:t>.</w:t>
      </w:r>
    </w:p>
    <w:p w14:paraId="10B89B68" w14:textId="77777777" w:rsidR="00A57C2B" w:rsidRPr="006C0A13" w:rsidRDefault="0012341F" w:rsidP="00121658">
      <w:pPr>
        <w:pStyle w:val="BodyTextnospacebefore"/>
      </w:pPr>
      <w:r>
        <w:t xml:space="preserve">Refer </w:t>
      </w:r>
      <w:r w:rsidR="0063711F">
        <w:t xml:space="preserve">to </w:t>
      </w:r>
      <w:r w:rsidR="00505D99">
        <w:t>Appendix 1.C</w:t>
      </w:r>
      <w:r w:rsidR="00505D99">
        <w:tab/>
        <w:t>Published treatment and diagnostic algorithms</w:t>
      </w:r>
      <w:r w:rsidR="00DD4D18" w:rsidRPr="00B21981">
        <w:t xml:space="preserve"> for the PBS restrictions for </w:t>
      </w:r>
      <w:r w:rsidR="008C0F4C" w:rsidRPr="00B21981">
        <w:t xml:space="preserve">PAH </w:t>
      </w:r>
      <w:r w:rsidR="00DD4D18" w:rsidRPr="00B21981">
        <w:t>medicines in full.</w:t>
      </w:r>
    </w:p>
    <w:p w14:paraId="152E9C28" w14:textId="77777777" w:rsidR="00B92CC9" w:rsidRPr="006452D3" w:rsidRDefault="00B92CC9" w:rsidP="006452D3">
      <w:pPr>
        <w:pStyle w:val="Heading1"/>
        <w:numPr>
          <w:ilvl w:val="0"/>
          <w:numId w:val="0"/>
        </w:numPr>
      </w:pPr>
      <w:bookmarkStart w:id="88" w:name="_Toc509578886"/>
      <w:bookmarkStart w:id="89" w:name="_Toc509578948"/>
      <w:bookmarkStart w:id="90" w:name="_Toc509584403"/>
      <w:bookmarkStart w:id="91" w:name="_Toc509578887"/>
      <w:bookmarkStart w:id="92" w:name="_Toc509578949"/>
      <w:bookmarkStart w:id="93" w:name="_Toc509584404"/>
      <w:bookmarkStart w:id="94" w:name="_Toc458079741"/>
      <w:bookmarkStart w:id="95" w:name="_Toc480371869"/>
      <w:bookmarkStart w:id="96" w:name="_Toc486514213"/>
      <w:bookmarkStart w:id="97" w:name="_Toc38377492"/>
      <w:bookmarkEnd w:id="79"/>
      <w:bookmarkEnd w:id="80"/>
      <w:bookmarkEnd w:id="88"/>
      <w:bookmarkEnd w:id="89"/>
      <w:bookmarkEnd w:id="90"/>
      <w:bookmarkEnd w:id="91"/>
      <w:bookmarkEnd w:id="92"/>
      <w:bookmarkEnd w:id="93"/>
      <w:proofErr w:type="spellStart"/>
      <w:r w:rsidRPr="006452D3">
        <w:lastRenderedPageBreak/>
        <w:t>ToR</w:t>
      </w:r>
      <w:proofErr w:type="spellEnd"/>
      <w:r w:rsidRPr="006452D3">
        <w:t xml:space="preserve"> 1</w:t>
      </w:r>
      <w:r w:rsidR="006452D3">
        <w:t xml:space="preserve">: </w:t>
      </w:r>
      <w:r w:rsidRPr="006452D3">
        <w:t>Concordance between prescribing restrictions and clinical guidelines</w:t>
      </w:r>
      <w:bookmarkEnd w:id="94"/>
      <w:bookmarkEnd w:id="95"/>
      <w:bookmarkEnd w:id="96"/>
      <w:bookmarkEnd w:id="97"/>
    </w:p>
    <w:p w14:paraId="382966ED" w14:textId="77777777" w:rsidR="00B92CC9" w:rsidRPr="0063711F" w:rsidRDefault="00D70991" w:rsidP="00121658">
      <w:pPr>
        <w:pStyle w:val="BodyText"/>
        <w:pBdr>
          <w:top w:val="single" w:sz="4" w:space="1" w:color="auto"/>
          <w:left w:val="single" w:sz="4" w:space="4" w:color="auto"/>
          <w:bottom w:val="single" w:sz="4" w:space="1" w:color="auto"/>
          <w:right w:val="single" w:sz="4" w:space="4" w:color="auto"/>
        </w:pBdr>
        <w:jc w:val="left"/>
        <w:rPr>
          <w:rFonts w:asciiTheme="minorHAnsi" w:hAnsiTheme="minorHAnsi"/>
        </w:rPr>
      </w:pPr>
      <w:r w:rsidRPr="0063711F">
        <w:rPr>
          <w:rFonts w:asciiTheme="minorHAnsi" w:hAnsiTheme="minorHAnsi"/>
        </w:rPr>
        <w:t>Review recent clinical guidelines for the management of PAH and compare this to the PBS restrictions and Therapeutic Goods Administration (TGA) indications for the use of PAH medicines.</w:t>
      </w:r>
    </w:p>
    <w:p w14:paraId="275E5503" w14:textId="77777777" w:rsidR="00FA749E" w:rsidRPr="0063711F" w:rsidRDefault="00FA749E" w:rsidP="00121658">
      <w:pPr>
        <w:pStyle w:val="Heading2"/>
        <w:jc w:val="left"/>
      </w:pPr>
      <w:bookmarkStart w:id="98" w:name="_Toc38377493"/>
      <w:bookmarkStart w:id="99" w:name="_Toc486514215"/>
      <w:r w:rsidRPr="0063711F">
        <w:t xml:space="preserve">Key findings for </w:t>
      </w:r>
      <w:proofErr w:type="spellStart"/>
      <w:r w:rsidRPr="0063711F">
        <w:t>ToR</w:t>
      </w:r>
      <w:proofErr w:type="spellEnd"/>
      <w:r w:rsidRPr="0063711F">
        <w:t xml:space="preserve"> 1</w:t>
      </w:r>
      <w:bookmarkEnd w:id="98"/>
    </w:p>
    <w:p w14:paraId="68F00F6E" w14:textId="77777777" w:rsidR="006C7733" w:rsidRPr="0063711F" w:rsidRDefault="006C7733" w:rsidP="00121658">
      <w:pPr>
        <w:pStyle w:val="Heading3"/>
        <w:jc w:val="left"/>
      </w:pPr>
      <w:bookmarkStart w:id="100" w:name="_Toc38377494"/>
      <w:r w:rsidRPr="0063711F">
        <w:t>Key findings</w:t>
      </w:r>
      <w:r w:rsidR="00B25CA4" w:rsidRPr="0063711F">
        <w:t xml:space="preserve"> </w:t>
      </w:r>
      <w:r w:rsidR="002E566F">
        <w:t xml:space="preserve">for </w:t>
      </w:r>
      <w:r w:rsidR="00B25CA4" w:rsidRPr="0063711F">
        <w:t>research question 1</w:t>
      </w:r>
      <w:bookmarkEnd w:id="100"/>
    </w:p>
    <w:p w14:paraId="5C8CE9C4" w14:textId="77777777" w:rsidR="00B25CA4" w:rsidRPr="0063711F" w:rsidRDefault="0063711F" w:rsidP="00121658">
      <w:pPr>
        <w:pStyle w:val="BodyText"/>
        <w:jc w:val="left"/>
        <w:rPr>
          <w:rFonts w:asciiTheme="minorHAnsi" w:hAnsiTheme="minorHAnsi"/>
          <w:i/>
        </w:rPr>
      </w:pPr>
      <w:r w:rsidRPr="0063711F">
        <w:rPr>
          <w:rFonts w:asciiTheme="minorHAnsi" w:hAnsiTheme="minorHAnsi"/>
          <w:i/>
        </w:rPr>
        <w:t xml:space="preserve">Research Question 1: </w:t>
      </w:r>
      <w:r w:rsidR="00B25CA4" w:rsidRPr="0063711F">
        <w:rPr>
          <w:rFonts w:asciiTheme="minorHAnsi" w:hAnsiTheme="minorHAnsi"/>
          <w:i/>
        </w:rPr>
        <w:t>What are the clinical treatment algorithms recommended in recent Australian, European and North American guidelines for the treatmen</w:t>
      </w:r>
      <w:r w:rsidR="00011758">
        <w:rPr>
          <w:rFonts w:asciiTheme="minorHAnsi" w:hAnsiTheme="minorHAnsi"/>
          <w:i/>
        </w:rPr>
        <w:t>t of WHO FC II, III and IV PAH?</w:t>
      </w:r>
    </w:p>
    <w:p w14:paraId="24F0F93E" w14:textId="77777777" w:rsidR="00334CD0" w:rsidRPr="0063711F" w:rsidRDefault="006C7733" w:rsidP="00121658">
      <w:pPr>
        <w:rPr>
          <w:rFonts w:asciiTheme="minorHAnsi" w:hAnsiTheme="minorHAnsi"/>
          <w:i/>
        </w:rPr>
      </w:pPr>
      <w:r w:rsidRPr="0063711F">
        <w:rPr>
          <w:rFonts w:asciiTheme="minorHAnsi" w:hAnsiTheme="minorHAnsi"/>
        </w:rPr>
        <w:t xml:space="preserve">PAH is a rare disease and there are few clinical guidelines aside from a limited number of key documents published by United States (US) and European medical specialist organisations. </w:t>
      </w:r>
      <w:r w:rsidR="00334CD0" w:rsidRPr="0063711F">
        <w:rPr>
          <w:rFonts w:asciiTheme="minorHAnsi" w:hAnsiTheme="minorHAnsi"/>
        </w:rPr>
        <w:t xml:space="preserve">The key guidelines of relevance </w:t>
      </w:r>
      <w:r w:rsidR="00011758">
        <w:rPr>
          <w:rFonts w:asciiTheme="minorHAnsi" w:hAnsiTheme="minorHAnsi"/>
        </w:rPr>
        <w:t>to Australian practice are the:</w:t>
      </w:r>
    </w:p>
    <w:p w14:paraId="4B968EB9" w14:textId="77777777" w:rsidR="00334CD0" w:rsidRPr="0063711F" w:rsidRDefault="00334CD0" w:rsidP="00807704">
      <w:pPr>
        <w:pStyle w:val="ListParagraph"/>
        <w:numPr>
          <w:ilvl w:val="0"/>
          <w:numId w:val="24"/>
        </w:numPr>
        <w:spacing w:after="200"/>
        <w:ind w:left="426" w:hanging="426"/>
        <w:rPr>
          <w:rFonts w:asciiTheme="minorHAnsi" w:hAnsiTheme="minorHAnsi"/>
        </w:rPr>
      </w:pPr>
      <w:r w:rsidRPr="0063711F">
        <w:rPr>
          <w:rFonts w:asciiTheme="minorHAnsi" w:hAnsiTheme="minorHAnsi"/>
          <w:i/>
        </w:rPr>
        <w:t xml:space="preserve">2015 </w:t>
      </w:r>
      <w:r w:rsidR="00E65510" w:rsidRPr="0063711F">
        <w:rPr>
          <w:rFonts w:asciiTheme="minorHAnsi" w:hAnsiTheme="minorHAnsi"/>
          <w:i/>
        </w:rPr>
        <w:t xml:space="preserve">European Society of Cardiology/European Respiratory Society </w:t>
      </w:r>
      <w:r w:rsidR="0063711F" w:rsidRPr="0063711F">
        <w:rPr>
          <w:rFonts w:asciiTheme="minorHAnsi" w:hAnsiTheme="minorHAnsi"/>
          <w:i/>
        </w:rPr>
        <w:t>(</w:t>
      </w:r>
      <w:r w:rsidRPr="0063711F">
        <w:rPr>
          <w:rFonts w:asciiTheme="minorHAnsi" w:hAnsiTheme="minorHAnsi"/>
          <w:i/>
        </w:rPr>
        <w:t>ESC/ERS</w:t>
      </w:r>
      <w:r w:rsidR="0063711F" w:rsidRPr="0063711F">
        <w:rPr>
          <w:rFonts w:asciiTheme="minorHAnsi" w:hAnsiTheme="minorHAnsi"/>
          <w:i/>
        </w:rPr>
        <w:t>)</w:t>
      </w:r>
      <w:r w:rsidRPr="0063711F">
        <w:rPr>
          <w:rFonts w:asciiTheme="minorHAnsi" w:hAnsiTheme="minorHAnsi"/>
          <w:i/>
        </w:rPr>
        <w:t xml:space="preserve"> guidelines for the diagnosis and treatment of pulmonary hypertension,</w:t>
      </w:r>
    </w:p>
    <w:p w14:paraId="69EE28D2" w14:textId="77777777" w:rsidR="00334CD0" w:rsidRPr="0063711F" w:rsidRDefault="00334CD0" w:rsidP="00807704">
      <w:pPr>
        <w:pStyle w:val="ListParagraph"/>
        <w:numPr>
          <w:ilvl w:val="0"/>
          <w:numId w:val="24"/>
        </w:numPr>
        <w:spacing w:after="200"/>
        <w:ind w:left="426" w:hanging="426"/>
        <w:rPr>
          <w:rFonts w:asciiTheme="minorHAnsi" w:hAnsiTheme="minorHAnsi"/>
        </w:rPr>
      </w:pPr>
      <w:r w:rsidRPr="0063711F">
        <w:rPr>
          <w:rFonts w:asciiTheme="minorHAnsi" w:hAnsiTheme="minorHAnsi"/>
        </w:rPr>
        <w:t xml:space="preserve">the </w:t>
      </w:r>
      <w:r w:rsidRPr="0063711F">
        <w:rPr>
          <w:rFonts w:asciiTheme="minorHAnsi" w:hAnsiTheme="minorHAnsi"/>
          <w:i/>
        </w:rPr>
        <w:t xml:space="preserve">Pharmacologic therapy for pulmonary arterial hypertension in adults: CHEST guideline and expert panel report </w:t>
      </w:r>
      <w:r w:rsidRPr="0063711F">
        <w:rPr>
          <w:rFonts w:asciiTheme="minorHAnsi" w:hAnsiTheme="minorHAnsi"/>
        </w:rPr>
        <w:t>(</w:t>
      </w:r>
      <w:r w:rsidR="006F16C6" w:rsidRPr="0063711F">
        <w:rPr>
          <w:rFonts w:asciiTheme="minorHAnsi" w:hAnsiTheme="minorHAnsi"/>
        </w:rPr>
        <w:t>American College of Chest Physicians,</w:t>
      </w:r>
      <w:r w:rsidR="006F16C6" w:rsidRPr="0063711F" w:rsidDel="006F16C6">
        <w:rPr>
          <w:rFonts w:asciiTheme="minorHAnsi" w:hAnsiTheme="minorHAnsi"/>
        </w:rPr>
        <w:t xml:space="preserve"> </w:t>
      </w:r>
      <w:r w:rsidR="006F16C6" w:rsidRPr="0063711F">
        <w:rPr>
          <w:rFonts w:asciiTheme="minorHAnsi" w:hAnsiTheme="minorHAnsi"/>
        </w:rPr>
        <w:t>2014</w:t>
      </w:r>
      <w:r w:rsidRPr="0063711F">
        <w:rPr>
          <w:rFonts w:asciiTheme="minorHAnsi" w:hAnsiTheme="minorHAnsi"/>
        </w:rPr>
        <w:t>)</w:t>
      </w:r>
      <w:r w:rsidRPr="0063711F">
        <w:rPr>
          <w:rFonts w:asciiTheme="minorHAnsi" w:hAnsiTheme="minorHAnsi"/>
          <w:i/>
        </w:rPr>
        <w:t xml:space="preserve">, </w:t>
      </w:r>
      <w:r w:rsidRPr="0063711F">
        <w:rPr>
          <w:rFonts w:asciiTheme="minorHAnsi" w:hAnsiTheme="minorHAnsi"/>
        </w:rPr>
        <w:t xml:space="preserve">and </w:t>
      </w:r>
    </w:p>
    <w:p w14:paraId="70A0E36B" w14:textId="77777777" w:rsidR="00334CD0" w:rsidRPr="0063711F" w:rsidRDefault="00334CD0" w:rsidP="00807704">
      <w:pPr>
        <w:pStyle w:val="ListParagraph"/>
        <w:numPr>
          <w:ilvl w:val="0"/>
          <w:numId w:val="24"/>
        </w:numPr>
        <w:spacing w:after="200"/>
        <w:ind w:left="426" w:hanging="426"/>
        <w:rPr>
          <w:rFonts w:asciiTheme="minorHAnsi" w:hAnsiTheme="minorHAnsi"/>
          <w:b/>
        </w:rPr>
      </w:pPr>
      <w:r w:rsidRPr="0063711F">
        <w:rPr>
          <w:rFonts w:asciiTheme="minorHAnsi" w:hAnsiTheme="minorHAnsi" w:cstheme="minorHAnsi"/>
          <w:i/>
        </w:rPr>
        <w:t>Drugs for Pulmonary Arterial Hypertension: Comparative Efficacy, Safety, and Cost-Effectiveness — Recommendations Report</w:t>
      </w:r>
      <w:r w:rsidR="006F16C6" w:rsidRPr="0063711F">
        <w:rPr>
          <w:rFonts w:asciiTheme="minorHAnsi" w:hAnsiTheme="minorHAnsi" w:cstheme="minorHAnsi"/>
          <w:i/>
        </w:rPr>
        <w:t xml:space="preserve"> </w:t>
      </w:r>
      <w:r w:rsidR="006F16C6" w:rsidRPr="0063711F">
        <w:rPr>
          <w:rFonts w:asciiTheme="minorHAnsi" w:hAnsiTheme="minorHAnsi" w:cstheme="minorHAnsi"/>
        </w:rPr>
        <w:t>(Canadian Agency for Drugs and Technologies in Health 2015)</w:t>
      </w:r>
      <w:r w:rsidRPr="0063711F">
        <w:rPr>
          <w:rFonts w:asciiTheme="minorHAnsi" w:hAnsiTheme="minorHAnsi" w:cstheme="minorHAnsi"/>
          <w:i/>
        </w:rPr>
        <w:t>.</w:t>
      </w:r>
    </w:p>
    <w:p w14:paraId="6741659F" w14:textId="77777777" w:rsidR="00712CC9" w:rsidRPr="0063711F" w:rsidRDefault="00712CC9" w:rsidP="00121658">
      <w:pPr>
        <w:pStyle w:val="Heading3"/>
        <w:jc w:val="left"/>
      </w:pPr>
      <w:bookmarkStart w:id="101" w:name="_Toc38377495"/>
      <w:bookmarkStart w:id="102" w:name="_Toc458079743"/>
      <w:bookmarkStart w:id="103" w:name="_Toc473291068"/>
      <w:bookmarkStart w:id="104" w:name="_Toc480371871"/>
      <w:bookmarkStart w:id="105" w:name="_Toc486514219"/>
      <w:bookmarkEnd w:id="99"/>
      <w:r w:rsidRPr="0063711F">
        <w:t xml:space="preserve">Key findings </w:t>
      </w:r>
      <w:r w:rsidR="002E566F">
        <w:t xml:space="preserve">for </w:t>
      </w:r>
      <w:r w:rsidRPr="0063711F">
        <w:t>research question 2</w:t>
      </w:r>
      <w:bookmarkEnd w:id="101"/>
    </w:p>
    <w:p w14:paraId="52E47860" w14:textId="77777777" w:rsidR="00712CC9" w:rsidRPr="0063711F" w:rsidRDefault="0063711F" w:rsidP="00121658">
      <w:pPr>
        <w:pStyle w:val="BodyText"/>
        <w:jc w:val="left"/>
        <w:rPr>
          <w:rFonts w:asciiTheme="minorHAnsi" w:hAnsiTheme="minorHAnsi"/>
          <w:i/>
        </w:rPr>
      </w:pPr>
      <w:r w:rsidRPr="0063711F">
        <w:rPr>
          <w:rFonts w:asciiTheme="minorHAnsi" w:hAnsiTheme="minorHAnsi"/>
          <w:i/>
        </w:rPr>
        <w:t xml:space="preserve">Research Question 2: </w:t>
      </w:r>
      <w:r w:rsidR="00712CC9" w:rsidRPr="0063711F">
        <w:rPr>
          <w:rFonts w:asciiTheme="minorHAnsi" w:hAnsiTheme="minorHAnsi"/>
          <w:i/>
        </w:rPr>
        <w:t xml:space="preserve">Are the current PBS restrictions for PAH medicines, the TGA-approved indications and the recommendations from </w:t>
      </w:r>
      <w:r w:rsidR="00011758">
        <w:rPr>
          <w:rFonts w:asciiTheme="minorHAnsi" w:hAnsiTheme="minorHAnsi"/>
          <w:i/>
        </w:rPr>
        <w:t>clinical guidelines consistent?</w:t>
      </w:r>
    </w:p>
    <w:p w14:paraId="21EADF22" w14:textId="77777777" w:rsidR="009D6EE3" w:rsidRPr="0063711F" w:rsidRDefault="009D6EE3" w:rsidP="00121658">
      <w:pPr>
        <w:rPr>
          <w:rFonts w:asciiTheme="minorHAnsi" w:hAnsiTheme="minorHAnsi"/>
        </w:rPr>
      </w:pPr>
      <w:r w:rsidRPr="0063711F">
        <w:rPr>
          <w:rFonts w:asciiTheme="minorHAnsi" w:hAnsiTheme="minorHAnsi"/>
        </w:rPr>
        <w:t>The key differences between guideline recommendations and PBS restrictions are:</w:t>
      </w:r>
    </w:p>
    <w:p w14:paraId="4A7ED02D" w14:textId="77777777" w:rsidR="009D6EE3" w:rsidRPr="0063711F" w:rsidRDefault="009D6EE3" w:rsidP="00921D13">
      <w:pPr>
        <w:pStyle w:val="08Bulletsseriesofsentences"/>
      </w:pPr>
      <w:r w:rsidRPr="0063711F">
        <w:t>The PBS restrictions limit the use of PAH medicines to patients in WHO FC III-IV.</w:t>
      </w:r>
      <w:r w:rsidR="00011758">
        <w:t xml:space="preserve"> </w:t>
      </w:r>
      <w:r w:rsidRPr="0063711F">
        <w:t>Guidelines recommend treatment of patients in WHO FC II-IV. TGA indications for PAH medicines cover WHO FC II-IV.</w:t>
      </w:r>
    </w:p>
    <w:p w14:paraId="7E052A5B" w14:textId="77777777" w:rsidR="009D6EE3" w:rsidRPr="0063711F" w:rsidRDefault="009D6EE3" w:rsidP="00921D13">
      <w:pPr>
        <w:pStyle w:val="08Bulletsseriesofsentences"/>
      </w:pPr>
      <w:r w:rsidRPr="0063711F">
        <w:t>Guidelines recommend initial treatment with initial combination therapy for patients in WHO III-IV with</w:t>
      </w:r>
      <w:r w:rsidR="00B16322">
        <w:t xml:space="preserve"> high risk factors. </w:t>
      </w:r>
      <w:r w:rsidRPr="0063711F">
        <w:t xml:space="preserve">In contrast to the CHEST guideline, the </w:t>
      </w:r>
      <w:r w:rsidR="008077B8">
        <w:t xml:space="preserve">2015 </w:t>
      </w:r>
      <w:r w:rsidRPr="0063711F">
        <w:t>ERS/ERC guidelines also recommend initial oral combination therapy as an option for patients in WHO FC II. The PBS restrictions limit the use of PAH medicines to one PAH medicine at any a time (the PAH agent is the sole subsidised agent fo</w:t>
      </w:r>
      <w:r w:rsidR="00EE1F96">
        <w:t>r this condition) in FC III-IV.</w:t>
      </w:r>
    </w:p>
    <w:p w14:paraId="2736E75C" w14:textId="77777777" w:rsidR="009D6EE3" w:rsidRPr="00917AD5" w:rsidRDefault="009D6EE3" w:rsidP="00921D13">
      <w:pPr>
        <w:pStyle w:val="08Bulletsseriesofsentences"/>
      </w:pPr>
      <w:r>
        <w:t xml:space="preserve">Guidelines also recommend </w:t>
      </w:r>
      <w:r w:rsidRPr="009F466A">
        <w:t>sequential co</w:t>
      </w:r>
      <w:r>
        <w:t xml:space="preserve">mbination therapy for </w:t>
      </w:r>
      <w:r w:rsidRPr="00917AD5">
        <w:t>patients with an inadequate clinical response</w:t>
      </w:r>
      <w:r>
        <w:t xml:space="preserve"> to treatment</w:t>
      </w:r>
      <w:r w:rsidR="00B16322">
        <w:t xml:space="preserve">. </w:t>
      </w:r>
      <w:r w:rsidRPr="00917AD5">
        <w:t xml:space="preserve">Patients continue on their existing agent </w:t>
      </w:r>
      <w:r w:rsidRPr="00917AD5">
        <w:lastRenderedPageBreak/>
        <w:t>and add another agent as sequential combi</w:t>
      </w:r>
      <w:r w:rsidR="00B16322">
        <w:t xml:space="preserve">nation, up to three medicines. </w:t>
      </w:r>
      <w:r w:rsidRPr="00917AD5">
        <w:t>TGA listings include combination use for ambrisentan with tadalafil, macitentan with PDE-5 inhibitor or iloprost, and riociguat with ERA or iloprost.</w:t>
      </w:r>
    </w:p>
    <w:p w14:paraId="00568978" w14:textId="77777777" w:rsidR="009D6EE3" w:rsidRDefault="009D6EE3" w:rsidP="00921D13">
      <w:pPr>
        <w:pStyle w:val="08Bulletsseriesofsentences"/>
      </w:pPr>
      <w:r>
        <w:t xml:space="preserve">Response to treatment </w:t>
      </w:r>
      <w:proofErr w:type="gramStart"/>
      <w:r>
        <w:t>is defined</w:t>
      </w:r>
      <w:proofErr w:type="gramEnd"/>
      <w:r>
        <w:t xml:space="preserve"> in guidelines as clinical improvement and/or prog</w:t>
      </w:r>
      <w:r w:rsidR="00B16322">
        <w:t>ress towards therapeutic goals.</w:t>
      </w:r>
      <w:r>
        <w:t xml:space="preserve"> PBS restrictions define response to treatment as stabi</w:t>
      </w:r>
      <w:r w:rsidR="00B16322">
        <w:t>lity or improvement of disease.</w:t>
      </w:r>
    </w:p>
    <w:p w14:paraId="12E47A4B" w14:textId="77777777" w:rsidR="009D6EE3" w:rsidRPr="001578B6" w:rsidRDefault="009D6EE3" w:rsidP="00921D13">
      <w:pPr>
        <w:pStyle w:val="08Bulletsseriesofsentences"/>
      </w:pPr>
      <w:r w:rsidRPr="001578B6">
        <w:t>Clinical criteria in PBS restrictions and TGA indications s</w:t>
      </w:r>
      <w:r>
        <w:t>pecify both PAH subtype and WHO </w:t>
      </w:r>
      <w:r w:rsidRPr="001578B6">
        <w:t xml:space="preserve">FC for each PAH medicine, while guideline recommendations are based on medicine class, not individual medicines and make no suggestions as to the line of therapy. In contrast to guidelines recommendation, for example, prostanoids are neither TGA registered nor PBS-listed for </w:t>
      </w:r>
      <w:proofErr w:type="gramStart"/>
      <w:r w:rsidRPr="001578B6">
        <w:t>PAH-CHD,</w:t>
      </w:r>
      <w:proofErr w:type="gramEnd"/>
      <w:r w:rsidRPr="001578B6">
        <w:t xml:space="preserve"> and PDE-5 inhibitors not for WHO FC IV.</w:t>
      </w:r>
    </w:p>
    <w:p w14:paraId="62343D7A" w14:textId="77777777" w:rsidR="009D6EE3" w:rsidRDefault="009D6EE3" w:rsidP="00921D13">
      <w:pPr>
        <w:pStyle w:val="08Bulletsseriesofsentences"/>
      </w:pPr>
      <w:r>
        <w:t>There are no PBS-listed</w:t>
      </w:r>
      <w:r w:rsidRPr="009F466A">
        <w:t xml:space="preserve"> </w:t>
      </w:r>
      <w:proofErr w:type="gramStart"/>
      <w:r w:rsidRPr="009F466A">
        <w:t xml:space="preserve">medicines for </w:t>
      </w:r>
      <w:r>
        <w:t>certain</w:t>
      </w:r>
      <w:proofErr w:type="gramEnd"/>
      <w:r>
        <w:t xml:space="preserve"> </w:t>
      </w:r>
      <w:r w:rsidRPr="009F466A">
        <w:t>PAH subtype</w:t>
      </w:r>
      <w:r>
        <w:t>s</w:t>
      </w:r>
      <w:r w:rsidRPr="009F466A">
        <w:t xml:space="preserve">: PAH-HIV, </w:t>
      </w:r>
      <w:r>
        <w:t xml:space="preserve">associated </w:t>
      </w:r>
      <w:r w:rsidRPr="009F466A">
        <w:t xml:space="preserve">with portal hypertension or </w:t>
      </w:r>
      <w:r>
        <w:t xml:space="preserve">associated </w:t>
      </w:r>
      <w:r w:rsidRPr="009F466A">
        <w:t>with schistosomiasis</w:t>
      </w:r>
      <w:r>
        <w:t>.</w:t>
      </w:r>
    </w:p>
    <w:p w14:paraId="09275C4E" w14:textId="77777777" w:rsidR="009D6EE3" w:rsidRDefault="009D6EE3" w:rsidP="00921D13">
      <w:pPr>
        <w:pStyle w:val="08Bulletsseriesofsentences"/>
      </w:pPr>
      <w:r w:rsidRPr="009F466A">
        <w:t>The current terminology of PAH</w:t>
      </w:r>
      <w:r>
        <w:t xml:space="preserve"> types</w:t>
      </w:r>
      <w:r w:rsidRPr="009F466A">
        <w:t xml:space="preserve"> in the TGA indications and PBS restrictions are inconsistent with the latest WHO classification scheme for pulmonary hypertension and PAH.</w:t>
      </w:r>
    </w:p>
    <w:p w14:paraId="460CC000" w14:textId="77777777" w:rsidR="009D6EE3" w:rsidRPr="00917AD5" w:rsidRDefault="009D6EE3" w:rsidP="00921D13">
      <w:pPr>
        <w:pStyle w:val="08Bulletsseriesofsentences"/>
      </w:pPr>
      <w:r w:rsidRPr="00917AD5">
        <w:t>PBS restrictions mostly fall within TGA-approved indications of PAH medicines, except PBS-listings for drug and toxin induced PAH (PAH-DT), and amb</w:t>
      </w:r>
      <w:r w:rsidR="00EE1F96">
        <w:t>risentan and iloprost for HPAH.</w:t>
      </w:r>
    </w:p>
    <w:p w14:paraId="722EAB85" w14:textId="77777777" w:rsidR="009D6EE3" w:rsidRPr="00FC25C7" w:rsidRDefault="009D6EE3" w:rsidP="00921D13">
      <w:pPr>
        <w:pStyle w:val="08Bulletsseriesofsentences"/>
      </w:pPr>
      <w:r w:rsidRPr="00917AD5">
        <w:t xml:space="preserve">Guidelines </w:t>
      </w:r>
      <w:r w:rsidRPr="00FC25C7">
        <w:t>recommend vasodilator treatment</w:t>
      </w:r>
      <w:r w:rsidR="00876752" w:rsidRPr="00FC25C7">
        <w:t xml:space="preserve"> with </w:t>
      </w:r>
      <w:r w:rsidR="005C0AEF">
        <w:t>C</w:t>
      </w:r>
      <w:r w:rsidR="003E052A" w:rsidRPr="00FC25C7">
        <w:t>CBs</w:t>
      </w:r>
      <w:r w:rsidR="005C0AEF">
        <w:t xml:space="preserve"> </w:t>
      </w:r>
      <w:r w:rsidR="003E052A" w:rsidRPr="00FC25C7">
        <w:t>for</w:t>
      </w:r>
      <w:r w:rsidRPr="00FC25C7">
        <w:t xml:space="preserve"> patients with IPAH, HPAH and PAH-DT (but not for PAH-CTD) and </w:t>
      </w:r>
      <w:proofErr w:type="gramStart"/>
      <w:r w:rsidRPr="00FC25C7">
        <w:t>who also</w:t>
      </w:r>
      <w:proofErr w:type="gramEnd"/>
      <w:r w:rsidRPr="00FC25C7">
        <w:t xml:space="preserve"> have a positive response to an acute vasoreactivity test during </w:t>
      </w:r>
      <w:r w:rsidR="008077B8">
        <w:t>right heart catherisation (</w:t>
      </w:r>
      <w:r w:rsidRPr="00FC25C7">
        <w:t>RHC</w:t>
      </w:r>
      <w:r w:rsidR="008077B8">
        <w:t>)</w:t>
      </w:r>
      <w:r w:rsidRPr="00FC25C7">
        <w:t xml:space="preserve">. The PBS restrictions however, require vasodilator treatment </w:t>
      </w:r>
      <w:r w:rsidR="00876752" w:rsidRPr="00FC25C7">
        <w:t>with CCB</w:t>
      </w:r>
      <w:r w:rsidR="003E052A" w:rsidRPr="00FC25C7">
        <w:t>s</w:t>
      </w:r>
      <w:r w:rsidR="00876752" w:rsidRPr="00FC25C7">
        <w:t xml:space="preserve"> </w:t>
      </w:r>
      <w:r w:rsidRPr="00FC25C7">
        <w:t>in WHO FC III patients with IPAH, HPAH, PAH-DT and PAH-CTD with a mean right atrial pressure (mRAP) of 8m</w:t>
      </w:r>
      <w:r w:rsidR="00EE1F96">
        <w:t>mHg of less as measured by RHC.</w:t>
      </w:r>
    </w:p>
    <w:p w14:paraId="03770043" w14:textId="16569B84" w:rsidR="009D6EE3" w:rsidRPr="00FC25C7" w:rsidRDefault="009D6EE3" w:rsidP="00921D13">
      <w:pPr>
        <w:pStyle w:val="08Bulletsseriesofsentences"/>
      </w:pPr>
      <w:r w:rsidRPr="00FC25C7">
        <w:t xml:space="preserve">Guidelines define a positive response to an acute vasoreactivity test during RHC as a decrease in </w:t>
      </w:r>
      <w:r w:rsidR="008077B8" w:rsidRPr="00FC25C7">
        <w:t xml:space="preserve">mean pulmonary arterial pressure </w:t>
      </w:r>
      <w:r w:rsidR="008077B8">
        <w:t>(</w:t>
      </w:r>
      <w:r w:rsidRPr="00FC25C7">
        <w:t>mPAP</w:t>
      </w:r>
      <w:r w:rsidR="008077B8">
        <w:t>)</w:t>
      </w:r>
      <w:r w:rsidRPr="00FC25C7">
        <w:t xml:space="preserve"> &gt;10 </w:t>
      </w:r>
      <w:r w:rsidR="00067504">
        <w:t>mmHg</w:t>
      </w:r>
      <w:r w:rsidRPr="00FC25C7">
        <w:t>, to a</w:t>
      </w:r>
      <w:r w:rsidR="002D2902">
        <w:t>n</w:t>
      </w:r>
      <w:r w:rsidRPr="00FC25C7">
        <w:t xml:space="preserve"> mPAP &lt;40 </w:t>
      </w:r>
      <w:r w:rsidR="00067504">
        <w:t>mmHg</w:t>
      </w:r>
      <w:r w:rsidRPr="00FC25C7">
        <w:t xml:space="preserve">, with no worsening of cardiac output. The PBS restrictions define the criteria for vasodilator treatment </w:t>
      </w:r>
      <w:r w:rsidR="00876752" w:rsidRPr="00FC25C7">
        <w:t xml:space="preserve">with CCBs </w:t>
      </w:r>
      <w:r w:rsidRPr="00FC25C7">
        <w:t xml:space="preserve">as being in FC III with mRAP of 8mmHg of less as measured by RHC. There are safety concerns surrounding vasodilator treatment </w:t>
      </w:r>
      <w:r w:rsidR="00876752" w:rsidRPr="00FC25C7">
        <w:t xml:space="preserve">with CCBs </w:t>
      </w:r>
      <w:r w:rsidRPr="00FC25C7">
        <w:t>without a positive response to an acute vasodilator test.</w:t>
      </w:r>
    </w:p>
    <w:p w14:paraId="0751B008" w14:textId="77777777" w:rsidR="009D6EE3" w:rsidRPr="00FC25C7" w:rsidRDefault="009D6EE3" w:rsidP="00921D13">
      <w:pPr>
        <w:pStyle w:val="08Bulletsseriesofsentences"/>
      </w:pPr>
      <w:r w:rsidRPr="00FC25C7">
        <w:t xml:space="preserve">Vasodilator treatment </w:t>
      </w:r>
      <w:r w:rsidR="00876752" w:rsidRPr="00FC25C7">
        <w:t xml:space="preserve">with CCBs </w:t>
      </w:r>
      <w:r w:rsidRPr="00FC25C7">
        <w:t xml:space="preserve">should lead to dramatic clinical improvements with the first months of treatment. Close follow-up with complete reassessment </w:t>
      </w:r>
      <w:proofErr w:type="gramStart"/>
      <w:r w:rsidRPr="00FC25C7">
        <w:t>is recommended</w:t>
      </w:r>
      <w:proofErr w:type="gramEnd"/>
      <w:r w:rsidRPr="00FC25C7">
        <w:t xml:space="preserve"> after three to four months of therapy (including RHC)</w:t>
      </w:r>
      <w:r w:rsidR="005A470D" w:rsidRPr="00FC25C7">
        <w:t xml:space="preserve">. </w:t>
      </w:r>
      <w:r w:rsidRPr="00FC25C7">
        <w:t>The PBS restrictions require a detail from a trial</w:t>
      </w:r>
      <w:r w:rsidR="00EE1F96">
        <w:t xml:space="preserve"> of minimum six weeks duration.</w:t>
      </w:r>
    </w:p>
    <w:p w14:paraId="63DAE464" w14:textId="77777777" w:rsidR="009D6EE3" w:rsidRDefault="009D6EE3" w:rsidP="00921D13">
      <w:pPr>
        <w:pStyle w:val="08Bulletsseriesofsentences"/>
      </w:pPr>
      <w:r w:rsidRPr="00FC25C7">
        <w:t xml:space="preserve">Guideline recommend additional therapy with PAH medicines, if the patient does not show an adequate response to </w:t>
      </w:r>
      <w:r w:rsidR="00F77FC8">
        <w:t>treatment</w:t>
      </w:r>
      <w:r w:rsidR="00876752">
        <w:t xml:space="preserve"> with CCBs</w:t>
      </w:r>
      <w:r w:rsidRPr="005671A1">
        <w:t xml:space="preserve">, defined as </w:t>
      </w:r>
      <w:r w:rsidRPr="00373B5B">
        <w:t>being in WHO-FC I-II and with</w:t>
      </w:r>
      <w:r w:rsidRPr="005671A1">
        <w:t xml:space="preserve"> a marked haemody</w:t>
      </w:r>
      <w:r>
        <w:t>namic improvement (near normalis</w:t>
      </w:r>
      <w:r w:rsidRPr="005671A1">
        <w:t>ation</w:t>
      </w:r>
      <w:r>
        <w:t>)</w:t>
      </w:r>
      <w:r w:rsidRPr="005671A1">
        <w:t>.</w:t>
      </w:r>
    </w:p>
    <w:p w14:paraId="5F78C716" w14:textId="77777777" w:rsidR="009D6EE3" w:rsidRPr="009062F9" w:rsidRDefault="009062F9" w:rsidP="00921D13">
      <w:pPr>
        <w:pStyle w:val="08Bulletsseriesofsentences"/>
      </w:pPr>
      <w:r w:rsidRPr="009062F9">
        <w:t>Guideline</w:t>
      </w:r>
      <w:r w:rsidR="00756B06" w:rsidRPr="009062F9">
        <w:t xml:space="preserve"> recommendations </w:t>
      </w:r>
      <w:r w:rsidR="006452D3" w:rsidRPr="009062F9">
        <w:t>for</w:t>
      </w:r>
      <w:r w:rsidR="00756B06" w:rsidRPr="009062F9">
        <w:t xml:space="preserve"> hypertension referral centres </w:t>
      </w:r>
      <w:r>
        <w:t>specify</w:t>
      </w:r>
      <w:r w:rsidR="00756B06" w:rsidRPr="009062F9">
        <w:t xml:space="preserve"> annual patient numbers as centres with a high volume of patients ten</w:t>
      </w:r>
      <w:r w:rsidR="000240D6">
        <w:t>d to obtain the best outcomes.</w:t>
      </w:r>
    </w:p>
    <w:p w14:paraId="377A9360" w14:textId="77777777" w:rsidR="00CE28F2" w:rsidRPr="002D7AC6" w:rsidRDefault="00CE28F2" w:rsidP="00121658">
      <w:pPr>
        <w:pStyle w:val="Heading3"/>
        <w:jc w:val="left"/>
      </w:pPr>
      <w:bookmarkStart w:id="106" w:name="_Toc38377496"/>
      <w:r>
        <w:lastRenderedPageBreak/>
        <w:t xml:space="preserve">Key findings </w:t>
      </w:r>
      <w:r w:rsidR="002E566F">
        <w:t xml:space="preserve">for </w:t>
      </w:r>
      <w:r>
        <w:t>research question 3</w:t>
      </w:r>
      <w:bookmarkEnd w:id="106"/>
    </w:p>
    <w:p w14:paraId="7474916E" w14:textId="77777777" w:rsidR="00CE28F2" w:rsidRPr="009062F9" w:rsidRDefault="0063711F" w:rsidP="00121658">
      <w:pPr>
        <w:pStyle w:val="BodyText"/>
        <w:jc w:val="left"/>
        <w:rPr>
          <w:rFonts w:asciiTheme="minorHAnsi" w:hAnsiTheme="minorHAnsi"/>
          <w:i/>
        </w:rPr>
      </w:pPr>
      <w:r w:rsidRPr="009062F9">
        <w:rPr>
          <w:rFonts w:asciiTheme="minorHAnsi" w:hAnsiTheme="minorHAnsi"/>
          <w:i/>
        </w:rPr>
        <w:t xml:space="preserve">Research Question 3: </w:t>
      </w:r>
      <w:r w:rsidR="00CE28F2" w:rsidRPr="009062F9">
        <w:rPr>
          <w:rFonts w:asciiTheme="minorHAnsi" w:hAnsiTheme="minorHAnsi"/>
          <w:i/>
        </w:rPr>
        <w:t>Are the current diagnostic and prognostic criteria in PBS restrictions for patients with PAH consistent with Australian and international guidelines?</w:t>
      </w:r>
    </w:p>
    <w:p w14:paraId="36FC14B5" w14:textId="77777777" w:rsidR="00CE28F2" w:rsidRDefault="00CE28F2" w:rsidP="00921D13">
      <w:pPr>
        <w:pStyle w:val="08Bulletsseriesofsentences"/>
      </w:pPr>
      <w:r>
        <w:t xml:space="preserve">Current PBS restrictions specify three diagnostic </w:t>
      </w:r>
      <w:r w:rsidRPr="002D7AC6">
        <w:t>assessments</w:t>
      </w:r>
      <w:r>
        <w:t xml:space="preserve"> at baseline and first continuation </w:t>
      </w:r>
      <w:r w:rsidRPr="002D7AC6">
        <w:t xml:space="preserve">for </w:t>
      </w:r>
      <w:r>
        <w:t>PAH</w:t>
      </w:r>
      <w:r w:rsidRPr="002D7AC6">
        <w:t xml:space="preserve"> treatment</w:t>
      </w:r>
      <w:r>
        <w:t xml:space="preserve"> subsidy: </w:t>
      </w:r>
      <w:r w:rsidRPr="002D7AC6">
        <w:t>RHC, 6MWD and echocardiography.</w:t>
      </w:r>
    </w:p>
    <w:p w14:paraId="7FB34562" w14:textId="77777777" w:rsidR="00CE28F2" w:rsidRDefault="00CE28F2" w:rsidP="003D0C4C">
      <w:pPr>
        <w:pStyle w:val="08Bulletsseriesofsentences"/>
        <w:numPr>
          <w:ilvl w:val="0"/>
          <w:numId w:val="0"/>
        </w:numPr>
        <w:ind w:left="714"/>
      </w:pPr>
      <w:r>
        <w:t>B</w:t>
      </w:r>
      <w:r w:rsidRPr="00B25CA4">
        <w:t xml:space="preserve">ased on guideline recommendations, the assessments that </w:t>
      </w:r>
      <w:r>
        <w:t>form the basis of</w:t>
      </w:r>
      <w:r w:rsidRPr="00B25CA4">
        <w:t xml:space="preserve"> treatment choices would includ</w:t>
      </w:r>
      <w:r>
        <w:t xml:space="preserve">e an assessment of the patient’s risk of PAH deterioration based on a suite of parameters taken at baseline, and which provide the basis for monitoring and follow-up. </w:t>
      </w:r>
      <w:proofErr w:type="gramStart"/>
      <w:r>
        <w:t>However</w:t>
      </w:r>
      <w:proofErr w:type="gramEnd"/>
      <w:r>
        <w:t xml:space="preserve"> t</w:t>
      </w:r>
      <w:r w:rsidRPr="00CE28F2">
        <w:t xml:space="preserve">here </w:t>
      </w:r>
      <w:r>
        <w:t>is</w:t>
      </w:r>
      <w:r w:rsidRPr="00CE28F2">
        <w:t xml:space="preserve"> no definitive set of parameters for patient risk</w:t>
      </w:r>
      <w:r w:rsidR="00DD1381">
        <w:t xml:space="preserve"> assessment</w:t>
      </w:r>
      <w:r w:rsidR="00A74BFB">
        <w:t xml:space="preserve"> (</w:t>
      </w:r>
      <w:r w:rsidR="003D0C4C">
        <w:t>Table 1.1</w:t>
      </w:r>
      <w:r w:rsidR="00A74BFB">
        <w:t>)</w:t>
      </w:r>
      <w:r w:rsidR="00DD1381">
        <w:t>.</w:t>
      </w:r>
    </w:p>
    <w:p w14:paraId="1B79B471" w14:textId="77777777" w:rsidR="00092364" w:rsidRPr="00092364" w:rsidRDefault="00F41286" w:rsidP="00921D13">
      <w:pPr>
        <w:pStyle w:val="08Bulletsseriesofsentences"/>
      </w:pPr>
      <w:proofErr w:type="gramStart"/>
      <w:r>
        <w:t>PAH</w:t>
      </w:r>
      <w:proofErr w:type="gramEnd"/>
      <w:r>
        <w:t xml:space="preserve"> </w:t>
      </w:r>
      <w:r w:rsidR="00CE28F2">
        <w:t xml:space="preserve">treatment decisions without RHC are not recommended unless RHC is contraindicated. Where RHC is unavailable or contraindicated, </w:t>
      </w:r>
      <w:r w:rsidR="00067B4C">
        <w:t>t</w:t>
      </w:r>
      <w:r w:rsidR="00067B4C" w:rsidRPr="00922EA4">
        <w:t xml:space="preserve">he current </w:t>
      </w:r>
      <w:r w:rsidR="00E863CF">
        <w:t xml:space="preserve">PBS restriction defines PAH as </w:t>
      </w:r>
      <w:r w:rsidR="00092364" w:rsidRPr="00E863CF">
        <w:t>right ventricular systolic pressure (RVSP), assessed by echocardiography (ECHO), greater than 40 mmHg, with normal left ventricular function.</w:t>
      </w:r>
      <w:r w:rsidR="00E863CF" w:rsidRPr="00E863CF">
        <w:t xml:space="preserve"> </w:t>
      </w:r>
      <w:r w:rsidR="00E863CF">
        <w:t>The</w:t>
      </w:r>
      <w:r w:rsidR="00E863CF" w:rsidRPr="00E863CF">
        <w:t xml:space="preserve"> guidelines</w:t>
      </w:r>
      <w:r w:rsidR="00E863CF">
        <w:t xml:space="preserve"> recommend measurement of peak Tricuspid Regurgitation Velocity (TRV) as the key </w:t>
      </w:r>
      <w:proofErr w:type="spellStart"/>
      <w:r w:rsidR="00E863CF">
        <w:t>cardiographic</w:t>
      </w:r>
      <w:proofErr w:type="spellEnd"/>
      <w:r w:rsidR="00E863CF">
        <w:t xml:space="preserve"> variable predictive of PAH. </w:t>
      </w:r>
      <w:r w:rsidR="00E863CF" w:rsidRPr="00E863CF">
        <w:t>PAH is likely if TRV is ≥2.9ms−1 and additional echocardiographic variables suggestive of PH are present, or if TRV is ≥3.4 m·s−1 with no other signs</w:t>
      </w:r>
      <w:r w:rsidR="00E863CF">
        <w:t xml:space="preserve">. Other variables include measures for the ventricles, the pulmonary artery and the inferior vena cava and right atrium. In the absence of TRV, clinical feature suggestive of PAH </w:t>
      </w:r>
      <w:proofErr w:type="gramStart"/>
      <w:r w:rsidR="00E863CF">
        <w:t>are given</w:t>
      </w:r>
      <w:proofErr w:type="gramEnd"/>
      <w:r w:rsidR="00E863CF">
        <w:t xml:space="preserve"> in </w:t>
      </w:r>
      <w:r w:rsidR="00505D99">
        <w:t>Table 1.</w:t>
      </w:r>
      <w:r w:rsidR="00505D99">
        <w:rPr>
          <w:noProof/>
        </w:rPr>
        <w:t>9</w:t>
      </w:r>
      <w:r w:rsidR="00EE1F96">
        <w:t>.</w:t>
      </w:r>
    </w:p>
    <w:p w14:paraId="270C2600" w14:textId="77777777" w:rsidR="0004089D" w:rsidRDefault="009810C6" w:rsidP="007275E6">
      <w:pPr>
        <w:pStyle w:val="BodyTextnospacebefore"/>
      </w:pPr>
      <w:r>
        <w:t xml:space="preserve">The alignment between PBS restrictions, TGA indications and guideline recommendations is summarised in </w:t>
      </w:r>
      <w:r w:rsidR="007275E6">
        <w:t>Table 1.1</w:t>
      </w:r>
      <w:r>
        <w:t>.</w:t>
      </w:r>
    </w:p>
    <w:p w14:paraId="181A8467" w14:textId="77777777" w:rsidR="001646A7" w:rsidRPr="007151BC" w:rsidRDefault="001646A7" w:rsidP="001646A7">
      <w:pPr>
        <w:pStyle w:val="BodyText"/>
        <w:rPr>
          <w:rFonts w:ascii="Calibri" w:hAnsi="Calibri"/>
        </w:rPr>
      </w:pPr>
    </w:p>
    <w:p w14:paraId="4C5611F3" w14:textId="77777777" w:rsidR="001646A7" w:rsidRPr="007151BC" w:rsidRDefault="001646A7" w:rsidP="001646A7">
      <w:pPr>
        <w:pStyle w:val="BodyText"/>
        <w:rPr>
          <w:rFonts w:ascii="Calibri" w:hAnsi="Calibri"/>
        </w:rPr>
        <w:sectPr w:rsidR="001646A7" w:rsidRPr="007151BC" w:rsidSect="0004089D">
          <w:headerReference w:type="even" r:id="rId23"/>
          <w:headerReference w:type="default" r:id="rId24"/>
          <w:footerReference w:type="default" r:id="rId25"/>
          <w:footnotePr>
            <w:numFmt w:val="chicago"/>
          </w:footnotePr>
          <w:pgSz w:w="11906" w:h="16838"/>
          <w:pgMar w:top="1440" w:right="1440" w:bottom="1440" w:left="1440" w:header="708" w:footer="708" w:gutter="0"/>
          <w:cols w:space="708"/>
          <w:titlePg/>
          <w:docGrid w:linePitch="360"/>
        </w:sectPr>
      </w:pPr>
    </w:p>
    <w:p w14:paraId="1CFB6967" w14:textId="77777777" w:rsidR="0004089D" w:rsidRPr="002F3393" w:rsidRDefault="0004089D" w:rsidP="00121658">
      <w:pPr>
        <w:rPr>
          <w:sz w:val="8"/>
          <w:szCs w:val="16"/>
        </w:rPr>
      </w:pPr>
    </w:p>
    <w:p w14:paraId="74074AE3" w14:textId="77777777" w:rsidR="006C7733" w:rsidRPr="002F3393" w:rsidRDefault="006C7733" w:rsidP="00121658">
      <w:pPr>
        <w:spacing w:before="0" w:line="240" w:lineRule="auto"/>
        <w:rPr>
          <w:sz w:val="8"/>
          <w:szCs w:val="16"/>
        </w:rPr>
      </w:pPr>
    </w:p>
    <w:p w14:paraId="56D0E8B0" w14:textId="77777777" w:rsidR="000B7685" w:rsidRDefault="00A365C4" w:rsidP="00A365C4">
      <w:pPr>
        <w:pStyle w:val="Caption"/>
      </w:pPr>
      <w:bookmarkStart w:id="107" w:name="_Ref510798083"/>
      <w:bookmarkStart w:id="108" w:name="_Toc29377247"/>
      <w:bookmarkStart w:id="109" w:name="_Ref508895856"/>
      <w:r>
        <w:t>Table 1.</w:t>
      </w:r>
      <w:r w:rsidR="00505D99">
        <w:rPr>
          <w:noProof/>
        </w:rPr>
        <w:t>1</w:t>
      </w:r>
      <w:bookmarkEnd w:id="107"/>
      <w:r w:rsidRPr="000B7685">
        <w:t xml:space="preserve"> </w:t>
      </w:r>
      <w:r>
        <w:tab/>
        <w:t>Summary of PBS-TGA-PAH Guidelines alignment</w:t>
      </w:r>
      <w:bookmarkEnd w:id="108"/>
    </w:p>
    <w:tbl>
      <w:tblPr>
        <w:tblStyle w:val="TableGrid"/>
        <w:tblW w:w="0" w:type="auto"/>
        <w:tblLook w:val="04A0" w:firstRow="1" w:lastRow="0" w:firstColumn="1" w:lastColumn="0" w:noHBand="0" w:noVBand="1"/>
        <w:tblCaption w:val="Summary of PBS-TGA-PAH Guidelines alignment"/>
      </w:tblPr>
      <w:tblGrid>
        <w:gridCol w:w="1705"/>
        <w:gridCol w:w="3538"/>
        <w:gridCol w:w="3540"/>
        <w:gridCol w:w="5165"/>
      </w:tblGrid>
      <w:tr w:rsidR="006C7733" w:rsidRPr="009810C6" w14:paraId="096BD287" w14:textId="77777777" w:rsidTr="006C7733">
        <w:trPr>
          <w:cnfStyle w:val="100000000000" w:firstRow="1" w:lastRow="0" w:firstColumn="0" w:lastColumn="0" w:oddVBand="0" w:evenVBand="0" w:oddHBand="0" w:evenHBand="0" w:firstRowFirstColumn="0" w:firstRowLastColumn="0" w:lastRowFirstColumn="0" w:lastRowLastColumn="0"/>
        </w:trPr>
        <w:tc>
          <w:tcPr>
            <w:tcW w:w="1706" w:type="dxa"/>
          </w:tcPr>
          <w:bookmarkEnd w:id="109"/>
          <w:p w14:paraId="277B9C74" w14:textId="77777777" w:rsidR="006C7733" w:rsidRPr="002E566F" w:rsidRDefault="006C7733" w:rsidP="004F012F">
            <w:pPr>
              <w:spacing w:before="0" w:line="240" w:lineRule="auto"/>
              <w:ind w:left="147" w:right="57" w:hanging="5"/>
              <w:contextualSpacing/>
              <w:rPr>
                <w:rFonts w:ascii="Arial" w:hAnsi="Arial" w:cs="Arial"/>
                <w:b/>
                <w:sz w:val="20"/>
                <w:szCs w:val="20"/>
              </w:rPr>
            </w:pPr>
            <w:r w:rsidRPr="002E566F">
              <w:rPr>
                <w:rFonts w:ascii="Arial" w:hAnsi="Arial" w:cs="Arial"/>
                <w:b/>
                <w:sz w:val="20"/>
                <w:szCs w:val="20"/>
              </w:rPr>
              <w:t>Criterion</w:t>
            </w:r>
          </w:p>
        </w:tc>
        <w:tc>
          <w:tcPr>
            <w:tcW w:w="3544" w:type="dxa"/>
          </w:tcPr>
          <w:p w14:paraId="4C2DD2ED" w14:textId="77777777" w:rsidR="006C7733" w:rsidRPr="002E566F" w:rsidRDefault="006C7733" w:rsidP="004F012F">
            <w:pPr>
              <w:spacing w:before="0" w:line="240" w:lineRule="auto"/>
              <w:ind w:left="142" w:right="57"/>
              <w:contextualSpacing/>
              <w:rPr>
                <w:rFonts w:ascii="Arial" w:hAnsi="Arial" w:cs="Arial"/>
                <w:b/>
                <w:sz w:val="20"/>
                <w:szCs w:val="20"/>
              </w:rPr>
            </w:pPr>
            <w:r w:rsidRPr="002E566F">
              <w:rPr>
                <w:rFonts w:ascii="Arial" w:hAnsi="Arial" w:cs="Arial"/>
                <w:b/>
                <w:sz w:val="20"/>
                <w:szCs w:val="20"/>
              </w:rPr>
              <w:t>PBS Listings</w:t>
            </w:r>
          </w:p>
        </w:tc>
        <w:tc>
          <w:tcPr>
            <w:tcW w:w="3544" w:type="dxa"/>
          </w:tcPr>
          <w:p w14:paraId="15019E33" w14:textId="77777777" w:rsidR="006C7733" w:rsidRPr="002E566F" w:rsidRDefault="006C7733" w:rsidP="004F012F">
            <w:pPr>
              <w:spacing w:before="0" w:line="240" w:lineRule="auto"/>
              <w:ind w:left="142" w:right="57"/>
              <w:contextualSpacing/>
              <w:rPr>
                <w:rFonts w:ascii="Arial" w:hAnsi="Arial" w:cs="Arial"/>
                <w:b/>
                <w:sz w:val="20"/>
                <w:szCs w:val="20"/>
              </w:rPr>
            </w:pPr>
            <w:r w:rsidRPr="002E566F">
              <w:rPr>
                <w:rFonts w:ascii="Arial" w:hAnsi="Arial" w:cs="Arial"/>
                <w:b/>
                <w:sz w:val="20"/>
                <w:szCs w:val="20"/>
              </w:rPr>
              <w:t>TGA Status</w:t>
            </w:r>
          </w:p>
        </w:tc>
        <w:tc>
          <w:tcPr>
            <w:tcW w:w="5174" w:type="dxa"/>
          </w:tcPr>
          <w:p w14:paraId="7A1EC4AB" w14:textId="77777777" w:rsidR="006C7733" w:rsidRPr="002E566F" w:rsidRDefault="006C7733" w:rsidP="004F012F">
            <w:pPr>
              <w:spacing w:before="0" w:line="240" w:lineRule="auto"/>
              <w:ind w:left="142" w:right="57"/>
              <w:contextualSpacing/>
              <w:rPr>
                <w:rFonts w:ascii="Arial" w:hAnsi="Arial" w:cs="Arial"/>
                <w:b/>
                <w:sz w:val="20"/>
                <w:szCs w:val="20"/>
              </w:rPr>
            </w:pPr>
            <w:r w:rsidRPr="002E566F">
              <w:rPr>
                <w:rFonts w:ascii="Arial" w:hAnsi="Arial" w:cs="Arial"/>
                <w:b/>
                <w:sz w:val="20"/>
                <w:szCs w:val="20"/>
              </w:rPr>
              <w:t>PAH Guidelines</w:t>
            </w:r>
          </w:p>
        </w:tc>
      </w:tr>
      <w:tr w:rsidR="006C7733" w:rsidRPr="009810C6" w14:paraId="45B135BD" w14:textId="77777777" w:rsidTr="006C7733">
        <w:tc>
          <w:tcPr>
            <w:tcW w:w="1706" w:type="dxa"/>
          </w:tcPr>
          <w:p w14:paraId="08784902" w14:textId="77777777" w:rsidR="006C7733" w:rsidRPr="002E566F" w:rsidRDefault="006C7733" w:rsidP="004F012F">
            <w:pPr>
              <w:spacing w:before="0" w:line="240" w:lineRule="auto"/>
              <w:ind w:left="147" w:right="57" w:hanging="5"/>
              <w:contextualSpacing/>
              <w:rPr>
                <w:rFonts w:ascii="Arial" w:hAnsi="Arial" w:cs="Arial"/>
                <w:sz w:val="20"/>
                <w:szCs w:val="20"/>
              </w:rPr>
            </w:pPr>
            <w:r w:rsidRPr="002E566F">
              <w:rPr>
                <w:rFonts w:ascii="Arial" w:hAnsi="Arial" w:cs="Arial"/>
                <w:sz w:val="20"/>
                <w:szCs w:val="20"/>
              </w:rPr>
              <w:t>WHO functional class</w:t>
            </w:r>
          </w:p>
        </w:tc>
        <w:tc>
          <w:tcPr>
            <w:tcW w:w="3544" w:type="dxa"/>
          </w:tcPr>
          <w:p w14:paraId="09957B8A"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Subsidy: WHO FC III-IV</w:t>
            </w:r>
          </w:p>
          <w:p w14:paraId="46B11E3F"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No subsidy: WHO FC I-II</w:t>
            </w:r>
          </w:p>
          <w:p w14:paraId="13E22ACF"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Status is unspecified following improvement to WHO FC I-</w:t>
            </w:r>
            <w:r w:rsidR="004F012F">
              <w:rPr>
                <w:rFonts w:ascii="Arial" w:hAnsi="Arial" w:cs="Arial"/>
                <w:sz w:val="20"/>
                <w:szCs w:val="20"/>
              </w:rPr>
              <w:t>II (from more advanced disease)</w:t>
            </w:r>
            <w:r w:rsidR="00011758">
              <w:rPr>
                <w:rFonts w:ascii="Arial" w:hAnsi="Arial" w:cs="Arial"/>
                <w:sz w:val="20"/>
                <w:szCs w:val="20"/>
              </w:rPr>
              <w:t xml:space="preserve"> </w:t>
            </w:r>
          </w:p>
        </w:tc>
        <w:tc>
          <w:tcPr>
            <w:tcW w:w="3544" w:type="dxa"/>
          </w:tcPr>
          <w:p w14:paraId="66910B75"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Prostanoids: WHO FC Class III-IV only</w:t>
            </w:r>
          </w:p>
          <w:p w14:paraId="6571738C"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PDE</w:t>
            </w:r>
            <w:r w:rsidRPr="002E566F">
              <w:rPr>
                <w:rFonts w:ascii="Arial" w:hAnsi="Arial" w:cs="Arial"/>
                <w:sz w:val="20"/>
                <w:szCs w:val="20"/>
              </w:rPr>
              <w:noBreakHyphen/>
              <w:t>5i: WHO FC Class II-III only</w:t>
            </w:r>
          </w:p>
          <w:p w14:paraId="4C6ABF37" w14:textId="77777777" w:rsidR="006C7733" w:rsidRPr="002E566F" w:rsidRDefault="004F012F" w:rsidP="004F012F">
            <w:pPr>
              <w:spacing w:before="0" w:line="240" w:lineRule="auto"/>
              <w:ind w:left="142" w:right="57"/>
              <w:contextualSpacing/>
              <w:rPr>
                <w:rFonts w:ascii="Arial" w:hAnsi="Arial" w:cs="Arial"/>
                <w:sz w:val="20"/>
                <w:szCs w:val="20"/>
              </w:rPr>
            </w:pPr>
            <w:r>
              <w:rPr>
                <w:rFonts w:ascii="Arial" w:hAnsi="Arial" w:cs="Arial"/>
                <w:sz w:val="20"/>
                <w:szCs w:val="20"/>
              </w:rPr>
              <w:t>ERAs, riociguat: WHO FC II-IV</w:t>
            </w:r>
          </w:p>
        </w:tc>
        <w:tc>
          <w:tcPr>
            <w:tcW w:w="5174" w:type="dxa"/>
          </w:tcPr>
          <w:p w14:paraId="36367666"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Monitoring for WHO FC I (except if status reached following improvement of more advanced disease)</w:t>
            </w:r>
          </w:p>
          <w:p w14:paraId="62690397"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Oral agents for WHO FC II</w:t>
            </w:r>
          </w:p>
          <w:p w14:paraId="71BB9E34"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Oral agents (including PDE</w:t>
            </w:r>
            <w:r w:rsidRPr="002E566F">
              <w:rPr>
                <w:rFonts w:ascii="Arial" w:hAnsi="Arial" w:cs="Arial"/>
                <w:sz w:val="20"/>
                <w:szCs w:val="20"/>
              </w:rPr>
              <w:noBreakHyphen/>
              <w:t>5i) or prostanoids for WHO FC III-IV</w:t>
            </w:r>
          </w:p>
        </w:tc>
      </w:tr>
      <w:tr w:rsidR="006C7733" w:rsidRPr="009810C6" w14:paraId="3C9CACD6" w14:textId="77777777" w:rsidTr="006C7733">
        <w:tc>
          <w:tcPr>
            <w:tcW w:w="1706" w:type="dxa"/>
          </w:tcPr>
          <w:p w14:paraId="3A676F73" w14:textId="77777777" w:rsidR="006C7733" w:rsidRPr="002E566F" w:rsidRDefault="006C7733" w:rsidP="004F012F">
            <w:pPr>
              <w:spacing w:before="0" w:line="240" w:lineRule="auto"/>
              <w:ind w:left="147" w:right="57" w:hanging="5"/>
              <w:contextualSpacing/>
              <w:rPr>
                <w:rFonts w:ascii="Arial" w:hAnsi="Arial" w:cs="Arial"/>
                <w:sz w:val="20"/>
                <w:szCs w:val="20"/>
              </w:rPr>
            </w:pPr>
            <w:r w:rsidRPr="002E566F">
              <w:rPr>
                <w:rFonts w:ascii="Arial" w:hAnsi="Arial" w:cs="Arial"/>
                <w:sz w:val="20"/>
                <w:szCs w:val="20"/>
              </w:rPr>
              <w:t>Oral PAH medicines place in therapy</w:t>
            </w:r>
          </w:p>
        </w:tc>
        <w:tc>
          <w:tcPr>
            <w:tcW w:w="3544" w:type="dxa"/>
          </w:tcPr>
          <w:p w14:paraId="2D2B55D0"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PDE</w:t>
            </w:r>
            <w:r w:rsidRPr="002E566F">
              <w:rPr>
                <w:rFonts w:ascii="Arial" w:hAnsi="Arial" w:cs="Arial"/>
                <w:sz w:val="20"/>
                <w:szCs w:val="20"/>
              </w:rPr>
              <w:noBreakHyphen/>
              <w:t xml:space="preserve">5 inhibitors </w:t>
            </w:r>
            <w:r w:rsidR="002A6762" w:rsidRPr="002E566F">
              <w:rPr>
                <w:rFonts w:ascii="Arial" w:hAnsi="Arial" w:cs="Arial"/>
                <w:sz w:val="20"/>
                <w:szCs w:val="20"/>
              </w:rPr>
              <w:t>-</w:t>
            </w:r>
            <w:r w:rsidRPr="002E566F">
              <w:rPr>
                <w:rFonts w:ascii="Arial" w:hAnsi="Arial" w:cs="Arial"/>
                <w:sz w:val="20"/>
                <w:szCs w:val="20"/>
              </w:rPr>
              <w:t xml:space="preserve"> WHO FC III</w:t>
            </w:r>
          </w:p>
          <w:p w14:paraId="7287C787"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ERAs</w:t>
            </w:r>
            <w:r w:rsidR="002A6762" w:rsidRPr="002E566F">
              <w:rPr>
                <w:rFonts w:ascii="Arial" w:hAnsi="Arial" w:cs="Arial"/>
                <w:sz w:val="20"/>
                <w:szCs w:val="20"/>
              </w:rPr>
              <w:t xml:space="preserve"> -</w:t>
            </w:r>
            <w:r w:rsidRPr="002E566F">
              <w:rPr>
                <w:rFonts w:ascii="Arial" w:hAnsi="Arial" w:cs="Arial"/>
                <w:sz w:val="20"/>
                <w:szCs w:val="20"/>
              </w:rPr>
              <w:t xml:space="preserve"> WHO FC III-IV</w:t>
            </w:r>
          </w:p>
          <w:p w14:paraId="5DFE845F" w14:textId="77777777" w:rsidR="002A6762" w:rsidRPr="002E566F" w:rsidRDefault="002A6762" w:rsidP="004F012F">
            <w:pPr>
              <w:spacing w:before="0" w:line="240" w:lineRule="auto"/>
              <w:ind w:left="142" w:right="57"/>
              <w:contextualSpacing/>
              <w:rPr>
                <w:rFonts w:ascii="Arial" w:hAnsi="Arial" w:cs="Arial"/>
                <w:sz w:val="20"/>
                <w:szCs w:val="20"/>
              </w:rPr>
            </w:pPr>
            <w:proofErr w:type="spellStart"/>
            <w:r w:rsidRPr="002E566F">
              <w:rPr>
                <w:rFonts w:ascii="Arial" w:hAnsi="Arial" w:cs="Arial"/>
                <w:sz w:val="20"/>
                <w:szCs w:val="20"/>
              </w:rPr>
              <w:t>sGC</w:t>
            </w:r>
            <w:proofErr w:type="spellEnd"/>
            <w:r w:rsidRPr="002E566F">
              <w:rPr>
                <w:rFonts w:ascii="Arial" w:hAnsi="Arial" w:cs="Arial"/>
                <w:sz w:val="20"/>
                <w:szCs w:val="20"/>
              </w:rPr>
              <w:t xml:space="preserve"> stimulator - WHO FC III-IV</w:t>
            </w:r>
          </w:p>
        </w:tc>
        <w:tc>
          <w:tcPr>
            <w:tcW w:w="3544" w:type="dxa"/>
          </w:tcPr>
          <w:p w14:paraId="082913F2"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As for WHO FC. See</w:t>
            </w:r>
            <w:r w:rsidR="00D368DF">
              <w:rPr>
                <w:rFonts w:ascii="Arial" w:hAnsi="Arial" w:cs="Arial"/>
                <w:sz w:val="20"/>
                <w:szCs w:val="20"/>
              </w:rPr>
              <w:t xml:space="preserve"> </w:t>
            </w:r>
            <w:r w:rsidR="00505D99" w:rsidRPr="00505D99">
              <w:rPr>
                <w:rFonts w:ascii="Arial" w:hAnsi="Arial" w:cs="Arial"/>
                <w:sz w:val="20"/>
                <w:szCs w:val="20"/>
              </w:rPr>
              <w:t>Table 1.16</w:t>
            </w:r>
            <w:r w:rsidRPr="001E2909">
              <w:rPr>
                <w:rFonts w:ascii="Arial" w:hAnsi="Arial" w:cs="Arial"/>
                <w:sz w:val="20"/>
                <w:szCs w:val="20"/>
              </w:rPr>
              <w:t>.</w:t>
            </w:r>
          </w:p>
          <w:p w14:paraId="2AEEDFD1" w14:textId="77777777" w:rsidR="009D6EE3" w:rsidRPr="002E566F" w:rsidRDefault="009D6EE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PDE-5i - WHO FC Class II-III</w:t>
            </w:r>
          </w:p>
          <w:p w14:paraId="290D118B" w14:textId="77777777" w:rsidR="009D6EE3" w:rsidRPr="002E566F" w:rsidRDefault="009D6EE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ERA - WHO FC II-IV</w:t>
            </w:r>
          </w:p>
          <w:p w14:paraId="7566D94F" w14:textId="77777777" w:rsidR="006C7733" w:rsidRPr="002E566F" w:rsidRDefault="009D6EE3" w:rsidP="004F012F">
            <w:pPr>
              <w:spacing w:before="0" w:line="240" w:lineRule="auto"/>
              <w:ind w:left="142" w:right="57"/>
              <w:contextualSpacing/>
              <w:rPr>
                <w:rFonts w:ascii="Arial" w:hAnsi="Arial" w:cs="Arial"/>
                <w:sz w:val="20"/>
                <w:szCs w:val="20"/>
              </w:rPr>
            </w:pPr>
            <w:proofErr w:type="spellStart"/>
            <w:r w:rsidRPr="002E566F">
              <w:rPr>
                <w:rFonts w:ascii="Arial" w:hAnsi="Arial" w:cs="Arial"/>
                <w:sz w:val="20"/>
                <w:szCs w:val="20"/>
              </w:rPr>
              <w:t>sGC</w:t>
            </w:r>
            <w:proofErr w:type="spellEnd"/>
            <w:r w:rsidRPr="002E566F">
              <w:rPr>
                <w:rFonts w:ascii="Arial" w:hAnsi="Arial" w:cs="Arial"/>
                <w:sz w:val="20"/>
                <w:szCs w:val="20"/>
              </w:rPr>
              <w:t xml:space="preserve"> stimulator - WHO FC II-IV</w:t>
            </w:r>
          </w:p>
        </w:tc>
        <w:tc>
          <w:tcPr>
            <w:tcW w:w="5174" w:type="dxa"/>
          </w:tcPr>
          <w:p w14:paraId="05ABA769" w14:textId="77777777" w:rsidR="006C7733" w:rsidRPr="002E566F" w:rsidRDefault="006C7733" w:rsidP="004F012F">
            <w:pPr>
              <w:spacing w:before="0" w:line="240" w:lineRule="auto"/>
              <w:ind w:left="142" w:right="57"/>
              <w:contextualSpacing/>
              <w:rPr>
                <w:rFonts w:ascii="Arial" w:hAnsi="Arial" w:cs="Arial"/>
                <w:sz w:val="20"/>
                <w:szCs w:val="20"/>
              </w:rPr>
            </w:pPr>
            <w:proofErr w:type="spellStart"/>
            <w:r w:rsidRPr="002E566F">
              <w:rPr>
                <w:rFonts w:ascii="Arial" w:hAnsi="Arial" w:cs="Arial"/>
                <w:sz w:val="20"/>
                <w:szCs w:val="20"/>
              </w:rPr>
              <w:t>SoC</w:t>
            </w:r>
            <w:proofErr w:type="spellEnd"/>
            <w:r w:rsidRPr="002E566F">
              <w:rPr>
                <w:rFonts w:ascii="Arial" w:hAnsi="Arial" w:cs="Arial"/>
                <w:sz w:val="20"/>
                <w:szCs w:val="20"/>
              </w:rPr>
              <w:t xml:space="preserve"> for WHO FC II-III</w:t>
            </w:r>
          </w:p>
          <w:p w14:paraId="2542166D"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In combination with other oral agents or prostanoids for WHO FC IV</w:t>
            </w:r>
          </w:p>
          <w:p w14:paraId="73631EAC"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No recommendations based on line of therapy (1</w:t>
            </w:r>
            <w:r w:rsidRPr="002E566F">
              <w:rPr>
                <w:rFonts w:ascii="Arial" w:hAnsi="Arial" w:cs="Arial"/>
                <w:sz w:val="20"/>
                <w:szCs w:val="20"/>
                <w:vertAlign w:val="superscript"/>
              </w:rPr>
              <w:t>st</w:t>
            </w:r>
            <w:r w:rsidRPr="002E566F">
              <w:rPr>
                <w:rFonts w:ascii="Arial" w:hAnsi="Arial" w:cs="Arial"/>
                <w:sz w:val="20"/>
                <w:szCs w:val="20"/>
              </w:rPr>
              <w:t xml:space="preserve"> line </w:t>
            </w:r>
            <w:proofErr w:type="spellStart"/>
            <w:r w:rsidRPr="002E566F">
              <w:rPr>
                <w:rFonts w:ascii="Arial" w:hAnsi="Arial" w:cs="Arial"/>
                <w:sz w:val="20"/>
                <w:szCs w:val="20"/>
              </w:rPr>
              <w:t>etc</w:t>
            </w:r>
            <w:proofErr w:type="spellEnd"/>
            <w:r w:rsidRPr="002E566F">
              <w:rPr>
                <w:rFonts w:ascii="Arial" w:hAnsi="Arial" w:cs="Arial"/>
                <w:sz w:val="20"/>
                <w:szCs w:val="20"/>
              </w:rPr>
              <w:t>)</w:t>
            </w:r>
          </w:p>
        </w:tc>
      </w:tr>
      <w:tr w:rsidR="006C7733" w:rsidRPr="009810C6" w14:paraId="3EF72B7B" w14:textId="77777777" w:rsidTr="006C7733">
        <w:tc>
          <w:tcPr>
            <w:tcW w:w="1706" w:type="dxa"/>
          </w:tcPr>
          <w:p w14:paraId="619F6D6D" w14:textId="77777777" w:rsidR="006C7733" w:rsidRPr="002E566F" w:rsidRDefault="006C7733" w:rsidP="004F012F">
            <w:pPr>
              <w:spacing w:before="0" w:line="240" w:lineRule="auto"/>
              <w:ind w:left="147" w:right="57" w:hanging="5"/>
              <w:contextualSpacing/>
              <w:rPr>
                <w:rFonts w:ascii="Arial" w:hAnsi="Arial" w:cs="Arial"/>
                <w:sz w:val="20"/>
                <w:szCs w:val="20"/>
              </w:rPr>
            </w:pPr>
            <w:r w:rsidRPr="002E566F">
              <w:rPr>
                <w:rFonts w:ascii="Arial" w:hAnsi="Arial" w:cs="Arial"/>
                <w:sz w:val="20"/>
                <w:szCs w:val="20"/>
              </w:rPr>
              <w:t>Prostanoids place in therapy</w:t>
            </w:r>
          </w:p>
        </w:tc>
        <w:tc>
          <w:tcPr>
            <w:tcW w:w="3544" w:type="dxa"/>
          </w:tcPr>
          <w:p w14:paraId="3C35C6B7" w14:textId="77777777" w:rsidR="002A6762" w:rsidRPr="002E566F" w:rsidRDefault="002A6762"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epoprostenol - 2nd line WHO FC III,</w:t>
            </w:r>
          </w:p>
          <w:p w14:paraId="76152555" w14:textId="77777777" w:rsidR="002A6762" w:rsidRPr="002E566F" w:rsidRDefault="002A6762"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1st line in FC IV</w:t>
            </w:r>
          </w:p>
          <w:p w14:paraId="24461954" w14:textId="77777777" w:rsidR="002A6762" w:rsidRPr="002E566F" w:rsidRDefault="002A6762"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iloprost for PAH-DT FC III-IV and</w:t>
            </w:r>
          </w:p>
          <w:p w14:paraId="30467146" w14:textId="77777777" w:rsidR="002A6762" w:rsidRPr="002E566F" w:rsidRDefault="002A6762"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FC IV.</w:t>
            </w:r>
          </w:p>
          <w:p w14:paraId="19746864" w14:textId="77777777" w:rsidR="006C7733" w:rsidRPr="002E566F" w:rsidRDefault="002A6762" w:rsidP="004F012F">
            <w:pPr>
              <w:spacing w:before="0" w:line="240" w:lineRule="auto"/>
              <w:ind w:left="142" w:right="57"/>
              <w:contextualSpacing/>
              <w:rPr>
                <w:rFonts w:ascii="Arial" w:hAnsi="Arial" w:cs="Arial"/>
                <w:i/>
                <w:sz w:val="20"/>
                <w:szCs w:val="20"/>
              </w:rPr>
            </w:pPr>
            <w:r w:rsidRPr="002E566F">
              <w:rPr>
                <w:rFonts w:ascii="Arial" w:hAnsi="Arial" w:cs="Arial"/>
                <w:sz w:val="20"/>
                <w:szCs w:val="20"/>
              </w:rPr>
              <w:t>No prostanoids listed for PAH-CHD</w:t>
            </w:r>
            <w:r w:rsidRPr="002E566F" w:rsidDel="002A6762">
              <w:rPr>
                <w:rFonts w:ascii="Arial" w:hAnsi="Arial" w:cs="Arial"/>
                <w:sz w:val="20"/>
                <w:szCs w:val="20"/>
              </w:rPr>
              <w:t xml:space="preserve"> </w:t>
            </w:r>
          </w:p>
        </w:tc>
        <w:tc>
          <w:tcPr>
            <w:tcW w:w="3544" w:type="dxa"/>
          </w:tcPr>
          <w:p w14:paraId="21D595A1" w14:textId="77777777" w:rsidR="00CE16FA" w:rsidRDefault="006C7733" w:rsidP="00CE16FA">
            <w:pPr>
              <w:spacing w:before="0" w:line="240" w:lineRule="auto"/>
              <w:ind w:left="142" w:right="57"/>
              <w:contextualSpacing/>
              <w:rPr>
                <w:rFonts w:ascii="Arial" w:hAnsi="Arial" w:cs="Arial"/>
                <w:sz w:val="20"/>
                <w:szCs w:val="20"/>
              </w:rPr>
            </w:pPr>
            <w:r w:rsidRPr="002E566F">
              <w:rPr>
                <w:rFonts w:ascii="Arial" w:hAnsi="Arial" w:cs="Arial"/>
                <w:sz w:val="20"/>
                <w:szCs w:val="20"/>
              </w:rPr>
              <w:t>See</w:t>
            </w:r>
            <w:r w:rsidR="00CE16FA">
              <w:rPr>
                <w:rFonts w:ascii="Arial" w:hAnsi="Arial" w:cs="Arial"/>
                <w:sz w:val="20"/>
                <w:szCs w:val="20"/>
              </w:rPr>
              <w:t xml:space="preserve"> Table 1.16</w:t>
            </w:r>
            <w:r w:rsidR="00165E64">
              <w:rPr>
                <w:rFonts w:ascii="Arial" w:hAnsi="Arial" w:cs="Arial"/>
                <w:sz w:val="20"/>
                <w:szCs w:val="20"/>
              </w:rPr>
              <w:t>.</w:t>
            </w:r>
          </w:p>
          <w:p w14:paraId="19D9F80A" w14:textId="77777777" w:rsidR="006C7733" w:rsidRPr="002E566F" w:rsidRDefault="00CE16FA" w:rsidP="00CE16FA">
            <w:pPr>
              <w:spacing w:before="0" w:line="240" w:lineRule="auto"/>
              <w:ind w:left="142" w:right="57"/>
              <w:contextualSpacing/>
              <w:rPr>
                <w:rFonts w:ascii="Arial" w:hAnsi="Arial" w:cs="Arial"/>
                <w:sz w:val="20"/>
                <w:szCs w:val="20"/>
              </w:rPr>
            </w:pPr>
            <w:r>
              <w:rPr>
                <w:rFonts w:ascii="Arial" w:hAnsi="Arial" w:cs="Arial"/>
                <w:sz w:val="20"/>
                <w:szCs w:val="20"/>
              </w:rPr>
              <w:t xml:space="preserve">No </w:t>
            </w:r>
            <w:r w:rsidR="006C7733" w:rsidRPr="002E566F">
              <w:rPr>
                <w:rFonts w:ascii="Arial" w:hAnsi="Arial" w:cs="Arial"/>
                <w:sz w:val="20"/>
                <w:szCs w:val="20"/>
              </w:rPr>
              <w:t>p</w:t>
            </w:r>
            <w:r w:rsidR="004F012F">
              <w:rPr>
                <w:rFonts w:ascii="Arial" w:hAnsi="Arial" w:cs="Arial"/>
                <w:sz w:val="20"/>
                <w:szCs w:val="20"/>
              </w:rPr>
              <w:t>rostanoids approved for PAH-CHD</w:t>
            </w:r>
            <w:r w:rsidR="006C7733" w:rsidRPr="002E566F">
              <w:rPr>
                <w:rFonts w:ascii="Arial" w:hAnsi="Arial" w:cs="Arial"/>
                <w:sz w:val="20"/>
                <w:szCs w:val="20"/>
              </w:rPr>
              <w:t xml:space="preserve"> </w:t>
            </w:r>
          </w:p>
        </w:tc>
        <w:tc>
          <w:tcPr>
            <w:tcW w:w="5174" w:type="dxa"/>
          </w:tcPr>
          <w:p w14:paraId="5A0D5419"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Recommended for WHO FC III (especially high risk) and WHO FC IV</w:t>
            </w:r>
          </w:p>
          <w:p w14:paraId="4C603353"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No recommendations based on line of therapy</w:t>
            </w:r>
          </w:p>
          <w:p w14:paraId="219DD4BD"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Recommendations for PAH-CHD are consensus based but are otherwise consistent with WHO Group 1 conditions</w:t>
            </w:r>
          </w:p>
        </w:tc>
      </w:tr>
      <w:tr w:rsidR="006C7733" w:rsidRPr="009810C6" w14:paraId="5C9F63EC" w14:textId="77777777" w:rsidTr="006C7733">
        <w:tc>
          <w:tcPr>
            <w:tcW w:w="1706" w:type="dxa"/>
          </w:tcPr>
          <w:p w14:paraId="2B4BD8D7" w14:textId="77777777" w:rsidR="006C7733" w:rsidRPr="002E566F" w:rsidRDefault="006C7733" w:rsidP="004F012F">
            <w:pPr>
              <w:spacing w:before="0" w:line="240" w:lineRule="auto"/>
              <w:ind w:left="147" w:right="57" w:hanging="5"/>
              <w:contextualSpacing/>
              <w:rPr>
                <w:rFonts w:ascii="Arial" w:hAnsi="Arial" w:cs="Arial"/>
                <w:sz w:val="20"/>
                <w:szCs w:val="20"/>
              </w:rPr>
            </w:pPr>
            <w:r w:rsidRPr="002E566F">
              <w:rPr>
                <w:rFonts w:ascii="Arial" w:hAnsi="Arial" w:cs="Arial"/>
                <w:sz w:val="20"/>
                <w:szCs w:val="20"/>
              </w:rPr>
              <w:t>PAH subtypes</w:t>
            </w:r>
          </w:p>
        </w:tc>
        <w:tc>
          <w:tcPr>
            <w:tcW w:w="3544" w:type="dxa"/>
          </w:tcPr>
          <w:p w14:paraId="17CA6AB4"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Subsidy: IPAH, HPAH, PAH-CTD, PAH-DT</w:t>
            </w:r>
          </w:p>
          <w:p w14:paraId="4B6C3084"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Subsidy – oral agents only: PAH-CHD</w:t>
            </w:r>
          </w:p>
          <w:p w14:paraId="108E097A"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No subsidy: PAH-HIV, PAH-PH</w:t>
            </w:r>
          </w:p>
        </w:tc>
        <w:tc>
          <w:tcPr>
            <w:tcW w:w="3544" w:type="dxa"/>
          </w:tcPr>
          <w:p w14:paraId="340E58C6" w14:textId="77777777" w:rsidR="006C7733" w:rsidRPr="002E566F" w:rsidRDefault="00CE16FA"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See</w:t>
            </w:r>
            <w:r>
              <w:rPr>
                <w:rFonts w:ascii="Arial" w:hAnsi="Arial" w:cs="Arial"/>
                <w:sz w:val="20"/>
                <w:szCs w:val="20"/>
              </w:rPr>
              <w:t xml:space="preserve"> Table 1.16</w:t>
            </w:r>
            <w:r w:rsidR="00D368DF">
              <w:rPr>
                <w:rFonts w:ascii="Arial" w:hAnsi="Arial" w:cs="Arial"/>
                <w:sz w:val="20"/>
                <w:szCs w:val="20"/>
              </w:rPr>
              <w:t>.</w:t>
            </w:r>
          </w:p>
          <w:p w14:paraId="25707A66"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 xml:space="preserve">Sildenafil, tadalafil and </w:t>
            </w:r>
            <w:proofErr w:type="spellStart"/>
            <w:r w:rsidRPr="002E566F">
              <w:rPr>
                <w:rFonts w:ascii="Arial" w:hAnsi="Arial" w:cs="Arial"/>
                <w:sz w:val="20"/>
                <w:szCs w:val="20"/>
              </w:rPr>
              <w:t>ambrisentan+tadalafil</w:t>
            </w:r>
            <w:proofErr w:type="spellEnd"/>
            <w:r w:rsidRPr="002E566F">
              <w:rPr>
                <w:rFonts w:ascii="Arial" w:hAnsi="Arial" w:cs="Arial"/>
                <w:sz w:val="20"/>
                <w:szCs w:val="20"/>
              </w:rPr>
              <w:t xml:space="preserve"> </w:t>
            </w:r>
            <w:r w:rsidR="003332C4" w:rsidRPr="002E566F">
              <w:rPr>
                <w:rFonts w:ascii="Arial" w:hAnsi="Arial" w:cs="Arial"/>
                <w:sz w:val="20"/>
                <w:szCs w:val="20"/>
              </w:rPr>
              <w:t xml:space="preserve">combination </w:t>
            </w:r>
            <w:r w:rsidRPr="002E566F">
              <w:rPr>
                <w:rFonts w:ascii="Arial" w:hAnsi="Arial" w:cs="Arial"/>
                <w:sz w:val="20"/>
                <w:szCs w:val="20"/>
              </w:rPr>
              <w:t>indications for Group 1 PAH</w:t>
            </w:r>
          </w:p>
          <w:p w14:paraId="6714660E"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Only iloprost specifically approved for PAH-DT</w:t>
            </w:r>
          </w:p>
          <w:p w14:paraId="149C2079"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No prostan</w:t>
            </w:r>
            <w:r w:rsidR="004F012F">
              <w:rPr>
                <w:rFonts w:ascii="Arial" w:hAnsi="Arial" w:cs="Arial"/>
                <w:sz w:val="20"/>
                <w:szCs w:val="20"/>
              </w:rPr>
              <w:t>oids approved for PAH-CHD</w:t>
            </w:r>
            <w:r w:rsidRPr="002E566F">
              <w:rPr>
                <w:rFonts w:ascii="Arial" w:hAnsi="Arial" w:cs="Arial"/>
                <w:sz w:val="20"/>
                <w:szCs w:val="20"/>
              </w:rPr>
              <w:t xml:space="preserve"> </w:t>
            </w:r>
          </w:p>
        </w:tc>
        <w:tc>
          <w:tcPr>
            <w:tcW w:w="5174" w:type="dxa"/>
          </w:tcPr>
          <w:p w14:paraId="44967F53"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Treatment recommendations apply to all WHO Group 1 conditions</w:t>
            </w:r>
          </w:p>
        </w:tc>
      </w:tr>
      <w:tr w:rsidR="006C7733" w:rsidRPr="009810C6" w14:paraId="1B1A3A5D" w14:textId="77777777" w:rsidTr="006C7733">
        <w:tc>
          <w:tcPr>
            <w:tcW w:w="1706" w:type="dxa"/>
          </w:tcPr>
          <w:p w14:paraId="69C94D97" w14:textId="77777777" w:rsidR="006C7733" w:rsidRPr="002E566F" w:rsidRDefault="006C7733" w:rsidP="004F012F">
            <w:pPr>
              <w:spacing w:before="0" w:line="240" w:lineRule="auto"/>
              <w:ind w:left="147" w:right="57" w:hanging="5"/>
              <w:contextualSpacing/>
              <w:rPr>
                <w:rFonts w:ascii="Arial" w:hAnsi="Arial" w:cs="Arial"/>
                <w:sz w:val="20"/>
                <w:szCs w:val="20"/>
              </w:rPr>
            </w:pPr>
            <w:r w:rsidRPr="002E566F">
              <w:rPr>
                <w:rFonts w:ascii="Arial" w:hAnsi="Arial" w:cs="Arial"/>
                <w:sz w:val="20"/>
                <w:szCs w:val="20"/>
              </w:rPr>
              <w:t>Monotherapy</w:t>
            </w:r>
          </w:p>
        </w:tc>
        <w:tc>
          <w:tcPr>
            <w:tcW w:w="3544" w:type="dxa"/>
          </w:tcPr>
          <w:p w14:paraId="6AB29988"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All restrictions including after disease progression</w:t>
            </w:r>
          </w:p>
        </w:tc>
        <w:tc>
          <w:tcPr>
            <w:tcW w:w="3544" w:type="dxa"/>
          </w:tcPr>
          <w:p w14:paraId="60B8E406" w14:textId="77777777" w:rsidR="006C7733" w:rsidRPr="002E566F" w:rsidRDefault="006C7733" w:rsidP="004F012F">
            <w:pPr>
              <w:spacing w:before="0" w:line="240" w:lineRule="auto"/>
              <w:ind w:left="142" w:right="57"/>
              <w:contextualSpacing/>
              <w:rPr>
                <w:rFonts w:ascii="Arial" w:hAnsi="Arial" w:cs="Arial"/>
                <w:sz w:val="20"/>
                <w:szCs w:val="20"/>
              </w:rPr>
            </w:pPr>
            <w:r w:rsidRPr="00D368DF">
              <w:rPr>
                <w:rFonts w:ascii="Arial" w:hAnsi="Arial" w:cs="Arial"/>
                <w:sz w:val="20"/>
                <w:szCs w:val="20"/>
              </w:rPr>
              <w:t xml:space="preserve">See </w:t>
            </w:r>
            <w:r w:rsidR="00505D99" w:rsidRPr="00505D99">
              <w:rPr>
                <w:rFonts w:ascii="Arial" w:hAnsi="Arial" w:cs="Arial"/>
                <w:sz w:val="20"/>
                <w:szCs w:val="20"/>
              </w:rPr>
              <w:t>Table 1.16</w:t>
            </w:r>
            <w:r w:rsidR="00D368DF">
              <w:rPr>
                <w:rFonts w:ascii="Arial" w:hAnsi="Arial" w:cs="Arial"/>
                <w:sz w:val="20"/>
                <w:szCs w:val="20"/>
              </w:rPr>
              <w:t>.</w:t>
            </w:r>
          </w:p>
          <w:p w14:paraId="3010B06B"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Ambrisentan mono: IPAH, HPAH only</w:t>
            </w:r>
          </w:p>
        </w:tc>
        <w:tc>
          <w:tcPr>
            <w:tcW w:w="5174" w:type="dxa"/>
          </w:tcPr>
          <w:p w14:paraId="0B4CC47A"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Initial monotherapy recommended for treatment naïve patients without high risk factors (WHO FC II-III)</w:t>
            </w:r>
          </w:p>
        </w:tc>
      </w:tr>
      <w:tr w:rsidR="006C7733" w:rsidRPr="009810C6" w14:paraId="3D33EF1B" w14:textId="77777777" w:rsidTr="006C7733">
        <w:tc>
          <w:tcPr>
            <w:tcW w:w="1706" w:type="dxa"/>
          </w:tcPr>
          <w:p w14:paraId="583DC48C" w14:textId="77777777" w:rsidR="006C7733" w:rsidRPr="002E566F" w:rsidRDefault="006C7733" w:rsidP="004F012F">
            <w:pPr>
              <w:spacing w:before="0" w:line="240" w:lineRule="auto"/>
              <w:ind w:left="147" w:right="57" w:hanging="5"/>
              <w:contextualSpacing/>
              <w:rPr>
                <w:rFonts w:ascii="Arial" w:hAnsi="Arial" w:cs="Arial"/>
                <w:sz w:val="20"/>
                <w:szCs w:val="20"/>
              </w:rPr>
            </w:pPr>
            <w:r w:rsidRPr="002E566F">
              <w:rPr>
                <w:rFonts w:ascii="Arial" w:hAnsi="Arial" w:cs="Arial"/>
                <w:sz w:val="20"/>
                <w:szCs w:val="20"/>
              </w:rPr>
              <w:lastRenderedPageBreak/>
              <w:t>Initial combination therapy</w:t>
            </w:r>
          </w:p>
        </w:tc>
        <w:tc>
          <w:tcPr>
            <w:tcW w:w="3544" w:type="dxa"/>
          </w:tcPr>
          <w:p w14:paraId="54AA02A1"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Not permitted (treatment must be the sole PBS-subsidised PAH agent)</w:t>
            </w:r>
          </w:p>
        </w:tc>
        <w:tc>
          <w:tcPr>
            <w:tcW w:w="3544" w:type="dxa"/>
          </w:tcPr>
          <w:p w14:paraId="1933B72D"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PAH medicines approved for add-on or combination use:</w:t>
            </w:r>
          </w:p>
          <w:p w14:paraId="70070745"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 Ambrisen</w:t>
            </w:r>
            <w:r w:rsidR="004F012F">
              <w:rPr>
                <w:rFonts w:ascii="Arial" w:hAnsi="Arial" w:cs="Arial"/>
                <w:sz w:val="20"/>
                <w:szCs w:val="20"/>
              </w:rPr>
              <w:t>tan + tadalafil</w:t>
            </w:r>
          </w:p>
          <w:p w14:paraId="58AEDEAC"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 Macitenta</w:t>
            </w:r>
            <w:r w:rsidR="004F012F">
              <w:rPr>
                <w:rFonts w:ascii="Arial" w:hAnsi="Arial" w:cs="Arial"/>
                <w:sz w:val="20"/>
                <w:szCs w:val="20"/>
              </w:rPr>
              <w:t>n +PDE</w:t>
            </w:r>
            <w:r w:rsidR="004F012F">
              <w:rPr>
                <w:rFonts w:ascii="Arial" w:hAnsi="Arial" w:cs="Arial"/>
                <w:sz w:val="20"/>
                <w:szCs w:val="20"/>
              </w:rPr>
              <w:noBreakHyphen/>
              <w:t>5 inhibitors or iloprost</w:t>
            </w:r>
            <w:r w:rsidRPr="002E566F">
              <w:rPr>
                <w:rFonts w:ascii="Arial" w:hAnsi="Arial" w:cs="Arial"/>
                <w:sz w:val="20"/>
                <w:szCs w:val="20"/>
              </w:rPr>
              <w:t xml:space="preserve"> </w:t>
            </w:r>
          </w:p>
          <w:p w14:paraId="47A14905"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 Riociguat +ERAs or iloprost</w:t>
            </w:r>
          </w:p>
        </w:tc>
        <w:tc>
          <w:tcPr>
            <w:tcW w:w="5174" w:type="dxa"/>
          </w:tcPr>
          <w:p w14:paraId="117B2B2C"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Recommended for WHO FC III and WHO FC IV with high risk factors (</w:t>
            </w:r>
            <w:r w:rsidR="008F6AA4">
              <w:rPr>
                <w:rFonts w:ascii="Arial" w:hAnsi="Arial" w:cs="Arial"/>
                <w:sz w:val="20"/>
                <w:szCs w:val="20"/>
              </w:rPr>
              <w:t>2015 ESC/ERS Guidelines</w:t>
            </w:r>
            <w:r w:rsidRPr="002E566F">
              <w:rPr>
                <w:rFonts w:ascii="Arial" w:hAnsi="Arial" w:cs="Arial"/>
                <w:sz w:val="20"/>
                <w:szCs w:val="20"/>
              </w:rPr>
              <w:t xml:space="preserve"> also recommends initial oral combination as an option for WHO FC II)</w:t>
            </w:r>
          </w:p>
        </w:tc>
      </w:tr>
      <w:tr w:rsidR="006C7733" w:rsidRPr="009810C6" w14:paraId="0192E073" w14:textId="77777777" w:rsidTr="006C7733">
        <w:trPr>
          <w:trHeight w:val="22"/>
        </w:trPr>
        <w:tc>
          <w:tcPr>
            <w:tcW w:w="1706" w:type="dxa"/>
          </w:tcPr>
          <w:p w14:paraId="0C68BA86" w14:textId="77777777" w:rsidR="006C7733" w:rsidRPr="002E566F" w:rsidRDefault="006C7733" w:rsidP="004F012F">
            <w:pPr>
              <w:spacing w:before="0" w:line="240" w:lineRule="auto"/>
              <w:ind w:left="147" w:right="57" w:hanging="5"/>
              <w:contextualSpacing/>
              <w:rPr>
                <w:rFonts w:ascii="Arial" w:hAnsi="Arial" w:cs="Arial"/>
                <w:sz w:val="20"/>
                <w:szCs w:val="20"/>
              </w:rPr>
            </w:pPr>
            <w:r w:rsidRPr="002E566F">
              <w:rPr>
                <w:rFonts w:ascii="Arial" w:hAnsi="Arial" w:cs="Arial"/>
                <w:sz w:val="20"/>
                <w:szCs w:val="20"/>
              </w:rPr>
              <w:t>Sequential combination therapy</w:t>
            </w:r>
          </w:p>
        </w:tc>
        <w:tc>
          <w:tcPr>
            <w:tcW w:w="3544" w:type="dxa"/>
          </w:tcPr>
          <w:p w14:paraId="28C866BF"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Not permitted (as for initial combination, also patients who fail to respond must cease therapy with that agent)</w:t>
            </w:r>
          </w:p>
        </w:tc>
        <w:tc>
          <w:tcPr>
            <w:tcW w:w="3544" w:type="dxa"/>
          </w:tcPr>
          <w:p w14:paraId="2B1A6C7A"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As for initial combination therapy.</w:t>
            </w:r>
          </w:p>
        </w:tc>
        <w:tc>
          <w:tcPr>
            <w:tcW w:w="5174" w:type="dxa"/>
          </w:tcPr>
          <w:p w14:paraId="2FC05BEA" w14:textId="77777777" w:rsidR="006C7733" w:rsidRPr="002E566F" w:rsidRDefault="006C7733" w:rsidP="004F012F">
            <w:pPr>
              <w:spacing w:before="0" w:line="240" w:lineRule="auto"/>
              <w:ind w:left="142" w:right="57"/>
              <w:contextualSpacing/>
              <w:rPr>
                <w:rFonts w:ascii="Arial" w:hAnsi="Arial" w:cs="Arial"/>
                <w:sz w:val="20"/>
                <w:szCs w:val="20"/>
              </w:rPr>
            </w:pPr>
            <w:proofErr w:type="spellStart"/>
            <w:r w:rsidRPr="002E566F">
              <w:rPr>
                <w:rFonts w:ascii="Arial" w:hAnsi="Arial" w:cs="Arial"/>
                <w:sz w:val="20"/>
                <w:szCs w:val="20"/>
              </w:rPr>
              <w:t>SoC</w:t>
            </w:r>
            <w:proofErr w:type="spellEnd"/>
            <w:r w:rsidRPr="002E566F">
              <w:rPr>
                <w:rFonts w:ascii="Arial" w:hAnsi="Arial" w:cs="Arial"/>
                <w:sz w:val="20"/>
                <w:szCs w:val="20"/>
              </w:rPr>
              <w:t xml:space="preserve"> for patients WHO FC II-IV with inadequate response, up to a maximum of 3 PAH medici</w:t>
            </w:r>
            <w:r w:rsidR="004F012F">
              <w:rPr>
                <w:rFonts w:ascii="Arial" w:hAnsi="Arial" w:cs="Arial"/>
                <w:sz w:val="20"/>
                <w:szCs w:val="20"/>
              </w:rPr>
              <w:t>nes</w:t>
            </w:r>
          </w:p>
        </w:tc>
      </w:tr>
      <w:tr w:rsidR="006C7733" w:rsidRPr="009810C6" w14:paraId="2357B8EE" w14:textId="77777777" w:rsidTr="006C7733">
        <w:tc>
          <w:tcPr>
            <w:tcW w:w="1706" w:type="dxa"/>
          </w:tcPr>
          <w:p w14:paraId="7AB95758" w14:textId="77777777" w:rsidR="006C7733" w:rsidRPr="002E566F" w:rsidRDefault="006C7733" w:rsidP="004F012F">
            <w:pPr>
              <w:spacing w:before="0" w:line="240" w:lineRule="auto"/>
              <w:ind w:left="147" w:right="57" w:hanging="5"/>
              <w:contextualSpacing/>
              <w:rPr>
                <w:rFonts w:ascii="Arial" w:hAnsi="Arial" w:cs="Arial"/>
                <w:sz w:val="20"/>
                <w:szCs w:val="20"/>
              </w:rPr>
            </w:pPr>
            <w:r w:rsidRPr="002E566F">
              <w:rPr>
                <w:rFonts w:ascii="Arial" w:hAnsi="Arial" w:cs="Arial"/>
                <w:sz w:val="20"/>
                <w:szCs w:val="20"/>
              </w:rPr>
              <w:t>RHC</w:t>
            </w:r>
          </w:p>
        </w:tc>
        <w:tc>
          <w:tcPr>
            <w:tcW w:w="3544" w:type="dxa"/>
          </w:tcPr>
          <w:p w14:paraId="3358B452"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 xml:space="preserve">One of 3 key assessments </w:t>
            </w:r>
            <w:r w:rsidR="009D6EE3" w:rsidRPr="002E566F">
              <w:rPr>
                <w:rFonts w:ascii="Arial" w:hAnsi="Arial" w:cs="Arial"/>
                <w:sz w:val="20"/>
                <w:szCs w:val="20"/>
              </w:rPr>
              <w:t xml:space="preserve">to provide a baseline measurement </w:t>
            </w:r>
            <w:r w:rsidRPr="002E566F">
              <w:rPr>
                <w:rFonts w:ascii="Arial" w:hAnsi="Arial" w:cs="Arial"/>
                <w:sz w:val="20"/>
                <w:szCs w:val="20"/>
              </w:rPr>
              <w:t>– not always required (with justification)</w:t>
            </w:r>
          </w:p>
        </w:tc>
        <w:tc>
          <w:tcPr>
            <w:tcW w:w="3544" w:type="dxa"/>
          </w:tcPr>
          <w:p w14:paraId="6D0A7BA3" w14:textId="77777777" w:rsidR="006C7733" w:rsidRPr="002E566F" w:rsidRDefault="006C7733" w:rsidP="004F012F">
            <w:pPr>
              <w:spacing w:before="0" w:line="240" w:lineRule="auto"/>
              <w:ind w:left="142" w:right="57"/>
              <w:contextualSpacing/>
              <w:jc w:val="center"/>
              <w:rPr>
                <w:rFonts w:ascii="Arial" w:hAnsi="Arial" w:cs="Arial"/>
                <w:sz w:val="20"/>
                <w:szCs w:val="20"/>
              </w:rPr>
            </w:pPr>
            <w:r w:rsidRPr="002E566F">
              <w:rPr>
                <w:rFonts w:ascii="Arial" w:hAnsi="Arial" w:cs="Arial"/>
                <w:sz w:val="20"/>
                <w:szCs w:val="20"/>
              </w:rPr>
              <w:t>—</w:t>
            </w:r>
          </w:p>
        </w:tc>
        <w:tc>
          <w:tcPr>
            <w:tcW w:w="5174" w:type="dxa"/>
          </w:tcPr>
          <w:p w14:paraId="463611DA"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RHC is gold standard for diagnosis of PAH – essential unless explicitly contraindicated. RHC rel</w:t>
            </w:r>
            <w:r w:rsidR="004F012F">
              <w:rPr>
                <w:rFonts w:ascii="Arial" w:hAnsi="Arial" w:cs="Arial"/>
                <w:sz w:val="20"/>
                <w:szCs w:val="20"/>
              </w:rPr>
              <w:t>ies on ECHO as preliminary test</w:t>
            </w:r>
            <w:r w:rsidR="00011758">
              <w:rPr>
                <w:rFonts w:ascii="Arial" w:hAnsi="Arial" w:cs="Arial"/>
                <w:sz w:val="20"/>
                <w:szCs w:val="20"/>
              </w:rPr>
              <w:t xml:space="preserve"> </w:t>
            </w:r>
          </w:p>
        </w:tc>
      </w:tr>
      <w:tr w:rsidR="006C7733" w:rsidRPr="009810C6" w14:paraId="37BF836E" w14:textId="77777777" w:rsidTr="006C7733">
        <w:tc>
          <w:tcPr>
            <w:tcW w:w="1706" w:type="dxa"/>
          </w:tcPr>
          <w:p w14:paraId="775E490A" w14:textId="77777777" w:rsidR="006C7733" w:rsidRPr="002E566F" w:rsidRDefault="006C7733" w:rsidP="004F012F">
            <w:pPr>
              <w:spacing w:before="0" w:line="240" w:lineRule="auto"/>
              <w:ind w:left="147" w:right="57" w:hanging="5"/>
              <w:contextualSpacing/>
              <w:rPr>
                <w:rFonts w:ascii="Arial" w:hAnsi="Arial" w:cs="Arial"/>
                <w:sz w:val="20"/>
                <w:szCs w:val="20"/>
              </w:rPr>
            </w:pPr>
            <w:r w:rsidRPr="002E566F">
              <w:rPr>
                <w:rFonts w:ascii="Arial" w:hAnsi="Arial" w:cs="Arial"/>
                <w:sz w:val="20"/>
                <w:szCs w:val="20"/>
              </w:rPr>
              <w:t>ECHO</w:t>
            </w:r>
          </w:p>
        </w:tc>
        <w:tc>
          <w:tcPr>
            <w:tcW w:w="3544" w:type="dxa"/>
          </w:tcPr>
          <w:p w14:paraId="772508E1"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 xml:space="preserve">One of 3 key assessments </w:t>
            </w:r>
            <w:r w:rsidR="009D6EE3" w:rsidRPr="002E566F">
              <w:rPr>
                <w:rFonts w:ascii="Arial" w:hAnsi="Arial" w:cs="Arial"/>
                <w:sz w:val="20"/>
                <w:szCs w:val="20"/>
              </w:rPr>
              <w:t xml:space="preserve">to provide a baseline measurement </w:t>
            </w:r>
            <w:r w:rsidRPr="002E566F">
              <w:rPr>
                <w:rFonts w:ascii="Arial" w:hAnsi="Arial" w:cs="Arial"/>
                <w:sz w:val="20"/>
                <w:szCs w:val="20"/>
              </w:rPr>
              <w:t>– not always required (with justification)</w:t>
            </w:r>
          </w:p>
        </w:tc>
        <w:tc>
          <w:tcPr>
            <w:tcW w:w="3544" w:type="dxa"/>
          </w:tcPr>
          <w:p w14:paraId="62D29081" w14:textId="77777777" w:rsidR="006C7733" w:rsidRPr="002E566F" w:rsidRDefault="006C7733" w:rsidP="004F012F">
            <w:pPr>
              <w:spacing w:before="0" w:line="240" w:lineRule="auto"/>
              <w:ind w:left="142" w:right="57"/>
              <w:contextualSpacing/>
              <w:jc w:val="center"/>
              <w:rPr>
                <w:rFonts w:ascii="Arial" w:hAnsi="Arial" w:cs="Arial"/>
                <w:sz w:val="20"/>
                <w:szCs w:val="20"/>
              </w:rPr>
            </w:pPr>
            <w:r w:rsidRPr="002E566F">
              <w:rPr>
                <w:rFonts w:ascii="Arial" w:hAnsi="Arial" w:cs="Arial"/>
                <w:sz w:val="20"/>
                <w:szCs w:val="20"/>
              </w:rPr>
              <w:t>—</w:t>
            </w:r>
          </w:p>
        </w:tc>
        <w:tc>
          <w:tcPr>
            <w:tcW w:w="5174" w:type="dxa"/>
          </w:tcPr>
          <w:p w14:paraId="42FE8CF0"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 xml:space="preserve">ECHO </w:t>
            </w:r>
            <w:r w:rsidR="00E65510">
              <w:rPr>
                <w:rFonts w:ascii="Arial" w:hAnsi="Arial" w:cs="Arial"/>
                <w:sz w:val="20"/>
                <w:szCs w:val="20"/>
              </w:rPr>
              <w:t xml:space="preserve">alone </w:t>
            </w:r>
            <w:r w:rsidRPr="002E566F">
              <w:rPr>
                <w:rFonts w:ascii="Arial" w:hAnsi="Arial" w:cs="Arial"/>
                <w:sz w:val="20"/>
                <w:szCs w:val="20"/>
              </w:rPr>
              <w:t>not recommended for diagnosis of PAH.</w:t>
            </w:r>
          </w:p>
          <w:p w14:paraId="3A71B87E"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 xml:space="preserve">Recommended as essential part of work-up </w:t>
            </w:r>
            <w:r w:rsidR="004F012F">
              <w:rPr>
                <w:rFonts w:ascii="Arial" w:hAnsi="Arial" w:cs="Arial"/>
                <w:sz w:val="20"/>
                <w:szCs w:val="20"/>
              </w:rPr>
              <w:t>and decision to proceed to RHC</w:t>
            </w:r>
          </w:p>
        </w:tc>
      </w:tr>
      <w:tr w:rsidR="006C7733" w:rsidRPr="009810C6" w14:paraId="458C7590" w14:textId="77777777" w:rsidTr="006C7733">
        <w:tc>
          <w:tcPr>
            <w:tcW w:w="1706" w:type="dxa"/>
          </w:tcPr>
          <w:p w14:paraId="4921DBA4" w14:textId="77777777" w:rsidR="006C7733" w:rsidRPr="002E566F" w:rsidRDefault="006C7733" w:rsidP="004F012F">
            <w:pPr>
              <w:spacing w:before="0" w:line="240" w:lineRule="auto"/>
              <w:ind w:left="147" w:right="57" w:hanging="5"/>
              <w:contextualSpacing/>
              <w:rPr>
                <w:rFonts w:ascii="Arial" w:hAnsi="Arial" w:cs="Arial"/>
                <w:sz w:val="20"/>
                <w:szCs w:val="20"/>
              </w:rPr>
            </w:pPr>
            <w:r w:rsidRPr="002E566F">
              <w:rPr>
                <w:rFonts w:ascii="Arial" w:hAnsi="Arial" w:cs="Arial"/>
                <w:sz w:val="20"/>
                <w:szCs w:val="20"/>
              </w:rPr>
              <w:t>If no RHC</w:t>
            </w:r>
          </w:p>
        </w:tc>
        <w:tc>
          <w:tcPr>
            <w:tcW w:w="3544" w:type="dxa"/>
          </w:tcPr>
          <w:p w14:paraId="32F403C3"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RVSP &lt;40 mmHg by ECHO, with normal LVF</w:t>
            </w:r>
          </w:p>
        </w:tc>
        <w:tc>
          <w:tcPr>
            <w:tcW w:w="3544" w:type="dxa"/>
          </w:tcPr>
          <w:p w14:paraId="564119DE" w14:textId="77777777" w:rsidR="006C7733" w:rsidRPr="002E566F" w:rsidRDefault="006C7733" w:rsidP="004F012F">
            <w:pPr>
              <w:spacing w:before="0" w:line="240" w:lineRule="auto"/>
              <w:ind w:left="142" w:right="57"/>
              <w:contextualSpacing/>
              <w:jc w:val="center"/>
              <w:rPr>
                <w:rFonts w:ascii="Arial" w:hAnsi="Arial" w:cs="Arial"/>
                <w:sz w:val="20"/>
                <w:szCs w:val="20"/>
              </w:rPr>
            </w:pPr>
            <w:r w:rsidRPr="002E566F">
              <w:rPr>
                <w:rFonts w:ascii="Arial" w:hAnsi="Arial" w:cs="Arial"/>
                <w:sz w:val="20"/>
                <w:szCs w:val="20"/>
              </w:rPr>
              <w:t>—</w:t>
            </w:r>
          </w:p>
        </w:tc>
        <w:tc>
          <w:tcPr>
            <w:tcW w:w="5174" w:type="dxa"/>
          </w:tcPr>
          <w:p w14:paraId="1A8A452C"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 xml:space="preserve">Likelihood of PAH to be based on features suggestive of PAH by ECHO, described in </w:t>
            </w:r>
            <w:r w:rsidR="00505D99" w:rsidRPr="00505D99">
              <w:rPr>
                <w:rFonts w:ascii="Arial" w:hAnsi="Arial" w:cs="Arial"/>
                <w:sz w:val="20"/>
                <w:szCs w:val="20"/>
              </w:rPr>
              <w:t>Table 1.9</w:t>
            </w:r>
            <w:r w:rsidR="00505D99" w:rsidRPr="00F75B8B">
              <w:t xml:space="preserve"> </w:t>
            </w:r>
            <w:r w:rsidR="00505D99">
              <w:tab/>
              <w:t>Guideline diagnostic recommendations for PAH</w:t>
            </w:r>
            <w:r w:rsidRPr="002E566F">
              <w:rPr>
                <w:rFonts w:ascii="Arial" w:hAnsi="Arial" w:cs="Arial"/>
                <w:sz w:val="20"/>
                <w:szCs w:val="20"/>
              </w:rPr>
              <w:t xml:space="preserve"> </w:t>
            </w:r>
            <w:r w:rsidR="004F012F">
              <w:rPr>
                <w:rFonts w:ascii="Arial" w:hAnsi="Arial" w:cs="Arial"/>
                <w:sz w:val="20"/>
                <w:szCs w:val="20"/>
              </w:rPr>
              <w:t>(does not include RVSP or PASP)</w:t>
            </w:r>
          </w:p>
        </w:tc>
      </w:tr>
      <w:tr w:rsidR="006C7733" w:rsidRPr="009810C6" w14:paraId="231D6384" w14:textId="77777777" w:rsidTr="006C7733">
        <w:tc>
          <w:tcPr>
            <w:tcW w:w="1706" w:type="dxa"/>
          </w:tcPr>
          <w:p w14:paraId="3886E137" w14:textId="77777777" w:rsidR="006C7733" w:rsidRPr="002E566F" w:rsidRDefault="006C7733" w:rsidP="004F012F">
            <w:pPr>
              <w:spacing w:before="0" w:line="240" w:lineRule="auto"/>
              <w:ind w:left="147" w:right="57" w:hanging="5"/>
              <w:contextualSpacing/>
              <w:rPr>
                <w:rFonts w:ascii="Arial" w:hAnsi="Arial" w:cs="Arial"/>
                <w:sz w:val="20"/>
                <w:szCs w:val="20"/>
              </w:rPr>
            </w:pPr>
            <w:r w:rsidRPr="002E566F">
              <w:rPr>
                <w:rFonts w:ascii="Arial" w:hAnsi="Arial" w:cs="Arial"/>
                <w:sz w:val="20"/>
                <w:szCs w:val="20"/>
              </w:rPr>
              <w:t>6MWD</w:t>
            </w:r>
          </w:p>
        </w:tc>
        <w:tc>
          <w:tcPr>
            <w:tcW w:w="3544" w:type="dxa"/>
          </w:tcPr>
          <w:p w14:paraId="297AD4E5"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 xml:space="preserve">One of 3 key assessments </w:t>
            </w:r>
            <w:r w:rsidR="009D6EE3" w:rsidRPr="002E566F">
              <w:rPr>
                <w:rFonts w:ascii="Arial" w:hAnsi="Arial" w:cs="Arial"/>
                <w:sz w:val="20"/>
                <w:szCs w:val="20"/>
              </w:rPr>
              <w:t xml:space="preserve">to provide a baseline measurement </w:t>
            </w:r>
            <w:r w:rsidRPr="002E566F">
              <w:rPr>
                <w:rFonts w:ascii="Arial" w:hAnsi="Arial" w:cs="Arial"/>
                <w:sz w:val="20"/>
                <w:szCs w:val="20"/>
              </w:rPr>
              <w:t>– not always required (with justification)</w:t>
            </w:r>
          </w:p>
        </w:tc>
        <w:tc>
          <w:tcPr>
            <w:tcW w:w="3544" w:type="dxa"/>
          </w:tcPr>
          <w:p w14:paraId="68462DD4" w14:textId="77777777" w:rsidR="006C7733" w:rsidRPr="002E566F" w:rsidRDefault="006C7733" w:rsidP="004F012F">
            <w:pPr>
              <w:spacing w:before="0" w:line="240" w:lineRule="auto"/>
              <w:ind w:left="142" w:right="57"/>
              <w:contextualSpacing/>
              <w:jc w:val="center"/>
              <w:rPr>
                <w:rFonts w:ascii="Arial" w:hAnsi="Arial" w:cs="Arial"/>
                <w:sz w:val="20"/>
                <w:szCs w:val="20"/>
              </w:rPr>
            </w:pPr>
            <w:r w:rsidRPr="002E566F">
              <w:rPr>
                <w:rFonts w:ascii="Arial" w:hAnsi="Arial" w:cs="Arial"/>
                <w:sz w:val="20"/>
                <w:szCs w:val="20"/>
              </w:rPr>
              <w:t>—</w:t>
            </w:r>
          </w:p>
        </w:tc>
        <w:tc>
          <w:tcPr>
            <w:tcW w:w="5174" w:type="dxa"/>
          </w:tcPr>
          <w:p w14:paraId="675919A5"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 xml:space="preserve">Not diagnostic of PAH. </w:t>
            </w:r>
          </w:p>
          <w:p w14:paraId="6039C3E7"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One of a panel of baseline assessments to assess disease status and patient</w:t>
            </w:r>
            <w:r w:rsidR="004F012F">
              <w:rPr>
                <w:rFonts w:ascii="Arial" w:hAnsi="Arial" w:cs="Arial"/>
                <w:sz w:val="20"/>
                <w:szCs w:val="20"/>
              </w:rPr>
              <w:t xml:space="preserve"> risk of PAH clinical worsening</w:t>
            </w:r>
          </w:p>
        </w:tc>
      </w:tr>
      <w:tr w:rsidR="006C7733" w:rsidRPr="009810C6" w14:paraId="19EB43FA" w14:textId="77777777" w:rsidTr="006C7733">
        <w:tc>
          <w:tcPr>
            <w:tcW w:w="1706" w:type="dxa"/>
          </w:tcPr>
          <w:p w14:paraId="397F7653" w14:textId="77777777" w:rsidR="006C7733" w:rsidRPr="002E566F" w:rsidRDefault="006C7733" w:rsidP="004F012F">
            <w:pPr>
              <w:spacing w:before="0" w:line="240" w:lineRule="auto"/>
              <w:ind w:left="147" w:right="57" w:hanging="5"/>
              <w:contextualSpacing/>
              <w:rPr>
                <w:rFonts w:ascii="Arial" w:hAnsi="Arial" w:cs="Arial"/>
                <w:sz w:val="20"/>
                <w:szCs w:val="20"/>
              </w:rPr>
            </w:pPr>
            <w:r w:rsidRPr="002E566F">
              <w:rPr>
                <w:rFonts w:ascii="Arial" w:hAnsi="Arial" w:cs="Arial"/>
                <w:sz w:val="20"/>
                <w:szCs w:val="20"/>
              </w:rPr>
              <w:t>Patient risk category</w:t>
            </w:r>
          </w:p>
        </w:tc>
        <w:tc>
          <w:tcPr>
            <w:tcW w:w="3544" w:type="dxa"/>
          </w:tcPr>
          <w:p w14:paraId="69EB30E8" w14:textId="77777777" w:rsidR="006C7733" w:rsidRPr="002E566F" w:rsidRDefault="004F012F" w:rsidP="004F012F">
            <w:pPr>
              <w:spacing w:before="0" w:line="240" w:lineRule="auto"/>
              <w:ind w:left="142" w:right="57"/>
              <w:contextualSpacing/>
              <w:rPr>
                <w:rFonts w:ascii="Arial" w:hAnsi="Arial" w:cs="Arial"/>
                <w:sz w:val="20"/>
                <w:szCs w:val="20"/>
              </w:rPr>
            </w:pPr>
            <w:r>
              <w:rPr>
                <w:rFonts w:ascii="Arial" w:hAnsi="Arial" w:cs="Arial"/>
                <w:sz w:val="20"/>
                <w:szCs w:val="20"/>
              </w:rPr>
              <w:t>Not mentioned</w:t>
            </w:r>
          </w:p>
        </w:tc>
        <w:tc>
          <w:tcPr>
            <w:tcW w:w="3544" w:type="dxa"/>
          </w:tcPr>
          <w:p w14:paraId="7EC01D8D"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Not a feature of approved indications.</w:t>
            </w:r>
          </w:p>
        </w:tc>
        <w:tc>
          <w:tcPr>
            <w:tcW w:w="5174" w:type="dxa"/>
          </w:tcPr>
          <w:p w14:paraId="2B3AB24B"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A key assessment for determination of clinical management, treatment decisions and monitoring.</w:t>
            </w:r>
            <w:r w:rsidR="00011758">
              <w:rPr>
                <w:rFonts w:ascii="Arial" w:hAnsi="Arial" w:cs="Arial"/>
                <w:sz w:val="20"/>
                <w:szCs w:val="20"/>
              </w:rPr>
              <w:t xml:space="preserve"> </w:t>
            </w:r>
          </w:p>
          <w:p w14:paraId="05D6BBB2"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There is no definitive set of parameters for patient risk.</w:t>
            </w:r>
          </w:p>
        </w:tc>
      </w:tr>
      <w:tr w:rsidR="006C7733" w:rsidRPr="009810C6" w14:paraId="40DC31D6" w14:textId="77777777" w:rsidTr="006C7733">
        <w:tc>
          <w:tcPr>
            <w:tcW w:w="1706" w:type="dxa"/>
          </w:tcPr>
          <w:p w14:paraId="719B9D04" w14:textId="77777777" w:rsidR="006C7733" w:rsidRPr="002E566F" w:rsidRDefault="006C7733" w:rsidP="004F012F">
            <w:pPr>
              <w:spacing w:before="0" w:line="240" w:lineRule="auto"/>
              <w:ind w:left="147" w:right="57" w:hanging="5"/>
              <w:contextualSpacing/>
              <w:rPr>
                <w:rFonts w:ascii="Arial" w:hAnsi="Arial" w:cs="Arial"/>
                <w:sz w:val="20"/>
                <w:szCs w:val="20"/>
              </w:rPr>
            </w:pPr>
            <w:r w:rsidRPr="002E566F">
              <w:rPr>
                <w:rFonts w:ascii="Arial" w:hAnsi="Arial" w:cs="Arial"/>
                <w:sz w:val="20"/>
                <w:szCs w:val="20"/>
              </w:rPr>
              <w:t>Response to treatment</w:t>
            </w:r>
          </w:p>
        </w:tc>
        <w:tc>
          <w:tcPr>
            <w:tcW w:w="3544" w:type="dxa"/>
          </w:tcPr>
          <w:p w14:paraId="79E3A26D"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Response defined as stability or improvement of disease.</w:t>
            </w:r>
          </w:p>
          <w:p w14:paraId="2CDB3918"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Patients who fail to demonstrate a response mus</w:t>
            </w:r>
            <w:r w:rsidR="004F012F">
              <w:rPr>
                <w:rFonts w:ascii="Arial" w:hAnsi="Arial" w:cs="Arial"/>
                <w:sz w:val="20"/>
                <w:szCs w:val="20"/>
              </w:rPr>
              <w:t>t cease therapy with that agent</w:t>
            </w:r>
          </w:p>
        </w:tc>
        <w:tc>
          <w:tcPr>
            <w:tcW w:w="3544" w:type="dxa"/>
          </w:tcPr>
          <w:p w14:paraId="712A0D2E" w14:textId="77777777" w:rsidR="006C7733" w:rsidRPr="002E566F" w:rsidRDefault="006C7733" w:rsidP="004F012F">
            <w:pPr>
              <w:spacing w:before="0" w:line="240" w:lineRule="auto"/>
              <w:ind w:left="142" w:right="57"/>
              <w:contextualSpacing/>
              <w:jc w:val="center"/>
              <w:rPr>
                <w:rFonts w:ascii="Arial" w:hAnsi="Arial" w:cs="Arial"/>
                <w:sz w:val="20"/>
                <w:szCs w:val="20"/>
              </w:rPr>
            </w:pPr>
            <w:r w:rsidRPr="002E566F">
              <w:rPr>
                <w:rFonts w:ascii="Arial" w:hAnsi="Arial" w:cs="Arial"/>
                <w:sz w:val="20"/>
                <w:szCs w:val="20"/>
              </w:rPr>
              <w:t>—</w:t>
            </w:r>
          </w:p>
        </w:tc>
        <w:tc>
          <w:tcPr>
            <w:tcW w:w="5174" w:type="dxa"/>
          </w:tcPr>
          <w:p w14:paraId="75489824"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 xml:space="preserve">Response defined as clinical improvement and/or progress towards therapeutic goals. Unless disease is severe, maintaining clinical status may </w:t>
            </w:r>
            <w:r w:rsidR="004F012F">
              <w:rPr>
                <w:rFonts w:ascii="Arial" w:hAnsi="Arial" w:cs="Arial"/>
                <w:sz w:val="20"/>
                <w:szCs w:val="20"/>
              </w:rPr>
              <w:t>still be an inadequate response</w:t>
            </w:r>
            <w:r w:rsidRPr="002E566F">
              <w:rPr>
                <w:rFonts w:ascii="Arial" w:hAnsi="Arial" w:cs="Arial"/>
                <w:sz w:val="20"/>
                <w:szCs w:val="20"/>
              </w:rPr>
              <w:t xml:space="preserve"> </w:t>
            </w:r>
          </w:p>
          <w:p w14:paraId="7D0195C9"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Patients with inadequate clinical response recommended to continue on current therapy and add a furth</w:t>
            </w:r>
            <w:r w:rsidR="004F012F">
              <w:rPr>
                <w:rFonts w:ascii="Arial" w:hAnsi="Arial" w:cs="Arial"/>
                <w:sz w:val="20"/>
                <w:szCs w:val="20"/>
              </w:rPr>
              <w:t>er agent from a different class</w:t>
            </w:r>
          </w:p>
        </w:tc>
      </w:tr>
      <w:tr w:rsidR="006C7733" w:rsidRPr="009810C6" w14:paraId="0219EF1C" w14:textId="77777777" w:rsidTr="006C7733">
        <w:tc>
          <w:tcPr>
            <w:tcW w:w="1706" w:type="dxa"/>
          </w:tcPr>
          <w:p w14:paraId="5A70B548" w14:textId="77777777" w:rsidR="006C7733" w:rsidRPr="002E566F" w:rsidRDefault="006C7733" w:rsidP="004F012F">
            <w:pPr>
              <w:spacing w:before="0" w:line="240" w:lineRule="auto"/>
              <w:ind w:left="147" w:right="57" w:hanging="5"/>
              <w:contextualSpacing/>
              <w:rPr>
                <w:rFonts w:ascii="Arial" w:hAnsi="Arial" w:cs="Arial"/>
                <w:sz w:val="20"/>
                <w:szCs w:val="20"/>
              </w:rPr>
            </w:pPr>
            <w:r w:rsidRPr="002E566F">
              <w:rPr>
                <w:rFonts w:ascii="Arial" w:hAnsi="Arial" w:cs="Arial"/>
                <w:sz w:val="20"/>
                <w:szCs w:val="20"/>
              </w:rPr>
              <w:lastRenderedPageBreak/>
              <w:t>Timing of follow-up</w:t>
            </w:r>
          </w:p>
        </w:tc>
        <w:tc>
          <w:tcPr>
            <w:tcW w:w="3544" w:type="dxa"/>
          </w:tcPr>
          <w:p w14:paraId="30E7837E"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Each authority approval should provide 6 months’ treatment; follow-up required at 5 months to make next application.</w:t>
            </w:r>
            <w:r w:rsidR="00011758">
              <w:rPr>
                <w:rFonts w:ascii="Arial" w:hAnsi="Arial" w:cs="Arial"/>
                <w:sz w:val="20"/>
                <w:szCs w:val="20"/>
              </w:rPr>
              <w:t xml:space="preserve"> </w:t>
            </w:r>
          </w:p>
        </w:tc>
        <w:tc>
          <w:tcPr>
            <w:tcW w:w="3544" w:type="dxa"/>
          </w:tcPr>
          <w:p w14:paraId="3CAC47AC"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w:t>
            </w:r>
          </w:p>
        </w:tc>
        <w:tc>
          <w:tcPr>
            <w:tcW w:w="5174" w:type="dxa"/>
          </w:tcPr>
          <w:p w14:paraId="38467597"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Follow-up at 3-6 months after change in therapy; or on clinical worsening</w:t>
            </w:r>
          </w:p>
        </w:tc>
      </w:tr>
      <w:tr w:rsidR="006C7733" w:rsidRPr="009810C6" w14:paraId="7F941780" w14:textId="77777777" w:rsidTr="006C7733">
        <w:tc>
          <w:tcPr>
            <w:tcW w:w="1706" w:type="dxa"/>
            <w:tcBorders>
              <w:bottom w:val="single" w:sz="4" w:space="0" w:color="auto"/>
            </w:tcBorders>
          </w:tcPr>
          <w:p w14:paraId="37F6C310" w14:textId="77777777" w:rsidR="006C7733" w:rsidRPr="002E566F" w:rsidRDefault="006C7733" w:rsidP="004F012F">
            <w:pPr>
              <w:spacing w:before="0" w:line="240" w:lineRule="auto"/>
              <w:ind w:left="147" w:right="57" w:hanging="5"/>
              <w:contextualSpacing/>
              <w:rPr>
                <w:rFonts w:ascii="Arial" w:hAnsi="Arial" w:cs="Arial"/>
                <w:sz w:val="20"/>
                <w:szCs w:val="20"/>
              </w:rPr>
            </w:pPr>
            <w:r w:rsidRPr="002E566F">
              <w:rPr>
                <w:rFonts w:ascii="Arial" w:hAnsi="Arial" w:cs="Arial"/>
                <w:sz w:val="20"/>
                <w:szCs w:val="20"/>
              </w:rPr>
              <w:t>Patient age group</w:t>
            </w:r>
          </w:p>
        </w:tc>
        <w:tc>
          <w:tcPr>
            <w:tcW w:w="3544" w:type="dxa"/>
            <w:tcBorders>
              <w:bottom w:val="single" w:sz="4" w:space="0" w:color="auto"/>
            </w:tcBorders>
          </w:tcPr>
          <w:p w14:paraId="10A61801"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Restrictions silent on age group</w:t>
            </w:r>
          </w:p>
        </w:tc>
        <w:tc>
          <w:tcPr>
            <w:tcW w:w="3544" w:type="dxa"/>
            <w:tcBorders>
              <w:bottom w:val="single" w:sz="4" w:space="0" w:color="auto"/>
            </w:tcBorders>
          </w:tcPr>
          <w:p w14:paraId="4EF3AB04"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Only bosentan approved for use in children.</w:t>
            </w:r>
          </w:p>
          <w:p w14:paraId="74F48B52"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 xml:space="preserve">Age appropriate forms of bosentan </w:t>
            </w:r>
            <w:r w:rsidR="00074A9A" w:rsidRPr="002E566F">
              <w:rPr>
                <w:rFonts w:ascii="Arial" w:hAnsi="Arial" w:cs="Arial"/>
                <w:sz w:val="20"/>
                <w:szCs w:val="20"/>
              </w:rPr>
              <w:t>+</w:t>
            </w:r>
            <w:r w:rsidRPr="002E566F">
              <w:rPr>
                <w:rFonts w:ascii="Arial" w:hAnsi="Arial" w:cs="Arial"/>
                <w:sz w:val="20"/>
                <w:szCs w:val="20"/>
              </w:rPr>
              <w:t xml:space="preserve"> sildenafil availa</w:t>
            </w:r>
            <w:r w:rsidR="004F012F">
              <w:rPr>
                <w:rFonts w:ascii="Arial" w:hAnsi="Arial" w:cs="Arial"/>
                <w:sz w:val="20"/>
                <w:szCs w:val="20"/>
              </w:rPr>
              <w:t>ble in EU/USA but not Australia</w:t>
            </w:r>
          </w:p>
        </w:tc>
        <w:tc>
          <w:tcPr>
            <w:tcW w:w="5174" w:type="dxa"/>
            <w:tcBorders>
              <w:bottom w:val="single" w:sz="4" w:space="0" w:color="auto"/>
            </w:tcBorders>
          </w:tcPr>
          <w:p w14:paraId="6491C4F1"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Treatment and diagnostic recommendations broadly the same in children as for adults.</w:t>
            </w:r>
          </w:p>
          <w:p w14:paraId="473D5101"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6MWD not prognostic for PAH in children.</w:t>
            </w:r>
          </w:p>
          <w:p w14:paraId="16596C15"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Dose adjustment requ</w:t>
            </w:r>
            <w:r w:rsidR="004F012F">
              <w:rPr>
                <w:rFonts w:ascii="Arial" w:hAnsi="Arial" w:cs="Arial"/>
                <w:sz w:val="20"/>
                <w:szCs w:val="20"/>
              </w:rPr>
              <w:t>ired for sildenafil in children</w:t>
            </w:r>
          </w:p>
        </w:tc>
      </w:tr>
      <w:tr w:rsidR="006C7733" w:rsidRPr="009810C6" w14:paraId="77A52CA0" w14:textId="77777777" w:rsidTr="006C7733">
        <w:tc>
          <w:tcPr>
            <w:tcW w:w="1706" w:type="dxa"/>
            <w:tcBorders>
              <w:bottom w:val="nil"/>
            </w:tcBorders>
          </w:tcPr>
          <w:p w14:paraId="6F567A57" w14:textId="77777777" w:rsidR="006C7733" w:rsidRPr="002E566F" w:rsidRDefault="006C7733" w:rsidP="00876752">
            <w:pPr>
              <w:spacing w:before="0" w:line="240" w:lineRule="auto"/>
              <w:ind w:left="147" w:right="57"/>
              <w:contextualSpacing/>
              <w:rPr>
                <w:rFonts w:ascii="Arial" w:hAnsi="Arial" w:cs="Arial"/>
                <w:sz w:val="20"/>
                <w:szCs w:val="20"/>
              </w:rPr>
            </w:pPr>
            <w:r w:rsidRPr="002E566F">
              <w:rPr>
                <w:rFonts w:ascii="Arial" w:hAnsi="Arial" w:cs="Arial"/>
                <w:sz w:val="20"/>
                <w:szCs w:val="20"/>
              </w:rPr>
              <w:t xml:space="preserve">Trial of </w:t>
            </w:r>
            <w:r w:rsidR="00876752">
              <w:rPr>
                <w:rFonts w:ascii="Arial" w:hAnsi="Arial" w:cs="Arial"/>
                <w:sz w:val="20"/>
                <w:szCs w:val="20"/>
              </w:rPr>
              <w:t>CCBs</w:t>
            </w:r>
            <w:r w:rsidR="00876752" w:rsidRPr="002E566F">
              <w:rPr>
                <w:rFonts w:ascii="Arial" w:hAnsi="Arial" w:cs="Arial"/>
                <w:sz w:val="20"/>
                <w:szCs w:val="20"/>
              </w:rPr>
              <w:t xml:space="preserve"> </w:t>
            </w:r>
            <w:r w:rsidRPr="002E566F">
              <w:rPr>
                <w:rFonts w:ascii="Arial" w:hAnsi="Arial" w:cs="Arial"/>
                <w:sz w:val="20"/>
                <w:szCs w:val="20"/>
              </w:rPr>
              <w:t xml:space="preserve">– patients </w:t>
            </w:r>
          </w:p>
        </w:tc>
        <w:tc>
          <w:tcPr>
            <w:tcW w:w="3544" w:type="dxa"/>
            <w:tcBorders>
              <w:bottom w:val="nil"/>
            </w:tcBorders>
          </w:tcPr>
          <w:p w14:paraId="63A04AB9"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Required for WHO FC III – IPAH, HPAH, PAH and PAH-CTD</w:t>
            </w:r>
          </w:p>
          <w:p w14:paraId="175F836F"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Not required for PAH-CHD</w:t>
            </w:r>
          </w:p>
        </w:tc>
        <w:tc>
          <w:tcPr>
            <w:tcW w:w="3544" w:type="dxa"/>
            <w:tcBorders>
              <w:bottom w:val="nil"/>
            </w:tcBorders>
          </w:tcPr>
          <w:p w14:paraId="46420633" w14:textId="77777777" w:rsidR="009E4E45" w:rsidRPr="009E4E45" w:rsidRDefault="009E4E45" w:rsidP="009E4E45">
            <w:pPr>
              <w:ind w:left="57" w:right="57"/>
              <w:contextualSpacing/>
              <w:rPr>
                <w:rFonts w:ascii="Arial" w:hAnsi="Arial" w:cs="Arial"/>
                <w:sz w:val="20"/>
                <w:szCs w:val="20"/>
              </w:rPr>
            </w:pPr>
            <w:r w:rsidRPr="009E4E45">
              <w:rPr>
                <w:rFonts w:ascii="Arial" w:hAnsi="Arial" w:cs="Arial"/>
                <w:sz w:val="20"/>
                <w:szCs w:val="20"/>
              </w:rPr>
              <w:t xml:space="preserve">Dosing and safety not included in PI for CCBs (diltiazem, </w:t>
            </w:r>
            <w:proofErr w:type="spellStart"/>
            <w:r w:rsidRPr="009E4E45">
              <w:rPr>
                <w:rFonts w:ascii="Arial" w:hAnsi="Arial" w:cs="Arial"/>
                <w:sz w:val="20"/>
                <w:szCs w:val="20"/>
              </w:rPr>
              <w:t>nifedipine</w:t>
            </w:r>
            <w:proofErr w:type="spellEnd"/>
            <w:r w:rsidRPr="009E4E45">
              <w:rPr>
                <w:rFonts w:ascii="Arial" w:hAnsi="Arial" w:cs="Arial"/>
                <w:sz w:val="20"/>
                <w:szCs w:val="20"/>
              </w:rPr>
              <w:t>, amlodipine)</w:t>
            </w:r>
          </w:p>
          <w:p w14:paraId="6DF4BA4D" w14:textId="77777777" w:rsidR="009E4E45" w:rsidRPr="009E4E45" w:rsidRDefault="009E4E45" w:rsidP="009E4E45">
            <w:pPr>
              <w:ind w:left="57" w:right="57"/>
              <w:contextualSpacing/>
              <w:rPr>
                <w:rFonts w:ascii="Arial" w:hAnsi="Arial" w:cs="Arial"/>
                <w:sz w:val="20"/>
                <w:szCs w:val="20"/>
              </w:rPr>
            </w:pPr>
          </w:p>
          <w:p w14:paraId="609C0BC4" w14:textId="77777777" w:rsidR="006C7733" w:rsidRPr="002E566F" w:rsidRDefault="009E4E45" w:rsidP="009E4E45">
            <w:pPr>
              <w:spacing w:before="0" w:line="240" w:lineRule="auto"/>
              <w:ind w:left="142" w:right="57"/>
              <w:contextualSpacing/>
              <w:rPr>
                <w:rFonts w:ascii="Arial" w:hAnsi="Arial" w:cs="Arial"/>
                <w:sz w:val="20"/>
                <w:szCs w:val="20"/>
              </w:rPr>
            </w:pPr>
            <w:r w:rsidRPr="009E4E45">
              <w:rPr>
                <w:rFonts w:ascii="Arial" w:hAnsi="Arial" w:cs="Arial"/>
                <w:sz w:val="20"/>
                <w:szCs w:val="20"/>
              </w:rPr>
              <w:t xml:space="preserve">However, amlodipine, diltiazem and </w:t>
            </w:r>
            <w:proofErr w:type="spellStart"/>
            <w:r w:rsidRPr="009E4E45">
              <w:rPr>
                <w:rFonts w:ascii="Arial" w:hAnsi="Arial" w:cs="Arial"/>
                <w:sz w:val="20"/>
                <w:szCs w:val="20"/>
              </w:rPr>
              <w:t>nifedipine</w:t>
            </w:r>
            <w:proofErr w:type="spellEnd"/>
            <w:r w:rsidRPr="009E4E45">
              <w:rPr>
                <w:rFonts w:ascii="Arial" w:hAnsi="Arial" w:cs="Arial"/>
                <w:sz w:val="20"/>
                <w:szCs w:val="20"/>
              </w:rPr>
              <w:t xml:space="preserve"> have specific TGA registered indications for hypertension and angina.</w:t>
            </w:r>
          </w:p>
        </w:tc>
        <w:tc>
          <w:tcPr>
            <w:tcW w:w="5174" w:type="dxa"/>
            <w:tcBorders>
              <w:bottom w:val="nil"/>
            </w:tcBorders>
          </w:tcPr>
          <w:p w14:paraId="5D7C3857"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Recommended for IPAH</w:t>
            </w:r>
            <w:r w:rsidR="004F012F">
              <w:rPr>
                <w:rFonts w:ascii="Arial" w:hAnsi="Arial" w:cs="Arial"/>
                <w:sz w:val="20"/>
                <w:szCs w:val="20"/>
              </w:rPr>
              <w:t>, HPAH and PAH-DT patients only</w:t>
            </w:r>
          </w:p>
          <w:p w14:paraId="018A4F28"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Patients not showing acute vasoreactivity response unsuited to CCBs due to safety concerns and lack of benefit</w:t>
            </w:r>
          </w:p>
          <w:p w14:paraId="320B5413"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Not recommended: PAH-CTD or PAH-CHD</w:t>
            </w:r>
          </w:p>
        </w:tc>
      </w:tr>
      <w:tr w:rsidR="006C7733" w:rsidRPr="009810C6" w14:paraId="791D7DFA" w14:textId="77777777" w:rsidTr="006C7733">
        <w:tc>
          <w:tcPr>
            <w:tcW w:w="1706" w:type="dxa"/>
          </w:tcPr>
          <w:p w14:paraId="16ADE5A9" w14:textId="77777777" w:rsidR="006C7733" w:rsidRPr="002E566F" w:rsidRDefault="006C7733" w:rsidP="00876752">
            <w:pPr>
              <w:spacing w:before="0" w:line="240" w:lineRule="auto"/>
              <w:ind w:left="147" w:right="57"/>
              <w:contextualSpacing/>
              <w:rPr>
                <w:rFonts w:ascii="Arial" w:hAnsi="Arial" w:cs="Arial"/>
                <w:sz w:val="20"/>
                <w:szCs w:val="20"/>
              </w:rPr>
            </w:pPr>
            <w:r w:rsidRPr="002E566F">
              <w:rPr>
                <w:rFonts w:ascii="Arial" w:hAnsi="Arial" w:cs="Arial"/>
                <w:sz w:val="20"/>
                <w:szCs w:val="20"/>
              </w:rPr>
              <w:t xml:space="preserve">Trial of </w:t>
            </w:r>
            <w:r w:rsidR="00876752">
              <w:rPr>
                <w:rFonts w:ascii="Arial" w:hAnsi="Arial" w:cs="Arial"/>
                <w:sz w:val="20"/>
                <w:szCs w:val="20"/>
              </w:rPr>
              <w:t>CCBs</w:t>
            </w:r>
            <w:r w:rsidR="00876752" w:rsidRPr="002E566F">
              <w:rPr>
                <w:rFonts w:ascii="Arial" w:hAnsi="Arial" w:cs="Arial"/>
                <w:sz w:val="20"/>
                <w:szCs w:val="20"/>
              </w:rPr>
              <w:t xml:space="preserve"> </w:t>
            </w:r>
            <w:r w:rsidRPr="002E566F">
              <w:rPr>
                <w:rFonts w:ascii="Arial" w:hAnsi="Arial" w:cs="Arial"/>
                <w:sz w:val="20"/>
                <w:szCs w:val="20"/>
              </w:rPr>
              <w:t>– test criterion</w:t>
            </w:r>
          </w:p>
        </w:tc>
        <w:tc>
          <w:tcPr>
            <w:tcW w:w="3544" w:type="dxa"/>
          </w:tcPr>
          <w:p w14:paraId="28503314" w14:textId="2E2E0013"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mRAP 8</w:t>
            </w:r>
            <w:r w:rsidR="00E42107">
              <w:rPr>
                <w:rFonts w:ascii="Arial" w:hAnsi="Arial" w:cs="Arial"/>
                <w:sz w:val="20"/>
                <w:szCs w:val="20"/>
              </w:rPr>
              <w:t xml:space="preserve"> </w:t>
            </w:r>
            <w:r w:rsidR="00067504">
              <w:rPr>
                <w:rFonts w:ascii="Arial" w:hAnsi="Arial" w:cs="Arial"/>
                <w:sz w:val="20"/>
                <w:szCs w:val="20"/>
              </w:rPr>
              <w:t>mmHg</w:t>
            </w:r>
            <w:r w:rsidRPr="002E566F">
              <w:rPr>
                <w:rFonts w:ascii="Arial" w:hAnsi="Arial" w:cs="Arial"/>
                <w:sz w:val="20"/>
                <w:szCs w:val="20"/>
              </w:rPr>
              <w:t xml:space="preserve"> or below, by RHC</w:t>
            </w:r>
          </w:p>
        </w:tc>
        <w:tc>
          <w:tcPr>
            <w:tcW w:w="3544" w:type="dxa"/>
          </w:tcPr>
          <w:p w14:paraId="27C43FF6" w14:textId="77777777" w:rsidR="006C7733" w:rsidRPr="002E566F" w:rsidRDefault="006C7733" w:rsidP="004F012F">
            <w:pPr>
              <w:spacing w:before="0" w:line="240" w:lineRule="auto"/>
              <w:ind w:left="142" w:right="57"/>
              <w:contextualSpacing/>
              <w:jc w:val="center"/>
              <w:rPr>
                <w:rFonts w:ascii="Arial" w:hAnsi="Arial" w:cs="Arial"/>
                <w:sz w:val="20"/>
                <w:szCs w:val="20"/>
              </w:rPr>
            </w:pPr>
            <w:r w:rsidRPr="002E566F">
              <w:rPr>
                <w:rFonts w:ascii="Arial" w:hAnsi="Arial" w:cs="Arial"/>
                <w:sz w:val="20"/>
                <w:szCs w:val="20"/>
              </w:rPr>
              <w:t>—</w:t>
            </w:r>
          </w:p>
        </w:tc>
        <w:tc>
          <w:tcPr>
            <w:tcW w:w="5174" w:type="dxa"/>
          </w:tcPr>
          <w:p w14:paraId="2ED694F6" w14:textId="0A94FBB4"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 xml:space="preserve">Positive response to acute vasoreactivity test during RHC defined as decrease in mPAP &gt;10 </w:t>
            </w:r>
            <w:r w:rsidR="00067504">
              <w:rPr>
                <w:rFonts w:ascii="Arial" w:hAnsi="Arial" w:cs="Arial"/>
                <w:sz w:val="20"/>
                <w:szCs w:val="20"/>
              </w:rPr>
              <w:t>mmHg</w:t>
            </w:r>
            <w:r w:rsidRPr="002E566F">
              <w:rPr>
                <w:rFonts w:ascii="Arial" w:hAnsi="Arial" w:cs="Arial"/>
                <w:sz w:val="20"/>
                <w:szCs w:val="20"/>
              </w:rPr>
              <w:t xml:space="preserve">, to an mPAP &lt;40 </w:t>
            </w:r>
            <w:r w:rsidR="00067504">
              <w:rPr>
                <w:rFonts w:ascii="Arial" w:hAnsi="Arial" w:cs="Arial"/>
                <w:sz w:val="20"/>
                <w:szCs w:val="20"/>
              </w:rPr>
              <w:t>mmHg</w:t>
            </w:r>
            <w:r w:rsidRPr="002E566F">
              <w:rPr>
                <w:rFonts w:ascii="Arial" w:hAnsi="Arial" w:cs="Arial"/>
                <w:sz w:val="20"/>
                <w:szCs w:val="20"/>
              </w:rPr>
              <w:t>, with no worsening of cardiac output</w:t>
            </w:r>
          </w:p>
        </w:tc>
      </w:tr>
      <w:tr w:rsidR="006C7733" w:rsidRPr="009810C6" w14:paraId="222BBC30" w14:textId="77777777" w:rsidTr="006C7733">
        <w:tc>
          <w:tcPr>
            <w:tcW w:w="1706" w:type="dxa"/>
          </w:tcPr>
          <w:p w14:paraId="7B76CD23" w14:textId="77777777" w:rsidR="006C7733" w:rsidRPr="002E566F" w:rsidRDefault="006C7733" w:rsidP="00876752">
            <w:pPr>
              <w:spacing w:before="0" w:line="240" w:lineRule="auto"/>
              <w:ind w:left="147" w:right="57"/>
              <w:contextualSpacing/>
              <w:rPr>
                <w:rFonts w:ascii="Arial" w:hAnsi="Arial" w:cs="Arial"/>
                <w:sz w:val="20"/>
                <w:szCs w:val="20"/>
              </w:rPr>
            </w:pPr>
            <w:r w:rsidRPr="002E566F">
              <w:rPr>
                <w:rFonts w:ascii="Arial" w:hAnsi="Arial" w:cs="Arial"/>
                <w:sz w:val="20"/>
                <w:szCs w:val="20"/>
              </w:rPr>
              <w:t xml:space="preserve">Trial of </w:t>
            </w:r>
            <w:r w:rsidR="00876752">
              <w:rPr>
                <w:rFonts w:ascii="Arial" w:hAnsi="Arial" w:cs="Arial"/>
                <w:sz w:val="20"/>
                <w:szCs w:val="20"/>
              </w:rPr>
              <w:t>CCBs</w:t>
            </w:r>
            <w:r w:rsidR="00876752" w:rsidRPr="002E566F">
              <w:rPr>
                <w:rFonts w:ascii="Arial" w:hAnsi="Arial" w:cs="Arial"/>
                <w:sz w:val="20"/>
                <w:szCs w:val="20"/>
              </w:rPr>
              <w:t xml:space="preserve"> </w:t>
            </w:r>
            <w:r w:rsidRPr="002E566F">
              <w:rPr>
                <w:rFonts w:ascii="Arial" w:hAnsi="Arial" w:cs="Arial"/>
                <w:sz w:val="20"/>
                <w:szCs w:val="20"/>
              </w:rPr>
              <w:t>– response</w:t>
            </w:r>
          </w:p>
        </w:tc>
        <w:tc>
          <w:tcPr>
            <w:tcW w:w="3544" w:type="dxa"/>
          </w:tcPr>
          <w:p w14:paraId="17A8B885"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Minimum trial of 6 weeks required.</w:t>
            </w:r>
          </w:p>
          <w:p w14:paraId="3EBB8315"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Same definition as for response to PAH agents</w:t>
            </w:r>
          </w:p>
        </w:tc>
        <w:tc>
          <w:tcPr>
            <w:tcW w:w="3544" w:type="dxa"/>
          </w:tcPr>
          <w:p w14:paraId="3AA0A262" w14:textId="77777777" w:rsidR="006C7733" w:rsidRPr="002E566F" w:rsidRDefault="006C7733" w:rsidP="004F012F">
            <w:pPr>
              <w:spacing w:before="0" w:line="240" w:lineRule="auto"/>
              <w:ind w:left="142" w:right="57"/>
              <w:contextualSpacing/>
              <w:jc w:val="center"/>
              <w:rPr>
                <w:rFonts w:ascii="Arial" w:hAnsi="Arial" w:cs="Arial"/>
                <w:sz w:val="20"/>
                <w:szCs w:val="20"/>
              </w:rPr>
            </w:pPr>
            <w:r w:rsidRPr="002E566F">
              <w:rPr>
                <w:rFonts w:ascii="Arial" w:hAnsi="Arial" w:cs="Arial"/>
                <w:sz w:val="20"/>
                <w:szCs w:val="20"/>
              </w:rPr>
              <w:t>—</w:t>
            </w:r>
          </w:p>
        </w:tc>
        <w:tc>
          <w:tcPr>
            <w:tcW w:w="5174" w:type="dxa"/>
          </w:tcPr>
          <w:p w14:paraId="3F8256B4" w14:textId="77777777" w:rsidR="006C7733" w:rsidRPr="002E566F" w:rsidRDefault="004F012F" w:rsidP="004F012F">
            <w:pPr>
              <w:spacing w:before="0" w:line="240" w:lineRule="auto"/>
              <w:ind w:left="142" w:right="57"/>
              <w:contextualSpacing/>
              <w:rPr>
                <w:rFonts w:ascii="Arial" w:hAnsi="Arial" w:cs="Arial"/>
                <w:sz w:val="20"/>
                <w:szCs w:val="20"/>
              </w:rPr>
            </w:pPr>
            <w:r>
              <w:rPr>
                <w:rFonts w:ascii="Arial" w:hAnsi="Arial" w:cs="Arial"/>
                <w:sz w:val="20"/>
                <w:szCs w:val="20"/>
              </w:rPr>
              <w:t>Follow-up at ~3 months</w:t>
            </w:r>
          </w:p>
          <w:p w14:paraId="06450DB6"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Response should show a dramatic improvement or near normalisation to ~WHO FC I</w:t>
            </w:r>
          </w:p>
        </w:tc>
      </w:tr>
      <w:tr w:rsidR="006C7733" w:rsidRPr="009810C6" w14:paraId="48DBD80B" w14:textId="77777777" w:rsidTr="007340AF">
        <w:trPr>
          <w:trHeight w:val="593"/>
        </w:trPr>
        <w:tc>
          <w:tcPr>
            <w:tcW w:w="1706" w:type="dxa"/>
          </w:tcPr>
          <w:p w14:paraId="02DF3257" w14:textId="77777777" w:rsidR="006C7733" w:rsidRPr="002E566F" w:rsidRDefault="006C7733" w:rsidP="007340AF">
            <w:pPr>
              <w:spacing w:before="0" w:after="60" w:line="240" w:lineRule="auto"/>
              <w:ind w:left="142" w:right="57"/>
              <w:contextualSpacing/>
              <w:rPr>
                <w:rFonts w:ascii="Arial" w:hAnsi="Arial" w:cs="Arial"/>
                <w:sz w:val="20"/>
                <w:szCs w:val="20"/>
              </w:rPr>
            </w:pPr>
            <w:r w:rsidRPr="002E566F">
              <w:rPr>
                <w:rFonts w:ascii="Arial" w:hAnsi="Arial" w:cs="Arial"/>
                <w:sz w:val="20"/>
                <w:szCs w:val="20"/>
              </w:rPr>
              <w:t>Designated hospitals</w:t>
            </w:r>
          </w:p>
        </w:tc>
        <w:tc>
          <w:tcPr>
            <w:tcW w:w="3544" w:type="dxa"/>
          </w:tcPr>
          <w:p w14:paraId="479AF039" w14:textId="77777777" w:rsidR="006C7733" w:rsidRPr="002E566F" w:rsidRDefault="006C7733" w:rsidP="004F012F">
            <w:pPr>
              <w:spacing w:before="0" w:line="240" w:lineRule="auto"/>
              <w:ind w:left="142" w:right="57"/>
              <w:contextualSpacing/>
              <w:rPr>
                <w:rFonts w:ascii="Arial" w:hAnsi="Arial" w:cs="Arial"/>
                <w:sz w:val="20"/>
                <w:szCs w:val="20"/>
              </w:rPr>
            </w:pPr>
            <w:r w:rsidRPr="002E566F">
              <w:rPr>
                <w:rFonts w:ascii="Arial" w:hAnsi="Arial" w:cs="Arial"/>
                <w:sz w:val="20"/>
                <w:szCs w:val="20"/>
              </w:rPr>
              <w:t xml:space="preserve">&gt;60 centres listed by </w:t>
            </w:r>
            <w:r w:rsidR="006C5A64" w:rsidRPr="00221D4C">
              <w:rPr>
                <w:rFonts w:ascii="Arial" w:hAnsi="Arial" w:cs="Arial"/>
                <w:sz w:val="20"/>
                <w:szCs w:val="20"/>
              </w:rPr>
              <w:t>Services Australia</w:t>
            </w:r>
          </w:p>
        </w:tc>
        <w:tc>
          <w:tcPr>
            <w:tcW w:w="3544" w:type="dxa"/>
          </w:tcPr>
          <w:p w14:paraId="1DFE9287" w14:textId="77777777" w:rsidR="006C7733" w:rsidRPr="002E566F" w:rsidRDefault="006C7733" w:rsidP="004F012F">
            <w:pPr>
              <w:spacing w:before="0" w:line="240" w:lineRule="auto"/>
              <w:ind w:left="142" w:right="57"/>
              <w:contextualSpacing/>
              <w:jc w:val="center"/>
              <w:rPr>
                <w:rFonts w:ascii="Arial" w:hAnsi="Arial" w:cs="Arial"/>
                <w:sz w:val="20"/>
                <w:szCs w:val="20"/>
              </w:rPr>
            </w:pPr>
            <w:r w:rsidRPr="002E566F">
              <w:rPr>
                <w:rFonts w:ascii="Arial" w:hAnsi="Arial" w:cs="Arial"/>
                <w:sz w:val="20"/>
                <w:szCs w:val="20"/>
              </w:rPr>
              <w:t>—</w:t>
            </w:r>
          </w:p>
        </w:tc>
        <w:tc>
          <w:tcPr>
            <w:tcW w:w="5174" w:type="dxa"/>
          </w:tcPr>
          <w:p w14:paraId="4A480B07" w14:textId="77777777" w:rsidR="006C7733" w:rsidRPr="002E566F" w:rsidRDefault="006C7733" w:rsidP="007340AF">
            <w:pPr>
              <w:spacing w:before="0" w:after="60" w:line="240" w:lineRule="auto"/>
              <w:ind w:left="142" w:right="57"/>
              <w:contextualSpacing/>
              <w:rPr>
                <w:rFonts w:ascii="Arial" w:hAnsi="Arial" w:cs="Arial"/>
                <w:sz w:val="20"/>
                <w:szCs w:val="20"/>
              </w:rPr>
            </w:pPr>
            <w:r w:rsidRPr="002E566F">
              <w:rPr>
                <w:rFonts w:ascii="Arial" w:hAnsi="Arial" w:cs="Arial"/>
                <w:sz w:val="20"/>
                <w:szCs w:val="20"/>
              </w:rPr>
              <w:t>PAH treatment centres should see at least 300 referred patients per year; 50 RHC procedures per year</w:t>
            </w:r>
          </w:p>
        </w:tc>
      </w:tr>
    </w:tbl>
    <w:p w14:paraId="34FC094B" w14:textId="77777777" w:rsidR="0004089D" w:rsidRPr="002E566F" w:rsidRDefault="006C7733" w:rsidP="00121658">
      <w:pPr>
        <w:spacing w:before="0" w:line="240" w:lineRule="auto"/>
        <w:rPr>
          <w:rFonts w:ascii="Arial" w:hAnsi="Arial" w:cs="Arial"/>
          <w:sz w:val="16"/>
        </w:rPr>
      </w:pPr>
      <w:proofErr w:type="gramStart"/>
      <w:r w:rsidRPr="002E566F">
        <w:rPr>
          <w:rFonts w:ascii="Arial" w:hAnsi="Arial" w:cs="Arial"/>
          <w:sz w:val="16"/>
        </w:rPr>
        <w:t>PBS=Pharmaceutical Benefits Scheme;</w:t>
      </w:r>
      <w:r w:rsidR="00F77FC8">
        <w:rPr>
          <w:rFonts w:ascii="Arial" w:hAnsi="Arial" w:cs="Arial"/>
          <w:sz w:val="16"/>
        </w:rPr>
        <w:t xml:space="preserve"> </w:t>
      </w:r>
      <w:r w:rsidR="00F77FC8" w:rsidRPr="00F77FC8">
        <w:rPr>
          <w:rFonts w:ascii="Arial" w:hAnsi="Arial" w:cs="Arial"/>
          <w:sz w:val="16"/>
        </w:rPr>
        <w:t>CCBs=calcium channel blockers;</w:t>
      </w:r>
      <w:r w:rsidRPr="002E566F">
        <w:rPr>
          <w:rFonts w:ascii="Arial" w:hAnsi="Arial" w:cs="Arial"/>
          <w:sz w:val="16"/>
        </w:rPr>
        <w:t xml:space="preserve"> TGA=Therapeutic Goods Administration; PAH=pulmonary arterial hypertension; WHO=World Health Organization; FC=functional class; PDE</w:t>
      </w:r>
      <w:r w:rsidRPr="002E566F">
        <w:rPr>
          <w:rFonts w:ascii="Arial" w:hAnsi="Arial" w:cs="Arial"/>
          <w:sz w:val="16"/>
        </w:rPr>
        <w:noBreakHyphen/>
        <w:t xml:space="preserve">5i=phosphodiesterase type 5 inhibitor; ERA=endothelin receptor antagonist; ESC=European Society of Cardiology; ERS=European Respiratory Society; </w:t>
      </w:r>
      <w:proofErr w:type="spellStart"/>
      <w:r w:rsidRPr="002E566F">
        <w:rPr>
          <w:rFonts w:ascii="Arial" w:hAnsi="Arial" w:cs="Arial"/>
          <w:sz w:val="16"/>
        </w:rPr>
        <w:t>SoC</w:t>
      </w:r>
      <w:proofErr w:type="spellEnd"/>
      <w:r w:rsidRPr="002E566F">
        <w:rPr>
          <w:rFonts w:ascii="Arial" w:hAnsi="Arial" w:cs="Arial"/>
          <w:sz w:val="16"/>
        </w:rPr>
        <w:t>=standard of care; PAH-</w:t>
      </w:r>
      <w:r w:rsidR="00074A9A" w:rsidRPr="002E566F">
        <w:rPr>
          <w:rFonts w:ascii="Arial" w:hAnsi="Arial" w:cs="Arial"/>
          <w:sz w:val="16"/>
        </w:rPr>
        <w:t>‘XXX’=PAH due to (CHD=</w:t>
      </w:r>
      <w:r w:rsidRPr="002E566F">
        <w:rPr>
          <w:rFonts w:ascii="Arial" w:hAnsi="Arial" w:cs="Arial"/>
          <w:sz w:val="16"/>
        </w:rPr>
        <w:t>congenital heart disease; DT=drug or toxin induced</w:t>
      </w:r>
      <w:r w:rsidR="00074A9A" w:rsidRPr="002E566F">
        <w:rPr>
          <w:rFonts w:ascii="Arial" w:hAnsi="Arial" w:cs="Arial"/>
          <w:sz w:val="16"/>
        </w:rPr>
        <w:t>; CTD=connective tissue disease; HIV=Human Immunodeficiency Virus; or, PH=portal hypertension)</w:t>
      </w:r>
      <w:r w:rsidRPr="002E566F">
        <w:rPr>
          <w:rFonts w:ascii="Arial" w:hAnsi="Arial" w:cs="Arial"/>
          <w:sz w:val="16"/>
        </w:rPr>
        <w:t>; IPAH=idiopathic PAH</w:t>
      </w:r>
      <w:r w:rsidR="00074A9A" w:rsidRPr="002E566F">
        <w:rPr>
          <w:rFonts w:ascii="Arial" w:hAnsi="Arial" w:cs="Arial"/>
          <w:sz w:val="16"/>
        </w:rPr>
        <w:t>; HPAH=heritable PAH</w:t>
      </w:r>
      <w:r w:rsidRPr="002E566F">
        <w:rPr>
          <w:rFonts w:ascii="Arial" w:hAnsi="Arial" w:cs="Arial"/>
          <w:sz w:val="16"/>
        </w:rPr>
        <w:t>; RHC=right heart catheterisation; ECHO=echocardiography; RVSP=right ventricular systolic pressure; LVF=left ventricular function; PASP=pulmonary artery systolic pressure; 6MWD=6 minute walk distance; CCB=calcium channel blocker; PI=product information; mRAP=mean right atrial pressure;</w:t>
      </w:r>
      <w:proofErr w:type="gramEnd"/>
      <w:r w:rsidRPr="002E566F">
        <w:rPr>
          <w:rFonts w:ascii="Arial" w:hAnsi="Arial" w:cs="Arial"/>
          <w:sz w:val="16"/>
        </w:rPr>
        <w:t xml:space="preserve"> </w:t>
      </w:r>
    </w:p>
    <w:p w14:paraId="43FD6048" w14:textId="77777777" w:rsidR="006C7733" w:rsidRPr="006C7733" w:rsidRDefault="006C7733" w:rsidP="00121658">
      <w:pPr>
        <w:spacing w:before="0" w:line="240" w:lineRule="auto"/>
        <w:rPr>
          <w:rFonts w:ascii="Arial Narrow" w:hAnsi="Arial Narrow"/>
          <w:sz w:val="16"/>
        </w:rPr>
      </w:pPr>
    </w:p>
    <w:p w14:paraId="6A63826B" w14:textId="77777777" w:rsidR="0004089D" w:rsidRDefault="0004089D" w:rsidP="00121658">
      <w:pPr>
        <w:sectPr w:rsidR="0004089D" w:rsidSect="0004089D">
          <w:footnotePr>
            <w:numFmt w:val="chicago"/>
          </w:footnotePr>
          <w:pgSz w:w="16838" w:h="11906" w:orient="landscape"/>
          <w:pgMar w:top="1440" w:right="1440" w:bottom="1440" w:left="1440" w:header="708" w:footer="708" w:gutter="0"/>
          <w:cols w:space="708"/>
          <w:titlePg/>
          <w:docGrid w:linePitch="360"/>
        </w:sectPr>
      </w:pPr>
    </w:p>
    <w:p w14:paraId="068F4207" w14:textId="77777777" w:rsidR="00A74BFB" w:rsidRDefault="00A74BFB" w:rsidP="00A74BFB">
      <w:pPr>
        <w:pStyle w:val="Heading3"/>
        <w:numPr>
          <w:ilvl w:val="2"/>
          <w:numId w:val="0"/>
        </w:numPr>
        <w:jc w:val="left"/>
      </w:pPr>
      <w:bookmarkStart w:id="110" w:name="_Toc38377497"/>
      <w:r>
        <w:lastRenderedPageBreak/>
        <w:t>Stakeholder Views</w:t>
      </w:r>
      <w:bookmarkEnd w:id="110"/>
    </w:p>
    <w:p w14:paraId="40E4C363" w14:textId="77777777" w:rsidR="00A74BFB" w:rsidRPr="00500D63" w:rsidRDefault="00A74BFB" w:rsidP="00921D13">
      <w:pPr>
        <w:pStyle w:val="08Bulletsseriesofsentences"/>
      </w:pPr>
      <w:r>
        <w:t>Stakeholders consider</w:t>
      </w:r>
      <w:r w:rsidRPr="00500D63">
        <w:t xml:space="preserve"> the </w:t>
      </w:r>
      <w:r w:rsidR="006C5A64">
        <w:t xml:space="preserve">2015 </w:t>
      </w:r>
      <w:r w:rsidRPr="00500D63">
        <w:t xml:space="preserve">ESC/ERS guidelines </w:t>
      </w:r>
      <w:r>
        <w:t>to be</w:t>
      </w:r>
      <w:r w:rsidRPr="00500D63">
        <w:t xml:space="preserve"> the most relevant </w:t>
      </w:r>
      <w:r>
        <w:t>to Australian practice and note</w:t>
      </w:r>
      <w:r w:rsidRPr="00500D63">
        <w:t xml:space="preserve"> they incorporate the latest ev</w:t>
      </w:r>
      <w:r>
        <w:t>idence for combination therapy.</w:t>
      </w:r>
    </w:p>
    <w:p w14:paraId="23287353" w14:textId="77777777" w:rsidR="00A74BFB" w:rsidRPr="00500D63" w:rsidRDefault="00A74BFB" w:rsidP="00921D13">
      <w:pPr>
        <w:pStyle w:val="08Bulletsseriesofsentences"/>
      </w:pPr>
      <w:r>
        <w:t>Stakeholders are c</w:t>
      </w:r>
      <w:r w:rsidRPr="00500D63">
        <w:t>oncerned that Australians do not have the same access to the range or combination of PAH drugs at an affordable cost, compared to international patients.</w:t>
      </w:r>
    </w:p>
    <w:p w14:paraId="61DD0021" w14:textId="77777777" w:rsidR="00A74BFB" w:rsidRPr="00E939EF" w:rsidRDefault="00A74BFB" w:rsidP="00921D13">
      <w:pPr>
        <w:pStyle w:val="08Bulletsseriesofsentences"/>
      </w:pPr>
      <w:r>
        <w:t>Stakeholders consider</w:t>
      </w:r>
      <w:r w:rsidRPr="00E939EF">
        <w:t xml:space="preserve"> that PAH medicines should not be reimbursed based on the cause of PAH or the functional class (FC), and suggests PAH medicines should be available to all PAH patients regardless of what type, FC or severity of PAH disease.</w:t>
      </w:r>
    </w:p>
    <w:p w14:paraId="765AEF0A" w14:textId="77777777" w:rsidR="00A74BFB" w:rsidRDefault="00A74BFB" w:rsidP="00921D13">
      <w:pPr>
        <w:pStyle w:val="08Bulletsseriesofsentences"/>
      </w:pPr>
      <w:r>
        <w:t>S</w:t>
      </w:r>
      <w:r w:rsidRPr="00E939EF">
        <w:t>takeholder</w:t>
      </w:r>
      <w:r>
        <w:t>s</w:t>
      </w:r>
      <w:r w:rsidRPr="00E939EF">
        <w:t xml:space="preserve"> suggest the PAH treatment approach should be one of ‘disease </w:t>
      </w:r>
      <w:r w:rsidR="00575139">
        <w:t>management</w:t>
      </w:r>
      <w:r w:rsidRPr="00E939EF">
        <w:t xml:space="preserve">’ so that patients can achieve a reasonable quality of life for a period before disease progression and </w:t>
      </w:r>
      <w:r>
        <w:t>that</w:t>
      </w:r>
      <w:r w:rsidRPr="00E939EF">
        <w:t xml:space="preserve"> all patients in WHO FC I should have access to medication, irrespective of the triggering event.</w:t>
      </w:r>
    </w:p>
    <w:p w14:paraId="199158E8" w14:textId="60732DC0" w:rsidR="00A74BFB" w:rsidRPr="00E939EF" w:rsidRDefault="00A74BFB" w:rsidP="00921D13">
      <w:pPr>
        <w:pStyle w:val="08Bulletsseriesofsentences"/>
      </w:pPr>
      <w:r>
        <w:t xml:space="preserve">Stakeholders suggested </w:t>
      </w:r>
      <w:r w:rsidRPr="00E939EF">
        <w:t>a review of PAH in designated Pulmonary Hypertension (PH) centres in Australia</w:t>
      </w:r>
      <w:r>
        <w:t xml:space="preserve"> and</w:t>
      </w:r>
      <w:r w:rsidRPr="00E939EF">
        <w:t xml:space="preserve"> notes variations in clinical expertise are leading to a variation in treatment and outcomes, and that the </w:t>
      </w:r>
      <w:r>
        <w:t>PHSANZ</w:t>
      </w:r>
      <w:r w:rsidR="00E42107">
        <w:t xml:space="preserve"> </w:t>
      </w:r>
      <w:r w:rsidRPr="00E939EF">
        <w:t>reported significant differences in mortal</w:t>
      </w:r>
      <w:r>
        <w:t>ity between treatment centres.</w:t>
      </w:r>
      <w:r w:rsidRPr="001D23D6">
        <w:t xml:space="preserve"> </w:t>
      </w:r>
      <w:r>
        <w:t xml:space="preserve">Stakeholders suggested </w:t>
      </w:r>
      <w:r w:rsidRPr="00E939EF">
        <w:t>collaboration between centres to improve equity of utilisation of PAH medicines</w:t>
      </w:r>
      <w:r>
        <w:t>.</w:t>
      </w:r>
    </w:p>
    <w:p w14:paraId="780C82EF" w14:textId="77777777" w:rsidR="00A74BFB" w:rsidRDefault="00A74BFB" w:rsidP="00A74BFB">
      <w:pPr>
        <w:pStyle w:val="Heading3"/>
        <w:numPr>
          <w:ilvl w:val="2"/>
          <w:numId w:val="0"/>
        </w:numPr>
        <w:jc w:val="left"/>
      </w:pPr>
      <w:bookmarkStart w:id="111" w:name="_Toc38377498"/>
      <w:r>
        <w:t>Consumer Views</w:t>
      </w:r>
      <w:bookmarkEnd w:id="111"/>
    </w:p>
    <w:p w14:paraId="1308160B" w14:textId="77777777" w:rsidR="00A74BFB" w:rsidRDefault="00A74BFB" w:rsidP="00921D13">
      <w:pPr>
        <w:pStyle w:val="08Bulletsseriesofsentences"/>
      </w:pPr>
      <w:r>
        <w:t xml:space="preserve">Consumers </w:t>
      </w:r>
      <w:r w:rsidRPr="00921D13">
        <w:t>understood</w:t>
      </w:r>
      <w:r>
        <w:t xml:space="preserve"> that they </w:t>
      </w:r>
      <w:proofErr w:type="gramStart"/>
      <w:r>
        <w:t>can</w:t>
      </w:r>
      <w:proofErr w:type="gramEnd"/>
      <w:r>
        <w:t xml:space="preserve"> currently access only one PAH medicine at any one time through the PBS. Consumers were also aware of the requirement to provide test results to support their ongoing treatment with PBS medicines.</w:t>
      </w:r>
    </w:p>
    <w:p w14:paraId="38426A5B" w14:textId="77777777" w:rsidR="00A74BFB" w:rsidRDefault="00A74BFB" w:rsidP="00921D13">
      <w:pPr>
        <w:pStyle w:val="08Bulletsseriesofsentences"/>
      </w:pPr>
      <w:r>
        <w:t>Consumers understood that patients in FC II are not eligible for PAH medicines under the PBS</w:t>
      </w:r>
      <w:r w:rsidR="00080C22">
        <w:t>.</w:t>
      </w:r>
      <w:r w:rsidR="00011758">
        <w:t xml:space="preserve"> </w:t>
      </w:r>
      <w:r>
        <w:t xml:space="preserve">There was some confusion over continuing eligibility requirements, with some patients believing that the PBS PAH medicines would no longer be available to them </w:t>
      </w:r>
      <w:proofErr w:type="gramStart"/>
      <w:r>
        <w:t>if/when</w:t>
      </w:r>
      <w:proofErr w:type="gramEnd"/>
      <w:r>
        <w:t xml:space="preserve"> the medicines led to an improvement in their health which saw them rec</w:t>
      </w:r>
      <w:r w:rsidR="00EE1F96">
        <w:t>lassified from FC III to FC II.</w:t>
      </w:r>
    </w:p>
    <w:p w14:paraId="66F6EE09" w14:textId="77777777" w:rsidR="00A74BFB" w:rsidRDefault="00A74BFB" w:rsidP="00921D13">
      <w:pPr>
        <w:pStyle w:val="08Bulletsseriesofsentences"/>
      </w:pPr>
      <w:r>
        <w:t>Consumers noted that there are no specific medicines listed on the PBS for children and expressed a need for specific drugs and treatment regimens to be available for children.</w:t>
      </w:r>
    </w:p>
    <w:p w14:paraId="2A16CC54" w14:textId="77777777" w:rsidR="00A74BFB" w:rsidRDefault="00A74BFB" w:rsidP="00921D13">
      <w:pPr>
        <w:pStyle w:val="08Bulletsseriesofsentences"/>
      </w:pPr>
      <w:r>
        <w:t>Consumers expressed frustration on the limited number of medicines available on the PBS (currently 8 medicines) in comparison to other countries such as Japan where they understood there to be up to 14 medicines available for PAH.</w:t>
      </w:r>
    </w:p>
    <w:p w14:paraId="47A96C0F" w14:textId="77777777" w:rsidR="00A74BFB" w:rsidRDefault="00A74BFB" w:rsidP="00921D13">
      <w:pPr>
        <w:pStyle w:val="08Bulletsseriesofsentences"/>
      </w:pPr>
      <w:r>
        <w:t>Consumers considered it a priority to get access to:</w:t>
      </w:r>
    </w:p>
    <w:p w14:paraId="49A36878" w14:textId="77777777" w:rsidR="00A74BFB" w:rsidRDefault="00A74BFB" w:rsidP="00A572B3">
      <w:pPr>
        <w:pStyle w:val="08Bulletsseriesofsentences"/>
        <w:numPr>
          <w:ilvl w:val="1"/>
          <w:numId w:val="5"/>
        </w:numPr>
      </w:pPr>
      <w:r>
        <w:t>multiple PBS-listed medicines at one time;</w:t>
      </w:r>
    </w:p>
    <w:p w14:paraId="1CEBA873" w14:textId="77777777" w:rsidR="00A74BFB" w:rsidRDefault="00A74BFB" w:rsidP="00A572B3">
      <w:pPr>
        <w:pStyle w:val="08Bulletsseriesofsentences"/>
        <w:numPr>
          <w:ilvl w:val="1"/>
          <w:numId w:val="5"/>
        </w:numPr>
      </w:pPr>
      <w:r>
        <w:t>medicines for FC II to coincide with early diagnosis; and</w:t>
      </w:r>
    </w:p>
    <w:p w14:paraId="17AA09FD" w14:textId="77777777" w:rsidR="00A74BFB" w:rsidRDefault="00A74BFB" w:rsidP="00A572B3">
      <w:pPr>
        <w:pStyle w:val="08Bulletsseriesofsentences"/>
        <w:numPr>
          <w:ilvl w:val="1"/>
          <w:numId w:val="5"/>
        </w:numPr>
      </w:pPr>
      <w:proofErr w:type="gramStart"/>
      <w:r>
        <w:t>a</w:t>
      </w:r>
      <w:proofErr w:type="gramEnd"/>
      <w:r>
        <w:t xml:space="preserve"> broad range of PAH medicines.</w:t>
      </w:r>
    </w:p>
    <w:p w14:paraId="714DE9F3" w14:textId="77777777" w:rsidR="00A74BFB" w:rsidRPr="004937E8" w:rsidRDefault="00A74BFB" w:rsidP="004937E8">
      <w:pPr>
        <w:pStyle w:val="08Bulletsseriesofsentences"/>
      </w:pPr>
      <w:r w:rsidRPr="004937E8">
        <w:lastRenderedPageBreak/>
        <w:t>Some consumers suggested that earlier treatment and combination therapy led to better health outcomes and questioned why treatment is not available for FC II patients whose health is only going to deteriorate. They also suggested that earlier treatmen</w:t>
      </w:r>
      <w:r w:rsidR="00EE1F96">
        <w:t>t could be more cost-effective.</w:t>
      </w:r>
    </w:p>
    <w:p w14:paraId="55151493" w14:textId="77777777" w:rsidR="00A74BFB" w:rsidRDefault="00A74BFB" w:rsidP="00921D13">
      <w:pPr>
        <w:pStyle w:val="08Bulletsseriesofsentences"/>
      </w:pPr>
      <w:r w:rsidRPr="001646A7">
        <w:t>Many consumers were unaware of the international guidelines for the treatment of PAH, but some understood that the guidelines provided information on the classification of PAH and treatments.</w:t>
      </w:r>
    </w:p>
    <w:p w14:paraId="24C32AA3" w14:textId="77777777" w:rsidR="00D32790" w:rsidRPr="00B92CC9" w:rsidRDefault="00D32790" w:rsidP="00121658">
      <w:pPr>
        <w:pStyle w:val="Heading2"/>
        <w:jc w:val="left"/>
      </w:pPr>
      <w:bookmarkStart w:id="112" w:name="_Toc38377499"/>
      <w:r w:rsidRPr="00B92CC9">
        <w:t>Methodology</w:t>
      </w:r>
      <w:bookmarkEnd w:id="102"/>
      <w:bookmarkEnd w:id="103"/>
      <w:bookmarkEnd w:id="104"/>
      <w:bookmarkEnd w:id="105"/>
      <w:bookmarkEnd w:id="112"/>
    </w:p>
    <w:p w14:paraId="6E4783E2" w14:textId="77777777" w:rsidR="00D32790" w:rsidRPr="00B92CC9" w:rsidRDefault="00EC60C5" w:rsidP="00121658">
      <w:pPr>
        <w:pStyle w:val="Heading3"/>
        <w:jc w:val="left"/>
      </w:pPr>
      <w:bookmarkStart w:id="113" w:name="_Toc473291069"/>
      <w:bookmarkStart w:id="114" w:name="_Toc480371872"/>
      <w:bookmarkStart w:id="115" w:name="_Toc486514220"/>
      <w:bookmarkStart w:id="116" w:name="_Ref505888403"/>
      <w:bookmarkStart w:id="117" w:name="_Toc38377500"/>
      <w:r>
        <w:t>G</w:t>
      </w:r>
      <w:r w:rsidR="00D32790" w:rsidRPr="00B92CC9">
        <w:t>uidelines</w:t>
      </w:r>
      <w:bookmarkEnd w:id="113"/>
      <w:bookmarkEnd w:id="114"/>
      <w:bookmarkEnd w:id="115"/>
      <w:bookmarkEnd w:id="116"/>
      <w:r>
        <w:t xml:space="preserve"> search</w:t>
      </w:r>
      <w:bookmarkEnd w:id="117"/>
    </w:p>
    <w:p w14:paraId="489B58AE" w14:textId="77777777" w:rsidR="00871EF4" w:rsidRDefault="00871EF4" w:rsidP="00121658">
      <w:pPr>
        <w:pStyle w:val="BodyTextnospacebefore"/>
      </w:pPr>
      <w:bookmarkStart w:id="118" w:name="_Toc473291070"/>
      <w:bookmarkStart w:id="119" w:name="_Toc480371873"/>
      <w:bookmarkStart w:id="120" w:name="_Toc486514221"/>
      <w:r>
        <w:t xml:space="preserve">Searches </w:t>
      </w:r>
      <w:proofErr w:type="gramStart"/>
      <w:r>
        <w:t>were conducted</w:t>
      </w:r>
      <w:proofErr w:type="gramEnd"/>
      <w:r>
        <w:t xml:space="preserve"> according to the agreed protocol for this review</w:t>
      </w:r>
      <w:r w:rsidR="00CF3FEC">
        <w:t xml:space="preserve">. </w:t>
      </w:r>
    </w:p>
    <w:p w14:paraId="0AA5F47D" w14:textId="77777777" w:rsidR="0004089D" w:rsidRPr="0004089D" w:rsidRDefault="0004089D" w:rsidP="00121658">
      <w:pPr>
        <w:pStyle w:val="BodyTextnospacebefore"/>
        <w:rPr>
          <w:rFonts w:cstheme="minorHAnsi"/>
        </w:rPr>
      </w:pPr>
      <w:r w:rsidRPr="0004089D">
        <w:t xml:space="preserve">Guidelines were considered distinct from descriptive reviews of PAH clinical practice. Selected review articles with directly relevant findings </w:t>
      </w:r>
      <w:proofErr w:type="gramStart"/>
      <w:r w:rsidRPr="0004089D">
        <w:t>are cited</w:t>
      </w:r>
      <w:proofErr w:type="gramEnd"/>
      <w:r w:rsidRPr="0004089D">
        <w:t xml:space="preserve"> throughout this report where appropriate</w:t>
      </w:r>
      <w:r w:rsidR="00C6734D">
        <w:rPr>
          <w:rFonts w:cstheme="minorHAnsi"/>
        </w:rPr>
        <w:t xml:space="preserve">. </w:t>
      </w:r>
      <w:r w:rsidR="00946A0A">
        <w:rPr>
          <w:rFonts w:cstheme="minorHAnsi"/>
        </w:rPr>
        <w:t>R</w:t>
      </w:r>
      <w:r w:rsidRPr="0004089D">
        <w:rPr>
          <w:rFonts w:cstheme="minorHAnsi"/>
        </w:rPr>
        <w:t xml:space="preserve">ecent reviews describing Australian clinical practice including commentary on accessing PBS-subsidised PAH medicines </w:t>
      </w:r>
      <w:proofErr w:type="gramStart"/>
      <w:r w:rsidRPr="0004089D">
        <w:rPr>
          <w:rFonts w:cstheme="minorHAnsi"/>
        </w:rPr>
        <w:t>have been described</w:t>
      </w:r>
      <w:proofErr w:type="gramEnd"/>
      <w:r w:rsidRPr="0004089D">
        <w:rPr>
          <w:rFonts w:cstheme="minorHAnsi"/>
        </w:rPr>
        <w:t xml:space="preserve"> as part of the </w:t>
      </w:r>
      <w:r w:rsidR="00946A0A">
        <w:rPr>
          <w:rFonts w:cstheme="minorHAnsi"/>
        </w:rPr>
        <w:t>Background</w:t>
      </w:r>
      <w:r w:rsidR="00EE1F96">
        <w:rPr>
          <w:rFonts w:cstheme="minorHAnsi"/>
        </w:rPr>
        <w:t>.</w:t>
      </w:r>
    </w:p>
    <w:p w14:paraId="1BA11AC2" w14:textId="77777777" w:rsidR="0004089D" w:rsidRPr="0004089D" w:rsidRDefault="0004089D" w:rsidP="00121658">
      <w:pPr>
        <w:pStyle w:val="BodyTextnospacebefore"/>
        <w:rPr>
          <w:rFonts w:cstheme="minorHAnsi"/>
        </w:rPr>
      </w:pPr>
      <w:r w:rsidRPr="0004089D">
        <w:rPr>
          <w:rFonts w:cstheme="minorHAnsi"/>
        </w:rPr>
        <w:t xml:space="preserve">As outlined in the protocol, criteria for including clinical practice guidelines in this </w:t>
      </w:r>
      <w:r w:rsidRPr="00D151E0">
        <w:rPr>
          <w:rFonts w:cstheme="minorHAnsi"/>
        </w:rPr>
        <w:t xml:space="preserve">review </w:t>
      </w:r>
      <w:proofErr w:type="gramStart"/>
      <w:r w:rsidRPr="00D151E0">
        <w:rPr>
          <w:rFonts w:cstheme="minorHAnsi"/>
        </w:rPr>
        <w:t>are based</w:t>
      </w:r>
      <w:proofErr w:type="gramEnd"/>
      <w:r w:rsidRPr="00D151E0">
        <w:rPr>
          <w:rFonts w:cstheme="minorHAnsi"/>
        </w:rPr>
        <w:t xml:space="preserve"> on PIPOH criteria</w:t>
      </w:r>
      <w:r w:rsidR="009C556B" w:rsidRPr="009C556B">
        <w:rPr>
          <w:rFonts w:cstheme="minorHAnsi"/>
          <w:noProof/>
          <w:vertAlign w:val="superscript"/>
        </w:rPr>
        <w:t>17</w:t>
      </w:r>
      <w:r w:rsidRPr="00D151E0">
        <w:rPr>
          <w:rFonts w:cstheme="minorHAnsi"/>
        </w:rPr>
        <w:t>. The PIPOH</w:t>
      </w:r>
      <w:r w:rsidRPr="0004089D">
        <w:rPr>
          <w:rFonts w:cstheme="minorHAnsi"/>
        </w:rPr>
        <w:t xml:space="preserve"> criteria for the review of clinical guidelines on the treatment of PAH are summarised in</w:t>
      </w:r>
      <w:r w:rsidR="004937E8">
        <w:rPr>
          <w:rFonts w:cstheme="minorHAnsi"/>
        </w:rPr>
        <w:t xml:space="preserve"> Table 1.2</w:t>
      </w:r>
      <w:r w:rsidRPr="0004089D">
        <w:rPr>
          <w:rFonts w:cstheme="minorHAnsi"/>
        </w:rPr>
        <w:t>.</w:t>
      </w:r>
    </w:p>
    <w:p w14:paraId="0E8C3290" w14:textId="77777777" w:rsidR="0004089D" w:rsidRPr="005643DC" w:rsidRDefault="00A365C4" w:rsidP="00A365C4">
      <w:pPr>
        <w:pStyle w:val="Caption"/>
      </w:pPr>
      <w:bookmarkStart w:id="121" w:name="_Ref81727204"/>
      <w:bookmarkStart w:id="122" w:name="_Toc29377248"/>
      <w:r>
        <w:t>Table 1.</w:t>
      </w:r>
      <w:r w:rsidR="00505D99">
        <w:rPr>
          <w:noProof/>
        </w:rPr>
        <w:t>2</w:t>
      </w:r>
      <w:r w:rsidRPr="00A365C4">
        <w:t xml:space="preserve"> </w:t>
      </w:r>
      <w:r>
        <w:tab/>
        <w:t>PIPOH g</w:t>
      </w:r>
      <w:r w:rsidRPr="005643DC">
        <w:t>uideline selection criteria</w:t>
      </w:r>
      <w:bookmarkEnd w:id="121"/>
      <w:bookmarkEnd w:id="122"/>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PIPOH guideline selection criteria"/>
      </w:tblPr>
      <w:tblGrid>
        <w:gridCol w:w="2195"/>
        <w:gridCol w:w="6872"/>
      </w:tblGrid>
      <w:tr w:rsidR="0004089D" w:rsidRPr="002D43ED" w14:paraId="4B4664C4" w14:textId="77777777" w:rsidTr="00977BFD">
        <w:trPr>
          <w:tblHeader/>
        </w:trPr>
        <w:tc>
          <w:tcPr>
            <w:tcW w:w="1839" w:type="dxa"/>
            <w:shd w:val="clear" w:color="auto" w:fill="BFBFBF" w:themeFill="background1" w:themeFillShade="BF"/>
          </w:tcPr>
          <w:p w14:paraId="337C66A0" w14:textId="77777777" w:rsidR="0004089D" w:rsidRPr="002D43ED" w:rsidRDefault="0004089D" w:rsidP="00121658">
            <w:pPr>
              <w:pStyle w:val="TableText"/>
              <w:rPr>
                <w:rFonts w:ascii="Arial" w:eastAsia="Calibri" w:hAnsi="Arial"/>
                <w:b/>
                <w:lang w:eastAsia="en-US"/>
              </w:rPr>
            </w:pPr>
            <w:r w:rsidRPr="002D43ED">
              <w:rPr>
                <w:rFonts w:ascii="Arial" w:eastAsia="Calibri" w:hAnsi="Arial"/>
                <w:b/>
                <w:lang w:eastAsia="en-US"/>
              </w:rPr>
              <w:t>Parameter</w:t>
            </w:r>
          </w:p>
        </w:tc>
        <w:tc>
          <w:tcPr>
            <w:tcW w:w="7228" w:type="dxa"/>
            <w:shd w:val="clear" w:color="auto" w:fill="BFBFBF" w:themeFill="background1" w:themeFillShade="BF"/>
          </w:tcPr>
          <w:p w14:paraId="4679D753" w14:textId="77777777" w:rsidR="0004089D" w:rsidRPr="002D43ED" w:rsidRDefault="0004089D" w:rsidP="00121658">
            <w:pPr>
              <w:pStyle w:val="TableText"/>
              <w:rPr>
                <w:rFonts w:ascii="Arial" w:eastAsia="Calibri" w:hAnsi="Arial"/>
                <w:b/>
                <w:lang w:eastAsia="en-US"/>
              </w:rPr>
            </w:pPr>
            <w:r w:rsidRPr="002D43ED">
              <w:rPr>
                <w:rFonts w:ascii="Arial" w:eastAsia="Calibri" w:hAnsi="Arial"/>
                <w:b/>
                <w:sz w:val="18"/>
                <w:lang w:eastAsia="en-US"/>
              </w:rPr>
              <w:t>Inclusion criteria</w:t>
            </w:r>
          </w:p>
        </w:tc>
      </w:tr>
      <w:tr w:rsidR="0004089D" w:rsidRPr="002D43ED" w14:paraId="68E8B3F3" w14:textId="77777777" w:rsidTr="0004089D">
        <w:tc>
          <w:tcPr>
            <w:tcW w:w="1839" w:type="dxa"/>
          </w:tcPr>
          <w:p w14:paraId="66949655" w14:textId="77777777" w:rsidR="0004089D" w:rsidRPr="002D43ED" w:rsidRDefault="0004089D" w:rsidP="00121658">
            <w:pPr>
              <w:pStyle w:val="TableText"/>
              <w:rPr>
                <w:rFonts w:ascii="Arial" w:eastAsia="Calibri" w:hAnsi="Arial"/>
                <w:lang w:eastAsia="en-US"/>
              </w:rPr>
            </w:pPr>
            <w:r w:rsidRPr="002D43ED">
              <w:rPr>
                <w:rFonts w:ascii="Arial" w:eastAsia="Calibri" w:hAnsi="Arial"/>
                <w:lang w:eastAsia="en-US"/>
              </w:rPr>
              <w:t>Population</w:t>
            </w:r>
          </w:p>
        </w:tc>
        <w:tc>
          <w:tcPr>
            <w:tcW w:w="7228" w:type="dxa"/>
          </w:tcPr>
          <w:p w14:paraId="6D5820A1" w14:textId="77777777" w:rsidR="0004089D" w:rsidRPr="002D43ED" w:rsidRDefault="0004089D" w:rsidP="00121658">
            <w:pPr>
              <w:pStyle w:val="TableText"/>
              <w:rPr>
                <w:rFonts w:ascii="Arial" w:eastAsia="Calibri" w:hAnsi="Arial"/>
                <w:lang w:eastAsia="en-US"/>
              </w:rPr>
            </w:pPr>
            <w:r w:rsidRPr="002D43ED">
              <w:rPr>
                <w:rFonts w:ascii="Arial" w:eastAsia="Calibri" w:hAnsi="Arial"/>
                <w:lang w:eastAsia="en-US"/>
              </w:rPr>
              <w:t>Patients with WHO FC II, III or IV PAH</w:t>
            </w:r>
          </w:p>
        </w:tc>
      </w:tr>
      <w:tr w:rsidR="0004089D" w:rsidRPr="002D43ED" w14:paraId="14BF6E7B" w14:textId="77777777" w:rsidTr="0004089D">
        <w:tc>
          <w:tcPr>
            <w:tcW w:w="1839" w:type="dxa"/>
          </w:tcPr>
          <w:p w14:paraId="424C6E08" w14:textId="77777777" w:rsidR="0004089D" w:rsidRPr="002D43ED" w:rsidRDefault="0004089D" w:rsidP="00121658">
            <w:pPr>
              <w:pStyle w:val="TableText"/>
              <w:rPr>
                <w:rFonts w:ascii="Arial" w:eastAsia="Calibri" w:hAnsi="Arial"/>
                <w:lang w:eastAsia="en-US"/>
              </w:rPr>
            </w:pPr>
            <w:r w:rsidRPr="002D43ED">
              <w:rPr>
                <w:rFonts w:ascii="Arial" w:eastAsia="Calibri" w:hAnsi="Arial"/>
                <w:lang w:eastAsia="en-US"/>
              </w:rPr>
              <w:t>Interventions</w:t>
            </w:r>
          </w:p>
        </w:tc>
        <w:tc>
          <w:tcPr>
            <w:tcW w:w="7228" w:type="dxa"/>
          </w:tcPr>
          <w:p w14:paraId="0926134F" w14:textId="77777777" w:rsidR="0004089D" w:rsidRPr="002D43ED" w:rsidRDefault="0004089D" w:rsidP="00121658">
            <w:pPr>
              <w:pStyle w:val="TableText"/>
              <w:rPr>
                <w:rFonts w:ascii="Arial" w:eastAsia="Calibri" w:hAnsi="Arial"/>
                <w:lang w:eastAsia="en-US"/>
              </w:rPr>
            </w:pPr>
            <w:r w:rsidRPr="002D43ED">
              <w:rPr>
                <w:rFonts w:ascii="Arial" w:eastAsia="Calibri" w:hAnsi="Arial"/>
                <w:lang w:eastAsia="en-US"/>
              </w:rPr>
              <w:t>Pharmaceutical treatments listed on the PBS for PAH</w:t>
            </w:r>
          </w:p>
        </w:tc>
      </w:tr>
      <w:tr w:rsidR="0004089D" w:rsidRPr="002D43ED" w14:paraId="3BB1522E" w14:textId="77777777" w:rsidTr="0004089D">
        <w:tc>
          <w:tcPr>
            <w:tcW w:w="1839" w:type="dxa"/>
          </w:tcPr>
          <w:p w14:paraId="0EFE21AE" w14:textId="77777777" w:rsidR="0004089D" w:rsidRPr="002D43ED" w:rsidRDefault="0004089D" w:rsidP="00121658">
            <w:pPr>
              <w:pStyle w:val="TableText"/>
              <w:rPr>
                <w:rFonts w:ascii="Arial" w:eastAsia="Calibri" w:hAnsi="Arial"/>
                <w:lang w:eastAsia="en-US"/>
              </w:rPr>
            </w:pPr>
            <w:r w:rsidRPr="002D43ED">
              <w:rPr>
                <w:rFonts w:ascii="Arial" w:eastAsia="Calibri" w:hAnsi="Arial"/>
                <w:lang w:eastAsia="en-US"/>
              </w:rPr>
              <w:t>Professionals/Patients</w:t>
            </w:r>
          </w:p>
        </w:tc>
        <w:tc>
          <w:tcPr>
            <w:tcW w:w="7228" w:type="dxa"/>
          </w:tcPr>
          <w:p w14:paraId="465EBE24" w14:textId="77777777" w:rsidR="0004089D" w:rsidRPr="002D43ED" w:rsidRDefault="0004089D" w:rsidP="00121658">
            <w:pPr>
              <w:pStyle w:val="TableText"/>
              <w:rPr>
                <w:rFonts w:ascii="Arial" w:eastAsia="Calibri" w:hAnsi="Arial"/>
                <w:szCs w:val="18"/>
                <w:lang w:eastAsia="en-US"/>
              </w:rPr>
            </w:pPr>
            <w:r w:rsidRPr="002D43ED">
              <w:rPr>
                <w:rFonts w:ascii="Arial" w:eastAsia="Calibri" w:hAnsi="Arial"/>
                <w:szCs w:val="18"/>
                <w:lang w:eastAsia="en-US"/>
              </w:rPr>
              <w:t>GPs, pulmonologists, cardiologists, rheumatologists, physicians or other</w:t>
            </w:r>
            <w:r w:rsidRPr="002D43ED">
              <w:rPr>
                <w:rFonts w:ascii="Arial" w:eastAsia="Calibri" w:hAnsi="Arial"/>
                <w:szCs w:val="18"/>
              </w:rPr>
              <w:t xml:space="preserve"> referred </w:t>
            </w:r>
            <w:r w:rsidRPr="002D43ED">
              <w:rPr>
                <w:rFonts w:ascii="Arial" w:eastAsia="Calibri" w:hAnsi="Arial"/>
                <w:szCs w:val="18"/>
                <w:lang w:eastAsia="en-US"/>
              </w:rPr>
              <w:t>specialists</w:t>
            </w:r>
          </w:p>
        </w:tc>
      </w:tr>
      <w:tr w:rsidR="0004089D" w:rsidRPr="002D43ED" w14:paraId="17EFA015" w14:textId="77777777" w:rsidTr="0004089D">
        <w:tc>
          <w:tcPr>
            <w:tcW w:w="1839" w:type="dxa"/>
          </w:tcPr>
          <w:p w14:paraId="1CAA8628" w14:textId="77777777" w:rsidR="0004089D" w:rsidRPr="002D43ED" w:rsidRDefault="0004089D" w:rsidP="00121658">
            <w:pPr>
              <w:pStyle w:val="TableText"/>
              <w:rPr>
                <w:rFonts w:ascii="Arial" w:eastAsia="Calibri" w:hAnsi="Arial"/>
                <w:lang w:eastAsia="en-US"/>
              </w:rPr>
            </w:pPr>
            <w:r w:rsidRPr="002D43ED">
              <w:rPr>
                <w:rFonts w:ascii="Arial" w:eastAsia="Calibri" w:hAnsi="Arial"/>
                <w:lang w:eastAsia="en-US"/>
              </w:rPr>
              <w:t>Outcomes</w:t>
            </w:r>
          </w:p>
        </w:tc>
        <w:tc>
          <w:tcPr>
            <w:tcW w:w="7228" w:type="dxa"/>
          </w:tcPr>
          <w:p w14:paraId="54E95F08" w14:textId="77777777" w:rsidR="0004089D" w:rsidRPr="002D43ED" w:rsidRDefault="0004089D" w:rsidP="00121658">
            <w:pPr>
              <w:pStyle w:val="TableText"/>
              <w:rPr>
                <w:rFonts w:ascii="Arial" w:eastAsia="Calibri" w:hAnsi="Arial"/>
                <w:lang w:eastAsia="en-US"/>
              </w:rPr>
            </w:pPr>
            <w:r w:rsidRPr="002D43ED">
              <w:rPr>
                <w:rFonts w:ascii="Arial" w:eastAsia="Calibri" w:hAnsi="Arial"/>
                <w:lang w:eastAsia="en-US"/>
              </w:rPr>
              <w:t>Recommendations and clinical indications (diagnostic/prognostic criteria) for PAH treatment, clinical treatment algorithms (if provided)</w:t>
            </w:r>
          </w:p>
        </w:tc>
      </w:tr>
      <w:tr w:rsidR="0004089D" w:rsidRPr="002D43ED" w14:paraId="33918E89" w14:textId="77777777" w:rsidTr="0004089D">
        <w:tc>
          <w:tcPr>
            <w:tcW w:w="1839" w:type="dxa"/>
          </w:tcPr>
          <w:p w14:paraId="5EDD07DD" w14:textId="77777777" w:rsidR="0004089D" w:rsidRPr="002D43ED" w:rsidRDefault="0004089D" w:rsidP="00121658">
            <w:pPr>
              <w:pStyle w:val="TableText"/>
              <w:rPr>
                <w:rFonts w:ascii="Arial" w:eastAsia="Calibri" w:hAnsi="Arial"/>
                <w:lang w:eastAsia="en-US"/>
              </w:rPr>
            </w:pPr>
            <w:r w:rsidRPr="002D43ED">
              <w:rPr>
                <w:rFonts w:ascii="Arial" w:eastAsia="Calibri" w:hAnsi="Arial"/>
                <w:lang w:eastAsia="en-US"/>
              </w:rPr>
              <w:t>Health care setting</w:t>
            </w:r>
          </w:p>
        </w:tc>
        <w:tc>
          <w:tcPr>
            <w:tcW w:w="7228" w:type="dxa"/>
          </w:tcPr>
          <w:p w14:paraId="60839900" w14:textId="77777777" w:rsidR="0004089D" w:rsidRPr="002D43ED" w:rsidRDefault="0004089D" w:rsidP="00121658">
            <w:pPr>
              <w:pStyle w:val="TableText"/>
              <w:rPr>
                <w:rFonts w:ascii="Arial" w:eastAsia="Calibri" w:hAnsi="Arial"/>
                <w:lang w:eastAsia="en-US"/>
              </w:rPr>
            </w:pPr>
            <w:r w:rsidRPr="002D43ED">
              <w:rPr>
                <w:rFonts w:ascii="Arial" w:eastAsia="Calibri" w:hAnsi="Arial"/>
                <w:lang w:eastAsia="en-US"/>
              </w:rPr>
              <w:t>Primary (</w:t>
            </w:r>
            <w:r w:rsidRPr="002D43ED">
              <w:rPr>
                <w:rFonts w:ascii="Arial" w:eastAsia="Calibri" w:hAnsi="Arial"/>
                <w:i/>
                <w:lang w:eastAsia="en-US"/>
              </w:rPr>
              <w:t xml:space="preserve">e.g. </w:t>
            </w:r>
            <w:r w:rsidRPr="002D43ED">
              <w:rPr>
                <w:rFonts w:ascii="Arial" w:eastAsia="Calibri" w:hAnsi="Arial"/>
                <w:lang w:eastAsia="en-US"/>
              </w:rPr>
              <w:t>GP), secondary (</w:t>
            </w:r>
            <w:r w:rsidRPr="002D43ED">
              <w:rPr>
                <w:rFonts w:ascii="Arial" w:eastAsia="Calibri" w:hAnsi="Arial"/>
                <w:i/>
                <w:lang w:eastAsia="en-US"/>
              </w:rPr>
              <w:t xml:space="preserve">e.g. </w:t>
            </w:r>
            <w:r w:rsidRPr="002D43ED">
              <w:rPr>
                <w:rFonts w:ascii="Arial" w:eastAsia="Calibri" w:hAnsi="Arial"/>
                <w:lang w:eastAsia="en-US"/>
              </w:rPr>
              <w:t>outpatient) and tertiary (</w:t>
            </w:r>
            <w:r w:rsidRPr="002D43ED">
              <w:rPr>
                <w:rFonts w:ascii="Arial" w:eastAsia="Calibri" w:hAnsi="Arial"/>
                <w:i/>
                <w:lang w:eastAsia="en-US"/>
              </w:rPr>
              <w:t xml:space="preserve">e.g. </w:t>
            </w:r>
            <w:r w:rsidRPr="002D43ED">
              <w:rPr>
                <w:rFonts w:ascii="Arial" w:eastAsia="Calibri" w:hAnsi="Arial"/>
                <w:lang w:eastAsia="en-US"/>
              </w:rPr>
              <w:t>hospital) health care settings</w:t>
            </w:r>
          </w:p>
        </w:tc>
      </w:tr>
      <w:tr w:rsidR="0004089D" w:rsidRPr="002D43ED" w14:paraId="58E9E391" w14:textId="77777777" w:rsidTr="0004089D">
        <w:tc>
          <w:tcPr>
            <w:tcW w:w="1839" w:type="dxa"/>
          </w:tcPr>
          <w:p w14:paraId="7215E912" w14:textId="77777777" w:rsidR="0004089D" w:rsidRPr="002D43ED" w:rsidRDefault="0004089D" w:rsidP="00121658">
            <w:pPr>
              <w:pStyle w:val="TableText"/>
              <w:rPr>
                <w:rFonts w:ascii="Arial" w:eastAsia="Calibri" w:hAnsi="Arial"/>
                <w:lang w:eastAsia="en-US"/>
              </w:rPr>
            </w:pPr>
            <w:r w:rsidRPr="002D43ED">
              <w:rPr>
                <w:rFonts w:ascii="Arial" w:eastAsia="Calibri" w:hAnsi="Arial"/>
                <w:lang w:eastAsia="en-US"/>
              </w:rPr>
              <w:t>Publication type</w:t>
            </w:r>
            <w:r w:rsidRPr="002D43ED" w:rsidDel="00834DA4">
              <w:rPr>
                <w:rFonts w:ascii="Arial" w:eastAsia="Calibri" w:hAnsi="Arial"/>
                <w:lang w:eastAsia="en-US"/>
              </w:rPr>
              <w:t xml:space="preserve"> </w:t>
            </w:r>
          </w:p>
        </w:tc>
        <w:tc>
          <w:tcPr>
            <w:tcW w:w="7228" w:type="dxa"/>
          </w:tcPr>
          <w:p w14:paraId="4D9B466F" w14:textId="77777777" w:rsidR="0004089D" w:rsidRPr="002D43ED" w:rsidRDefault="0004089D" w:rsidP="00121658">
            <w:pPr>
              <w:pStyle w:val="TableText"/>
              <w:rPr>
                <w:rFonts w:ascii="Arial" w:eastAsia="Calibri" w:hAnsi="Arial"/>
                <w:lang w:eastAsia="en-US"/>
              </w:rPr>
            </w:pPr>
            <w:r w:rsidRPr="002D43ED">
              <w:rPr>
                <w:rFonts w:ascii="Arial" w:eastAsia="Calibri" w:hAnsi="Arial"/>
                <w:lang w:eastAsia="en-US"/>
              </w:rPr>
              <w:t xml:space="preserve">Evidence-based or evidence-linked clinical practice guidelines </w:t>
            </w:r>
          </w:p>
        </w:tc>
      </w:tr>
      <w:tr w:rsidR="0004089D" w:rsidRPr="002D43ED" w14:paraId="28120C94" w14:textId="77777777" w:rsidTr="0004089D">
        <w:tc>
          <w:tcPr>
            <w:tcW w:w="1839" w:type="dxa"/>
          </w:tcPr>
          <w:p w14:paraId="1FCC2A50" w14:textId="77777777" w:rsidR="0004089D" w:rsidRPr="002D43ED" w:rsidRDefault="0004089D" w:rsidP="00121658">
            <w:pPr>
              <w:pStyle w:val="TableText"/>
              <w:rPr>
                <w:rFonts w:ascii="Arial" w:eastAsia="Calibri" w:hAnsi="Arial"/>
                <w:lang w:eastAsia="en-US"/>
              </w:rPr>
            </w:pPr>
            <w:r w:rsidRPr="002D43ED">
              <w:rPr>
                <w:rFonts w:ascii="Arial" w:eastAsia="Calibri" w:hAnsi="Arial"/>
                <w:lang w:eastAsia="en-US"/>
              </w:rPr>
              <w:t>Language</w:t>
            </w:r>
          </w:p>
        </w:tc>
        <w:tc>
          <w:tcPr>
            <w:tcW w:w="7228" w:type="dxa"/>
          </w:tcPr>
          <w:p w14:paraId="76800378" w14:textId="77777777" w:rsidR="0004089D" w:rsidRPr="002D43ED" w:rsidRDefault="0004089D" w:rsidP="00121658">
            <w:pPr>
              <w:pStyle w:val="TableText"/>
              <w:rPr>
                <w:rFonts w:ascii="Arial" w:eastAsia="Calibri" w:hAnsi="Arial"/>
                <w:lang w:eastAsia="en-US"/>
              </w:rPr>
            </w:pPr>
            <w:r w:rsidRPr="002D43ED">
              <w:rPr>
                <w:rFonts w:ascii="Arial" w:eastAsia="Calibri" w:hAnsi="Arial"/>
                <w:lang w:eastAsia="en-US"/>
              </w:rPr>
              <w:t>English, or has been translated into English</w:t>
            </w:r>
          </w:p>
        </w:tc>
      </w:tr>
    </w:tbl>
    <w:p w14:paraId="57795884" w14:textId="77777777" w:rsidR="0004089D" w:rsidRPr="002D43ED" w:rsidRDefault="0004089D" w:rsidP="00121658">
      <w:pPr>
        <w:pStyle w:val="Tablenote"/>
        <w:rPr>
          <w:rFonts w:ascii="Arial" w:eastAsia="Calibri" w:hAnsi="Arial" w:cs="Arial"/>
          <w:sz w:val="18"/>
          <w:szCs w:val="18"/>
          <w:lang w:eastAsia="en-US"/>
        </w:rPr>
      </w:pPr>
      <w:r w:rsidRPr="002D43ED">
        <w:rPr>
          <w:rFonts w:ascii="Arial" w:eastAsia="Calibri" w:hAnsi="Arial" w:cs="Arial"/>
          <w:sz w:val="18"/>
          <w:szCs w:val="18"/>
          <w:lang w:eastAsia="en-US"/>
        </w:rPr>
        <w:t>FC = Functional class; GP = general practitioner; PAH = pulmonary arterial hypertension; WHO = World Health Organization</w:t>
      </w:r>
    </w:p>
    <w:p w14:paraId="6545961E" w14:textId="77777777" w:rsidR="0004089D" w:rsidRPr="0004089D" w:rsidRDefault="0004089D" w:rsidP="00121658">
      <w:pPr>
        <w:pStyle w:val="BodyTextnospacebefore"/>
      </w:pPr>
      <w:r w:rsidRPr="0004089D">
        <w:t>Accordingly, guidelines not included in this review were those that addressed pulmonary hypertension in patients with the following conditions, or other circumstances:</w:t>
      </w:r>
    </w:p>
    <w:p w14:paraId="399CF8C1" w14:textId="77777777" w:rsidR="0004089D" w:rsidRPr="0004089D" w:rsidRDefault="0004089D" w:rsidP="00921D13">
      <w:pPr>
        <w:pStyle w:val="08Bulletsseriesofsentences"/>
      </w:pPr>
      <w:r w:rsidRPr="0004089D">
        <w:t>Non ‘Group 1’ PH e.g. PPHN; CTEPH; PH due to interstitial lung dis</w:t>
      </w:r>
      <w:r w:rsidR="005A13E2">
        <w:t>ease; due to left heart disease</w:t>
      </w:r>
    </w:p>
    <w:p w14:paraId="55FFE79E" w14:textId="77777777" w:rsidR="0004089D" w:rsidRPr="0004089D" w:rsidRDefault="0004089D" w:rsidP="00921D13">
      <w:pPr>
        <w:pStyle w:val="08Bulletsseriesofsentences"/>
      </w:pPr>
      <w:r w:rsidRPr="0004089D">
        <w:t>Various topics in anaesthesia; pregnancy; pre-eclampsia</w:t>
      </w:r>
    </w:p>
    <w:p w14:paraId="55657AA1" w14:textId="77777777" w:rsidR="0004089D" w:rsidRPr="0004089D" w:rsidRDefault="0004089D" w:rsidP="00921D13">
      <w:pPr>
        <w:pStyle w:val="08Bulletsseriesofsentences"/>
      </w:pPr>
      <w:r w:rsidRPr="0004089D">
        <w:lastRenderedPageBreak/>
        <w:t xml:space="preserve">Acute care/intensive </w:t>
      </w:r>
      <w:r w:rsidR="005A13E2">
        <w:t>care topics for preterm infants</w:t>
      </w:r>
    </w:p>
    <w:p w14:paraId="311E5159" w14:textId="77777777" w:rsidR="0004089D" w:rsidRPr="0004089D" w:rsidRDefault="0004089D" w:rsidP="00921D13">
      <w:pPr>
        <w:pStyle w:val="08Bulletsseriesofsentences"/>
      </w:pPr>
      <w:r w:rsidRPr="0004089D">
        <w:t>Treatment of high altitu</w:t>
      </w:r>
      <w:r w:rsidR="005A13E2">
        <w:t>de sickness; pulmonary embolism</w:t>
      </w:r>
    </w:p>
    <w:p w14:paraId="73239B85" w14:textId="77777777" w:rsidR="0004089D" w:rsidRPr="0004089D" w:rsidRDefault="005A13E2" w:rsidP="00921D13">
      <w:pPr>
        <w:pStyle w:val="08Bulletsseriesofsentences"/>
      </w:pPr>
      <w:r>
        <w:t>Systemic hypertension</w:t>
      </w:r>
    </w:p>
    <w:p w14:paraId="38123581" w14:textId="77777777" w:rsidR="0004089D" w:rsidRPr="0004089D" w:rsidRDefault="0004089D" w:rsidP="00921D13">
      <w:pPr>
        <w:pStyle w:val="08Bulletsseriesofsentences"/>
      </w:pPr>
      <w:r w:rsidRPr="0004089D">
        <w:t>Sickle cell disease</w:t>
      </w:r>
      <w:r w:rsidR="005A13E2">
        <w:t>; thalassaemia; cystic fibrosis</w:t>
      </w:r>
    </w:p>
    <w:p w14:paraId="2D9B56D4" w14:textId="77777777" w:rsidR="0004089D" w:rsidRDefault="0004089D" w:rsidP="00921D13">
      <w:pPr>
        <w:pStyle w:val="08Bulletsseriesofsentences"/>
      </w:pPr>
      <w:r w:rsidRPr="0004089D">
        <w:t xml:space="preserve">Guidelines for non-OECD countries </w:t>
      </w:r>
      <w:r w:rsidR="00946A0A">
        <w:t>/</w:t>
      </w:r>
      <w:r w:rsidRPr="0004089D">
        <w:t xml:space="preserve"> healthcar</w:t>
      </w:r>
      <w:r w:rsidR="005A13E2">
        <w:t>e systems such as China, Turkey</w:t>
      </w:r>
    </w:p>
    <w:p w14:paraId="3B5EC900" w14:textId="77777777" w:rsidR="004460C6" w:rsidRPr="0004089D" w:rsidRDefault="004460C6" w:rsidP="00921D13">
      <w:pPr>
        <w:pStyle w:val="08Bulletsseriesofsentences"/>
      </w:pPr>
      <w:r>
        <w:t>Guidelines published prior to 2010</w:t>
      </w:r>
      <w:r w:rsidR="005A13E2">
        <w:t>.</w:t>
      </w:r>
    </w:p>
    <w:p w14:paraId="3E51D181" w14:textId="77777777" w:rsidR="0004089D" w:rsidRPr="004937E8" w:rsidRDefault="0004089D" w:rsidP="004937E8">
      <w:pPr>
        <w:spacing w:before="0" w:line="240" w:lineRule="auto"/>
        <w:rPr>
          <w:rFonts w:asciiTheme="minorHAnsi" w:hAnsiTheme="minorHAnsi"/>
        </w:rPr>
      </w:pPr>
      <w:r w:rsidRPr="004937E8">
        <w:rPr>
          <w:rFonts w:asciiTheme="minorHAnsi" w:hAnsiTheme="minorHAnsi"/>
        </w:rPr>
        <w:t xml:space="preserve">As there were few identifiable guidelines, searches </w:t>
      </w:r>
      <w:proofErr w:type="gramStart"/>
      <w:r w:rsidRPr="004937E8">
        <w:rPr>
          <w:rFonts w:asciiTheme="minorHAnsi" w:hAnsiTheme="minorHAnsi"/>
        </w:rPr>
        <w:t>were conducted</w:t>
      </w:r>
      <w:proofErr w:type="gramEnd"/>
      <w:r w:rsidRPr="004937E8">
        <w:rPr>
          <w:rFonts w:asciiTheme="minorHAnsi" w:hAnsiTheme="minorHAnsi"/>
        </w:rPr>
        <w:t xml:space="preserve"> with alternative, less stringent terms (‘pulmonary hypertension’ or ‘arterial hypertension’ or ‘hypertension’; ‘guidance’ or ‘recommendations’)</w:t>
      </w:r>
      <w:r w:rsidR="00C6734D" w:rsidRPr="004937E8">
        <w:rPr>
          <w:rFonts w:asciiTheme="minorHAnsi" w:hAnsiTheme="minorHAnsi"/>
        </w:rPr>
        <w:t xml:space="preserve">. </w:t>
      </w:r>
      <w:r w:rsidRPr="004937E8">
        <w:rPr>
          <w:rFonts w:asciiTheme="minorHAnsi" w:hAnsiTheme="minorHAnsi"/>
        </w:rPr>
        <w:t>The majority of results, regardless of search platform, were for the documents already identified (</w:t>
      </w:r>
      <w:r w:rsidR="004937E8" w:rsidRPr="004937E8">
        <w:rPr>
          <w:rFonts w:asciiTheme="minorHAnsi" w:hAnsiTheme="minorHAnsi"/>
        </w:rPr>
        <w:t>Table 1.4</w:t>
      </w:r>
      <w:r w:rsidRPr="004937E8">
        <w:rPr>
          <w:rFonts w:asciiTheme="minorHAnsi" w:hAnsiTheme="minorHAnsi" w:cstheme="minorHAnsi"/>
        </w:rPr>
        <w:t>) or were for other types of PH</w:t>
      </w:r>
      <w:r w:rsidR="00C6734D" w:rsidRPr="004937E8">
        <w:rPr>
          <w:rFonts w:asciiTheme="minorHAnsi" w:hAnsiTheme="minorHAnsi" w:cstheme="minorHAnsi"/>
        </w:rPr>
        <w:t xml:space="preserve">. </w:t>
      </w:r>
    </w:p>
    <w:p w14:paraId="63DF06CC" w14:textId="77777777" w:rsidR="0004089D" w:rsidRPr="0004089D" w:rsidRDefault="0004089D" w:rsidP="00121658">
      <w:pPr>
        <w:pStyle w:val="BodyTextnospacebefore"/>
        <w:rPr>
          <w:rFonts w:cstheme="minorHAnsi"/>
        </w:rPr>
      </w:pPr>
      <w:r w:rsidRPr="0004089D">
        <w:t xml:space="preserve">Searches </w:t>
      </w:r>
      <w:proofErr w:type="gramStart"/>
      <w:r w:rsidRPr="0004089D">
        <w:t>were aided</w:t>
      </w:r>
      <w:proofErr w:type="gramEnd"/>
      <w:r w:rsidRPr="0004089D">
        <w:t xml:space="preserve"> by the availability of older (pre-2010) guidelines – focused searches were done to identify updates to those documents using </w:t>
      </w:r>
      <w:r w:rsidR="00C40AC4" w:rsidRPr="0004089D">
        <w:t>PubMed</w:t>
      </w:r>
      <w:r w:rsidRPr="0004089D">
        <w:t xml:space="preserve">, Google and organisation websites. Searches also looked for other PAH recommendations published by </w:t>
      </w:r>
      <w:r w:rsidRPr="0004089D">
        <w:rPr>
          <w:rFonts w:cstheme="minorHAnsi"/>
        </w:rPr>
        <w:t>the specialist organisations in</w:t>
      </w:r>
      <w:r w:rsidR="002B29A8">
        <w:rPr>
          <w:rFonts w:cstheme="minorHAnsi"/>
        </w:rPr>
        <w:t xml:space="preserve"> </w:t>
      </w:r>
      <w:r w:rsidR="00165E64">
        <w:rPr>
          <w:rFonts w:cstheme="minorHAnsi"/>
        </w:rPr>
        <w:t>Table 1.3</w:t>
      </w:r>
      <w:r w:rsidR="00011758">
        <w:rPr>
          <w:rFonts w:cstheme="minorHAnsi"/>
        </w:rPr>
        <w:t>.</w:t>
      </w:r>
    </w:p>
    <w:p w14:paraId="7E149E24" w14:textId="77777777" w:rsidR="00A365C4" w:rsidRDefault="00250EDE" w:rsidP="00A365C4">
      <w:pPr>
        <w:pStyle w:val="Caption"/>
      </w:pPr>
      <w:bookmarkStart w:id="123" w:name="_Ref510797978"/>
      <w:bookmarkStart w:id="124" w:name="_Toc29377249"/>
      <w:bookmarkStart w:id="125" w:name="_Ref508895998"/>
      <w:bookmarkStart w:id="126" w:name="_Toc503047869"/>
      <w:bookmarkStart w:id="127" w:name="_Ref508895993"/>
      <w:r>
        <w:t>Table 1.</w:t>
      </w:r>
      <w:r w:rsidR="00505D99">
        <w:rPr>
          <w:noProof/>
        </w:rPr>
        <w:t>3</w:t>
      </w:r>
      <w:bookmarkEnd w:id="123"/>
      <w:r w:rsidR="00A365C4" w:rsidRPr="00A365C4">
        <w:t xml:space="preserve"> </w:t>
      </w:r>
      <w:r w:rsidR="00A365C4">
        <w:tab/>
        <w:t>Specialist groups targeted in search strategy</w:t>
      </w:r>
      <w:bookmarkEnd w:id="124"/>
    </w:p>
    <w:tbl>
      <w:tblPr>
        <w:tblStyle w:val="TableGrid"/>
        <w:tblW w:w="5000" w:type="pct"/>
        <w:tblLook w:val="04A0" w:firstRow="1" w:lastRow="0" w:firstColumn="1" w:lastColumn="0" w:noHBand="0" w:noVBand="1"/>
        <w:tblCaption w:val="Specialist groups targeted in search strategy"/>
      </w:tblPr>
      <w:tblGrid>
        <w:gridCol w:w="2041"/>
        <w:gridCol w:w="6975"/>
      </w:tblGrid>
      <w:tr w:rsidR="0004089D" w:rsidRPr="0004089D" w14:paraId="64DA6084" w14:textId="77777777" w:rsidTr="00236FB8">
        <w:trPr>
          <w:cnfStyle w:val="100000000000" w:firstRow="1" w:lastRow="0" w:firstColumn="0" w:lastColumn="0" w:oddVBand="0" w:evenVBand="0" w:oddHBand="0" w:evenHBand="0" w:firstRowFirstColumn="0" w:firstRowLastColumn="0" w:lastRowFirstColumn="0" w:lastRowLastColumn="0"/>
        </w:trPr>
        <w:tc>
          <w:tcPr>
            <w:tcW w:w="1132" w:type="pct"/>
          </w:tcPr>
          <w:bookmarkEnd w:id="125"/>
          <w:bookmarkEnd w:id="126"/>
          <w:bookmarkEnd w:id="127"/>
          <w:p w14:paraId="7803C9B4" w14:textId="77777777" w:rsidR="0004089D" w:rsidRPr="00F41286" w:rsidRDefault="00D342F1" w:rsidP="00B16322">
            <w:pPr>
              <w:pStyle w:val="TableText"/>
              <w:ind w:left="142"/>
              <w:rPr>
                <w:rFonts w:ascii="Arial" w:hAnsi="Arial"/>
                <w:b/>
              </w:rPr>
            </w:pPr>
            <w:r w:rsidRPr="00F41286">
              <w:rPr>
                <w:rFonts w:ascii="Arial" w:hAnsi="Arial"/>
                <w:b/>
              </w:rPr>
              <w:t>Country</w:t>
            </w:r>
          </w:p>
        </w:tc>
        <w:tc>
          <w:tcPr>
            <w:tcW w:w="3868" w:type="pct"/>
          </w:tcPr>
          <w:p w14:paraId="445DFDB2" w14:textId="77777777" w:rsidR="0004089D" w:rsidRPr="00F41286" w:rsidRDefault="00D342F1" w:rsidP="00B16322">
            <w:pPr>
              <w:pStyle w:val="TableText"/>
              <w:ind w:left="142"/>
              <w:rPr>
                <w:rFonts w:ascii="Arial" w:hAnsi="Arial"/>
                <w:b/>
              </w:rPr>
            </w:pPr>
            <w:r w:rsidRPr="00F41286">
              <w:rPr>
                <w:rFonts w:ascii="Arial" w:hAnsi="Arial"/>
                <w:b/>
              </w:rPr>
              <w:t>Specialist groups</w:t>
            </w:r>
          </w:p>
        </w:tc>
      </w:tr>
      <w:tr w:rsidR="00D342F1" w:rsidRPr="0004089D" w14:paraId="118F9D1B" w14:textId="77777777" w:rsidTr="00236FB8">
        <w:tc>
          <w:tcPr>
            <w:tcW w:w="1132" w:type="pct"/>
          </w:tcPr>
          <w:p w14:paraId="28B59367" w14:textId="77777777" w:rsidR="00D342F1" w:rsidRPr="00F41286" w:rsidRDefault="00D342F1" w:rsidP="00B16322">
            <w:pPr>
              <w:pStyle w:val="TableText"/>
              <w:ind w:left="142"/>
              <w:rPr>
                <w:rFonts w:ascii="Arial" w:hAnsi="Arial"/>
              </w:rPr>
            </w:pPr>
            <w:r w:rsidRPr="00F41286">
              <w:rPr>
                <w:rFonts w:ascii="Arial" w:hAnsi="Arial"/>
              </w:rPr>
              <w:t>Australia; New Zealand</w:t>
            </w:r>
          </w:p>
        </w:tc>
        <w:tc>
          <w:tcPr>
            <w:tcW w:w="3868" w:type="pct"/>
          </w:tcPr>
          <w:p w14:paraId="58E49C06" w14:textId="77777777" w:rsidR="00D342F1" w:rsidRPr="00F41286" w:rsidRDefault="00D342F1" w:rsidP="00B16322">
            <w:pPr>
              <w:pStyle w:val="TableText"/>
              <w:ind w:left="142"/>
              <w:rPr>
                <w:rFonts w:ascii="Arial" w:hAnsi="Arial"/>
              </w:rPr>
            </w:pPr>
            <w:r w:rsidRPr="00F41286">
              <w:rPr>
                <w:rFonts w:ascii="Arial" w:hAnsi="Arial"/>
              </w:rPr>
              <w:t xml:space="preserve">Pulmonary Hypertension Society of Australia and New Zealand (PHSANZ) </w:t>
            </w:r>
          </w:p>
          <w:p w14:paraId="55428891" w14:textId="77777777" w:rsidR="00D342F1" w:rsidRPr="00F41286" w:rsidRDefault="00D342F1" w:rsidP="00B16322">
            <w:pPr>
              <w:pStyle w:val="TableText"/>
              <w:ind w:left="142"/>
              <w:rPr>
                <w:rFonts w:ascii="Arial" w:hAnsi="Arial"/>
              </w:rPr>
            </w:pPr>
            <w:r w:rsidRPr="00F41286">
              <w:rPr>
                <w:rFonts w:ascii="Arial" w:hAnsi="Arial"/>
              </w:rPr>
              <w:t>The Cardiac Society of Australia and New Zealand</w:t>
            </w:r>
          </w:p>
          <w:p w14:paraId="747DFC36" w14:textId="77777777" w:rsidR="00D342F1" w:rsidRPr="00F41286" w:rsidRDefault="00D342F1" w:rsidP="00B16322">
            <w:pPr>
              <w:pStyle w:val="TableText"/>
              <w:ind w:left="142"/>
              <w:rPr>
                <w:rFonts w:ascii="Arial" w:hAnsi="Arial"/>
              </w:rPr>
            </w:pPr>
            <w:r w:rsidRPr="00F41286">
              <w:rPr>
                <w:rFonts w:ascii="Arial" w:hAnsi="Arial"/>
              </w:rPr>
              <w:t xml:space="preserve">Lung Foundation Australia </w:t>
            </w:r>
          </w:p>
          <w:p w14:paraId="2041A625" w14:textId="77777777" w:rsidR="00D342F1" w:rsidRPr="00F41286" w:rsidRDefault="00D342F1" w:rsidP="00B16322">
            <w:pPr>
              <w:pStyle w:val="TableText"/>
              <w:ind w:left="142"/>
              <w:rPr>
                <w:rFonts w:ascii="Arial" w:hAnsi="Arial"/>
              </w:rPr>
            </w:pPr>
            <w:r w:rsidRPr="00F41286">
              <w:rPr>
                <w:rFonts w:ascii="Arial" w:hAnsi="Arial"/>
              </w:rPr>
              <w:t>The Thoracic Society of Australia and New Zealand</w:t>
            </w:r>
          </w:p>
        </w:tc>
      </w:tr>
      <w:tr w:rsidR="0004089D" w:rsidRPr="0004089D" w14:paraId="6ACE9F41" w14:textId="77777777" w:rsidTr="0004089D">
        <w:tc>
          <w:tcPr>
            <w:tcW w:w="1132" w:type="pct"/>
          </w:tcPr>
          <w:p w14:paraId="4D8AC91C" w14:textId="77777777" w:rsidR="0004089D" w:rsidRPr="00F41286" w:rsidRDefault="0004089D" w:rsidP="00B16322">
            <w:pPr>
              <w:pStyle w:val="TableText"/>
              <w:ind w:left="142"/>
              <w:rPr>
                <w:rFonts w:ascii="Arial" w:hAnsi="Arial"/>
              </w:rPr>
            </w:pPr>
            <w:r w:rsidRPr="00F41286">
              <w:rPr>
                <w:rFonts w:ascii="Arial" w:hAnsi="Arial"/>
              </w:rPr>
              <w:t>UK</w:t>
            </w:r>
          </w:p>
        </w:tc>
        <w:tc>
          <w:tcPr>
            <w:tcW w:w="3868" w:type="pct"/>
          </w:tcPr>
          <w:p w14:paraId="605208C4" w14:textId="77777777" w:rsidR="0004089D" w:rsidRPr="00F41286" w:rsidRDefault="0004089D" w:rsidP="00B16322">
            <w:pPr>
              <w:pStyle w:val="TableText"/>
              <w:ind w:left="142"/>
              <w:rPr>
                <w:rFonts w:ascii="Arial" w:hAnsi="Arial"/>
              </w:rPr>
            </w:pPr>
            <w:r w:rsidRPr="00F41286">
              <w:rPr>
                <w:rFonts w:ascii="Arial" w:hAnsi="Arial"/>
              </w:rPr>
              <w:t>British Thoracic Society</w:t>
            </w:r>
          </w:p>
          <w:p w14:paraId="46273FFD" w14:textId="77777777" w:rsidR="0004089D" w:rsidRPr="00F41286" w:rsidRDefault="0004089D" w:rsidP="00B16322">
            <w:pPr>
              <w:pStyle w:val="TableText"/>
              <w:ind w:left="142"/>
              <w:rPr>
                <w:rFonts w:ascii="Arial" w:hAnsi="Arial"/>
              </w:rPr>
            </w:pPr>
            <w:r w:rsidRPr="00F41286">
              <w:rPr>
                <w:rFonts w:ascii="Arial" w:hAnsi="Arial"/>
              </w:rPr>
              <w:t>British Cardiovascular Society</w:t>
            </w:r>
          </w:p>
        </w:tc>
      </w:tr>
      <w:tr w:rsidR="0004089D" w:rsidRPr="0004089D" w14:paraId="75DA6454" w14:textId="77777777" w:rsidTr="0004089D">
        <w:tc>
          <w:tcPr>
            <w:tcW w:w="1132" w:type="pct"/>
          </w:tcPr>
          <w:p w14:paraId="13C0725C" w14:textId="77777777" w:rsidR="0004089D" w:rsidRPr="00F41286" w:rsidRDefault="0004089D" w:rsidP="00B16322">
            <w:pPr>
              <w:pStyle w:val="TableText"/>
              <w:ind w:left="142"/>
              <w:rPr>
                <w:rFonts w:ascii="Arial" w:hAnsi="Arial"/>
              </w:rPr>
            </w:pPr>
            <w:r w:rsidRPr="00F41286">
              <w:rPr>
                <w:rFonts w:ascii="Arial" w:hAnsi="Arial"/>
              </w:rPr>
              <w:t>Europe</w:t>
            </w:r>
          </w:p>
        </w:tc>
        <w:tc>
          <w:tcPr>
            <w:tcW w:w="3868" w:type="pct"/>
          </w:tcPr>
          <w:p w14:paraId="58EFDCB5" w14:textId="77777777" w:rsidR="0004089D" w:rsidRPr="00F41286" w:rsidRDefault="0004089D" w:rsidP="00B16322">
            <w:pPr>
              <w:pStyle w:val="TableText"/>
              <w:ind w:left="142"/>
              <w:rPr>
                <w:rFonts w:ascii="Arial" w:hAnsi="Arial"/>
              </w:rPr>
            </w:pPr>
            <w:r w:rsidRPr="00F41286">
              <w:rPr>
                <w:rFonts w:ascii="Arial" w:hAnsi="Arial"/>
              </w:rPr>
              <w:t>European Society of Cardiology</w:t>
            </w:r>
          </w:p>
          <w:p w14:paraId="04F2E8D2" w14:textId="77777777" w:rsidR="0004089D" w:rsidRPr="00F41286" w:rsidRDefault="0004089D" w:rsidP="00B16322">
            <w:pPr>
              <w:pStyle w:val="TableText"/>
              <w:ind w:left="142"/>
              <w:rPr>
                <w:rFonts w:ascii="Arial" w:hAnsi="Arial"/>
              </w:rPr>
            </w:pPr>
            <w:r w:rsidRPr="00F41286">
              <w:rPr>
                <w:rFonts w:ascii="Arial" w:hAnsi="Arial"/>
              </w:rPr>
              <w:t>European Respiratory Society</w:t>
            </w:r>
          </w:p>
        </w:tc>
      </w:tr>
      <w:tr w:rsidR="0004089D" w:rsidRPr="0004089D" w14:paraId="7658F691" w14:textId="77777777" w:rsidTr="0004089D">
        <w:tc>
          <w:tcPr>
            <w:tcW w:w="1132" w:type="pct"/>
          </w:tcPr>
          <w:p w14:paraId="5647D284" w14:textId="77777777" w:rsidR="0004089D" w:rsidRPr="00F41286" w:rsidRDefault="0004089D" w:rsidP="00B16322">
            <w:pPr>
              <w:pStyle w:val="TableText"/>
              <w:ind w:left="142"/>
              <w:rPr>
                <w:rFonts w:ascii="Arial" w:hAnsi="Arial"/>
              </w:rPr>
            </w:pPr>
            <w:r w:rsidRPr="00F41286">
              <w:rPr>
                <w:rFonts w:ascii="Arial" w:hAnsi="Arial"/>
              </w:rPr>
              <w:t>USA</w:t>
            </w:r>
          </w:p>
        </w:tc>
        <w:tc>
          <w:tcPr>
            <w:tcW w:w="3868" w:type="pct"/>
          </w:tcPr>
          <w:p w14:paraId="1C63F04A" w14:textId="77777777" w:rsidR="0004089D" w:rsidRPr="00F41286" w:rsidRDefault="0004089D" w:rsidP="00B16322">
            <w:pPr>
              <w:pStyle w:val="TableText"/>
              <w:ind w:left="142"/>
              <w:rPr>
                <w:rFonts w:ascii="Arial" w:hAnsi="Arial"/>
              </w:rPr>
            </w:pPr>
            <w:r w:rsidRPr="00F41286">
              <w:rPr>
                <w:rFonts w:ascii="Arial" w:hAnsi="Arial"/>
              </w:rPr>
              <w:t>American Thoracic Society</w:t>
            </w:r>
          </w:p>
          <w:p w14:paraId="410614A9" w14:textId="77777777" w:rsidR="0004089D" w:rsidRPr="00F41286" w:rsidRDefault="0004089D" w:rsidP="00B16322">
            <w:pPr>
              <w:pStyle w:val="TableText"/>
              <w:ind w:left="142"/>
              <w:rPr>
                <w:rFonts w:ascii="Arial" w:hAnsi="Arial"/>
              </w:rPr>
            </w:pPr>
            <w:r w:rsidRPr="00F41286">
              <w:rPr>
                <w:rFonts w:ascii="Arial" w:hAnsi="Arial"/>
              </w:rPr>
              <w:t>American College of Cardiology</w:t>
            </w:r>
          </w:p>
          <w:p w14:paraId="21535FB4" w14:textId="77777777" w:rsidR="0004089D" w:rsidRPr="00F41286" w:rsidRDefault="0004089D" w:rsidP="00B16322">
            <w:pPr>
              <w:pStyle w:val="TableText"/>
              <w:ind w:left="142"/>
              <w:rPr>
                <w:rFonts w:ascii="Arial" w:hAnsi="Arial"/>
              </w:rPr>
            </w:pPr>
            <w:r w:rsidRPr="00F41286">
              <w:rPr>
                <w:rFonts w:ascii="Arial" w:hAnsi="Arial"/>
              </w:rPr>
              <w:t>American Heart Association</w:t>
            </w:r>
          </w:p>
          <w:p w14:paraId="168B3ABC" w14:textId="77777777" w:rsidR="0004089D" w:rsidRPr="00F41286" w:rsidRDefault="0004089D" w:rsidP="00B16322">
            <w:pPr>
              <w:pStyle w:val="TableText"/>
              <w:ind w:left="142"/>
              <w:rPr>
                <w:rFonts w:ascii="Arial" w:hAnsi="Arial"/>
              </w:rPr>
            </w:pPr>
            <w:r w:rsidRPr="00F41286">
              <w:rPr>
                <w:rFonts w:ascii="Arial" w:hAnsi="Arial"/>
              </w:rPr>
              <w:t>American College of Chest Physicians</w:t>
            </w:r>
          </w:p>
        </w:tc>
      </w:tr>
    </w:tbl>
    <w:p w14:paraId="4DF80253" w14:textId="77777777" w:rsidR="0004089D" w:rsidRPr="0004089D" w:rsidRDefault="0004089D" w:rsidP="00B16322">
      <w:r w:rsidRPr="004937E8">
        <w:t xml:space="preserve">The </w:t>
      </w:r>
      <w:r w:rsidR="00F41286" w:rsidRPr="004937E8">
        <w:t xml:space="preserve">quality of the identified guidelines </w:t>
      </w:r>
      <w:proofErr w:type="gramStart"/>
      <w:r w:rsidR="00F41286" w:rsidRPr="004937E8">
        <w:t>was</w:t>
      </w:r>
      <w:r w:rsidRPr="004937E8">
        <w:t xml:space="preserve"> rated</w:t>
      </w:r>
      <w:proofErr w:type="gramEnd"/>
      <w:r w:rsidRPr="004937E8">
        <w:t xml:space="preserve"> according to the Appraisal of Guidelines for Research and Evaluation (AGREE) II instrument</w:t>
      </w:r>
      <w:r w:rsidR="009C556B" w:rsidRPr="004937E8">
        <w:rPr>
          <w:noProof/>
          <w:vertAlign w:val="superscript"/>
        </w:rPr>
        <w:t>18</w:t>
      </w:r>
      <w:r w:rsidR="00F41286" w:rsidRPr="004937E8">
        <w:t>.</w:t>
      </w:r>
      <w:r w:rsidRPr="004937E8">
        <w:t xml:space="preserve"> The results of the critical appraisal were i</w:t>
      </w:r>
      <w:r w:rsidR="00D368DF" w:rsidRPr="004937E8">
        <w:t>ncluded in the summary table</w:t>
      </w:r>
      <w:r w:rsidRPr="004937E8">
        <w:t xml:space="preserve"> (</w:t>
      </w:r>
      <w:r w:rsidR="004937E8">
        <w:t>Table 1.4</w:t>
      </w:r>
      <w:r w:rsidR="00165E64">
        <w:t>).</w:t>
      </w:r>
    </w:p>
    <w:p w14:paraId="3E7E087D" w14:textId="77777777" w:rsidR="0004089D" w:rsidRPr="0004089D" w:rsidRDefault="0004089D" w:rsidP="00B16322">
      <w:r w:rsidRPr="0004089D">
        <w:t xml:space="preserve">Of the guidelines identified, the CHEST guideline (US), the </w:t>
      </w:r>
      <w:r w:rsidR="00221D4C">
        <w:t xml:space="preserve">2015 </w:t>
      </w:r>
      <w:r w:rsidRPr="0004089D">
        <w:t>ESC/ERS guideline</w:t>
      </w:r>
      <w:r w:rsidR="006F26C5">
        <w:t>s</w:t>
      </w:r>
      <w:r w:rsidRPr="0004089D">
        <w:t xml:space="preserve"> (European) and the CADTH guideline (Canada) were the three guidelines with higher quality. </w:t>
      </w:r>
      <w:proofErr w:type="gramStart"/>
      <w:r w:rsidRPr="0004089D">
        <w:t>Thus</w:t>
      </w:r>
      <w:proofErr w:type="gramEnd"/>
      <w:r w:rsidRPr="0004089D">
        <w:t xml:space="preserve"> recommendations from these documents were given more credence than the other lower-scoring guidelines</w:t>
      </w:r>
      <w:r w:rsidR="00C6734D">
        <w:t xml:space="preserve">. </w:t>
      </w:r>
      <w:r w:rsidRPr="0004089D">
        <w:t>The lower scores were primarily due to low scores in domains of “Rigour of Development” and “Applicabili</w:t>
      </w:r>
      <w:r w:rsidR="00165E64">
        <w:t>ty” of the AGREE II instrument.</w:t>
      </w:r>
    </w:p>
    <w:p w14:paraId="04187131" w14:textId="77777777" w:rsidR="00D32790" w:rsidRPr="00B92CC9" w:rsidRDefault="00EC60C5" w:rsidP="00121658">
      <w:pPr>
        <w:pStyle w:val="Heading3"/>
        <w:jc w:val="left"/>
      </w:pPr>
      <w:bookmarkStart w:id="128" w:name="_Toc38377501"/>
      <w:r>
        <w:lastRenderedPageBreak/>
        <w:t>C</w:t>
      </w:r>
      <w:r w:rsidR="00D32790" w:rsidRPr="00B92CC9">
        <w:t xml:space="preserve">urrent clinical </w:t>
      </w:r>
      <w:bookmarkEnd w:id="118"/>
      <w:bookmarkEnd w:id="119"/>
      <w:bookmarkEnd w:id="120"/>
      <w:r w:rsidR="0004089D">
        <w:t>guidelines</w:t>
      </w:r>
      <w:r>
        <w:t xml:space="preserve"> identified</w:t>
      </w:r>
      <w:bookmarkEnd w:id="128"/>
    </w:p>
    <w:p w14:paraId="38BB06BE" w14:textId="77777777" w:rsidR="007D03DF" w:rsidRPr="004937E8" w:rsidRDefault="0004089D" w:rsidP="00B16322">
      <w:bookmarkStart w:id="129" w:name="_Toc473291071"/>
      <w:bookmarkStart w:id="130" w:name="_Toc480371874"/>
      <w:bookmarkStart w:id="131" w:name="_Toc486514222"/>
      <w:r w:rsidRPr="004937E8">
        <w:t xml:space="preserve">Overall, only </w:t>
      </w:r>
      <w:r w:rsidR="001034A1" w:rsidRPr="004937E8">
        <w:t>nine</w:t>
      </w:r>
      <w:r w:rsidRPr="004937E8">
        <w:t xml:space="preserve"> guidelines were considered relevant, covering diagnosis and treatment of PAH, the international classification scheme and recommendations for paediatric patients </w:t>
      </w:r>
      <w:r w:rsidR="00901B9B" w:rsidRPr="004937E8">
        <w:t>(</w:t>
      </w:r>
      <w:r w:rsidR="004937E8" w:rsidRPr="004937E8">
        <w:t>Table 1.4</w:t>
      </w:r>
      <w:r w:rsidR="00901B9B" w:rsidRPr="004937E8">
        <w:t xml:space="preserve">). </w:t>
      </w:r>
      <w:r w:rsidRPr="004937E8">
        <w:t>There are no guidelines</w:t>
      </w:r>
      <w:r w:rsidR="001266C7" w:rsidRPr="004937E8">
        <w:t xml:space="preserve"> specifically for Australia or </w:t>
      </w:r>
      <w:r w:rsidRPr="004937E8">
        <w:t>New Zealand</w:t>
      </w:r>
      <w:r w:rsidR="00C6734D" w:rsidRPr="004937E8">
        <w:t xml:space="preserve">. </w:t>
      </w:r>
      <w:r w:rsidR="007D03DF" w:rsidRPr="004937E8">
        <w:t xml:space="preserve">As such, this report assumes that European and </w:t>
      </w:r>
      <w:proofErr w:type="gramStart"/>
      <w:r w:rsidR="007D03DF" w:rsidRPr="004937E8">
        <w:t>US</w:t>
      </w:r>
      <w:proofErr w:type="gramEnd"/>
      <w:r w:rsidR="007D03DF" w:rsidRPr="004937E8">
        <w:t xml:space="preserve"> guideline recommendations are applicable to Australia, except for certain aspects (recommendations regarding drugs not on the market in Australia such as </w:t>
      </w:r>
      <w:proofErr w:type="spellStart"/>
      <w:r w:rsidR="007D03DF" w:rsidRPr="004937E8">
        <w:t>treprostinil</w:t>
      </w:r>
      <w:proofErr w:type="spellEnd"/>
      <w:r w:rsidR="007D03DF" w:rsidRPr="004937E8">
        <w:t>)</w:t>
      </w:r>
      <w:r w:rsidR="0004690C" w:rsidRPr="004937E8">
        <w:t>.</w:t>
      </w:r>
    </w:p>
    <w:p w14:paraId="79FE8BB9" w14:textId="77777777" w:rsidR="0004089D" w:rsidRPr="004937E8" w:rsidRDefault="0004089D" w:rsidP="00B16322">
      <w:r w:rsidRPr="004937E8">
        <w:t xml:space="preserve">Published reviews on PAH from various national/regional specialists organisations indicate that the 2015 European Society </w:t>
      </w:r>
      <w:r w:rsidR="001266C7" w:rsidRPr="004937E8">
        <w:t>of</w:t>
      </w:r>
      <w:r w:rsidRPr="004937E8">
        <w:t xml:space="preserve"> Cardiology /European Respiratory Society joint guideline</w:t>
      </w:r>
      <w:r w:rsidR="00940D2C">
        <w:t>s</w:t>
      </w:r>
      <w:r w:rsidR="009C556B" w:rsidRPr="004937E8">
        <w:rPr>
          <w:noProof/>
          <w:vertAlign w:val="superscript"/>
        </w:rPr>
        <w:t>8</w:t>
      </w:r>
      <w:r w:rsidR="00B70448">
        <w:rPr>
          <w:noProof/>
          <w:vertAlign w:val="superscript"/>
        </w:rPr>
        <w:t xml:space="preserve"> </w:t>
      </w:r>
      <w:r w:rsidRPr="004937E8">
        <w:rPr>
          <w:rFonts w:cstheme="minorHAnsi"/>
        </w:rPr>
        <w:t xml:space="preserve">(the </w:t>
      </w:r>
      <w:r w:rsidR="00221D4C">
        <w:rPr>
          <w:rFonts w:cstheme="minorHAnsi"/>
        </w:rPr>
        <w:t xml:space="preserve">2015 </w:t>
      </w:r>
      <w:r w:rsidRPr="004937E8">
        <w:rPr>
          <w:rFonts w:cstheme="minorHAnsi"/>
        </w:rPr>
        <w:t>ESC/ERS guideline</w:t>
      </w:r>
      <w:r w:rsidR="00940D2C">
        <w:rPr>
          <w:rFonts w:cstheme="minorHAnsi"/>
        </w:rPr>
        <w:t>s</w:t>
      </w:r>
      <w:r w:rsidRPr="004937E8">
        <w:rPr>
          <w:rFonts w:cstheme="minorHAnsi"/>
        </w:rPr>
        <w:t>)</w:t>
      </w:r>
      <w:r w:rsidRPr="004937E8">
        <w:t xml:space="preserve"> </w:t>
      </w:r>
      <w:r w:rsidR="00940D2C">
        <w:t xml:space="preserve">are </w:t>
      </w:r>
      <w:r w:rsidRPr="004937E8">
        <w:t>considered definitive not just for Europe but in other regions</w:t>
      </w:r>
      <w:r w:rsidR="00C6734D" w:rsidRPr="004937E8">
        <w:t xml:space="preserve">. </w:t>
      </w:r>
      <w:r w:rsidRPr="004937E8">
        <w:t>This guideline serves, alongside the equivalent US guideline from the American College of Chest Physicians (</w:t>
      </w:r>
      <w:r w:rsidRPr="004937E8">
        <w:rPr>
          <w:rFonts w:cstheme="minorHAnsi"/>
        </w:rPr>
        <w:t>i.e. the CHEST guideline</w:t>
      </w:r>
      <w:r w:rsidR="009C556B" w:rsidRPr="004937E8">
        <w:rPr>
          <w:rFonts w:cstheme="minorHAnsi"/>
          <w:noProof/>
          <w:vertAlign w:val="superscript"/>
        </w:rPr>
        <w:t>19</w:t>
      </w:r>
      <w:r w:rsidRPr="004937E8">
        <w:t>), as guidance for other countries – including Australia</w:t>
      </w:r>
      <w:r w:rsidR="0004690C" w:rsidRPr="004937E8">
        <w:t>.</w:t>
      </w:r>
    </w:p>
    <w:p w14:paraId="35433D35" w14:textId="77777777" w:rsidR="0004089D" w:rsidRPr="0004089D" w:rsidRDefault="0004089D" w:rsidP="00B16322">
      <w:r w:rsidRPr="004937E8">
        <w:t>Two further guidelines were identified from the US; one, a guideline on PAH treatment by the American College of Cardiology and the American Heart Association</w:t>
      </w:r>
      <w:r w:rsidR="009C556B" w:rsidRPr="004937E8">
        <w:rPr>
          <w:noProof/>
          <w:vertAlign w:val="superscript"/>
        </w:rPr>
        <w:t>20</w:t>
      </w:r>
      <w:r w:rsidRPr="004937E8">
        <w:t xml:space="preserve"> – but which dates from 2009 and has not been updated – and a guideline on diagnostic imaging criteria for PAH from the American College of Radiology</w:t>
      </w:r>
      <w:r w:rsidR="009C556B" w:rsidRPr="004937E8">
        <w:rPr>
          <w:noProof/>
          <w:vertAlign w:val="superscript"/>
        </w:rPr>
        <w:t>21</w:t>
      </w:r>
      <w:r w:rsidR="00C6734D" w:rsidRPr="004937E8">
        <w:t xml:space="preserve">. </w:t>
      </w:r>
      <w:r w:rsidRPr="004937E8">
        <w:t>In the US, a joint 2015 guideline by the American Heart Association and the American Thoracic Society covers all type</w:t>
      </w:r>
      <w:r w:rsidR="00E5237C" w:rsidRPr="004937E8">
        <w:t>s</w:t>
      </w:r>
      <w:r w:rsidRPr="004937E8">
        <w:t xml:space="preserve"> of PH in</w:t>
      </w:r>
      <w:r w:rsidRPr="0004089D">
        <w:t xml:space="preserve"> children (for this review, only those recommendations for PAH were considered)</w:t>
      </w:r>
      <w:r w:rsidR="009C556B" w:rsidRPr="009C556B">
        <w:rPr>
          <w:noProof/>
          <w:vertAlign w:val="superscript"/>
        </w:rPr>
        <w:t>22</w:t>
      </w:r>
      <w:r w:rsidR="00C6734D">
        <w:t xml:space="preserve">. </w:t>
      </w:r>
      <w:r w:rsidRPr="0004089D">
        <w:t>The current PH classification guideline</w:t>
      </w:r>
      <w:r w:rsidR="00403819">
        <w:t xml:space="preserve"> from the World Symposium on PAH</w:t>
      </w:r>
      <w:r w:rsidRPr="0004089D">
        <w:t xml:space="preserve"> is fundamental to definition of </w:t>
      </w:r>
      <w:r w:rsidR="00E5237C">
        <w:t xml:space="preserve">the </w:t>
      </w:r>
      <w:r w:rsidR="00656A1C">
        <w:t xml:space="preserve">eligible </w:t>
      </w:r>
      <w:r w:rsidRPr="0004089D">
        <w:t xml:space="preserve">patient </w:t>
      </w:r>
      <w:r w:rsidR="00E5237C">
        <w:t>populations</w:t>
      </w:r>
      <w:r w:rsidRPr="0004089D">
        <w:t xml:space="preserve"> even though it makes no treatment recommendations</w:t>
      </w:r>
      <w:r w:rsidR="009C556B" w:rsidRPr="00DC475B">
        <w:rPr>
          <w:noProof/>
          <w:vertAlign w:val="superscript"/>
        </w:rPr>
        <w:t>9</w:t>
      </w:r>
      <w:r w:rsidR="00C6734D">
        <w:t xml:space="preserve">. </w:t>
      </w:r>
      <w:r w:rsidR="00403819">
        <w:t>Also from the World Symposium, two consensus based guidelines were relevant (one for treatment of PAH in children</w:t>
      </w:r>
      <w:r w:rsidR="009C556B" w:rsidRPr="009C556B">
        <w:rPr>
          <w:noProof/>
          <w:vertAlign w:val="superscript"/>
        </w:rPr>
        <w:t>23</w:t>
      </w:r>
      <w:r w:rsidR="00403819">
        <w:t xml:space="preserve"> and a second regarding PAH diagnostics</w:t>
      </w:r>
      <w:r w:rsidR="009C556B" w:rsidRPr="009C556B">
        <w:rPr>
          <w:noProof/>
          <w:vertAlign w:val="superscript"/>
        </w:rPr>
        <w:t>24</w:t>
      </w:r>
      <w:r w:rsidR="00403819">
        <w:t xml:space="preserve">). The CHEST guideline defers all recommendations regarding treatment of children with PAH to the Ivy </w:t>
      </w:r>
      <w:proofErr w:type="gramStart"/>
      <w:r w:rsidR="00403819">
        <w:t>et</w:t>
      </w:r>
      <w:proofErr w:type="gramEnd"/>
      <w:r w:rsidR="00403819">
        <w:t xml:space="preserve"> al</w:t>
      </w:r>
      <w:r w:rsidR="009C556B" w:rsidRPr="009C556B">
        <w:rPr>
          <w:noProof/>
          <w:vertAlign w:val="superscript"/>
        </w:rPr>
        <w:t>23</w:t>
      </w:r>
      <w:r w:rsidR="00403819">
        <w:t xml:space="preserve"> document</w:t>
      </w:r>
      <w:r w:rsidR="0004690C">
        <w:t>.</w:t>
      </w:r>
    </w:p>
    <w:p w14:paraId="6F8FDD9D" w14:textId="77777777" w:rsidR="0004089D" w:rsidRDefault="0004089D" w:rsidP="00B16322">
      <w:r w:rsidRPr="0004089D">
        <w:t xml:space="preserve">Guidelines published before 2010 were not included, with the exception of </w:t>
      </w:r>
      <w:proofErr w:type="spellStart"/>
      <w:r w:rsidRPr="0004089D">
        <w:t>MacLaughlin</w:t>
      </w:r>
      <w:proofErr w:type="spellEnd"/>
      <w:r w:rsidRPr="0004089D">
        <w:t xml:space="preserve"> </w:t>
      </w:r>
      <w:r w:rsidRPr="0004089D">
        <w:rPr>
          <w:i/>
        </w:rPr>
        <w:t xml:space="preserve">et al </w:t>
      </w:r>
      <w:r w:rsidRPr="0004089D">
        <w:t>2009</w:t>
      </w:r>
      <w:r w:rsidR="009C556B" w:rsidRPr="009C556B">
        <w:rPr>
          <w:noProof/>
          <w:vertAlign w:val="superscript"/>
        </w:rPr>
        <w:t>20</w:t>
      </w:r>
      <w:r w:rsidRPr="0004089D">
        <w:t xml:space="preserve"> primarily because </w:t>
      </w:r>
      <w:r w:rsidR="004460C6">
        <w:t>this was the most recent version</w:t>
      </w:r>
      <w:r w:rsidRPr="0004089D">
        <w:t xml:space="preserve"> and US authors continue</w:t>
      </w:r>
      <w:r w:rsidR="004460C6">
        <w:t xml:space="preserve"> to cite it. It did not</w:t>
      </w:r>
      <w:r w:rsidRPr="0004089D">
        <w:t xml:space="preserve"> inform many of the treatment pathways developed for this review</w:t>
      </w:r>
      <w:r w:rsidR="00C6734D">
        <w:t xml:space="preserve">. </w:t>
      </w:r>
      <w:r w:rsidRPr="0004089D">
        <w:t>Guidelines identified in the search dating from before 2010 are available as updated versions, or did not cover newer PAH medicines macitentan and riociguat</w:t>
      </w:r>
      <w:r w:rsidR="0004690C">
        <w:t>.</w:t>
      </w:r>
    </w:p>
    <w:p w14:paraId="7D35B52F" w14:textId="77777777" w:rsidR="0004089D" w:rsidRDefault="0004089D" w:rsidP="00B16322">
      <w:r w:rsidRPr="0004089D">
        <w:t>A review by the Canadian Agency for Drugs and Tec</w:t>
      </w:r>
      <w:r w:rsidR="00B16322">
        <w:t xml:space="preserve">hnologies in Health </w:t>
      </w:r>
      <w:r w:rsidR="00215946">
        <w:t>(</w:t>
      </w:r>
      <w:r w:rsidR="00215946" w:rsidRPr="0004089D">
        <w:t>CADTH</w:t>
      </w:r>
      <w:r w:rsidR="00215946">
        <w:t xml:space="preserve">) </w:t>
      </w:r>
      <w:r w:rsidR="00B16322">
        <w:t>from March </w:t>
      </w:r>
      <w:r w:rsidRPr="0004089D">
        <w:t xml:space="preserve">2015 </w:t>
      </w:r>
      <w:proofErr w:type="gramStart"/>
      <w:r w:rsidRPr="0004089D">
        <w:t>wa</w:t>
      </w:r>
      <w:r>
        <w:t>s considered</w:t>
      </w:r>
      <w:proofErr w:type="gramEnd"/>
      <w:r>
        <w:t xml:space="preserve"> partially relevant</w:t>
      </w:r>
      <w:r w:rsidR="009C556B" w:rsidRPr="009C556B">
        <w:rPr>
          <w:noProof/>
          <w:vertAlign w:val="superscript"/>
        </w:rPr>
        <w:t>25</w:t>
      </w:r>
      <w:r w:rsidRPr="0004089D">
        <w:t>. Although it is driven by the costs and constraints of the Canadian healthcare system (as well as different prostanoids being available in Canada), it contains some informative, evidence-based recommendations on therapy choices, particularly combination/add-on treatments</w:t>
      </w:r>
      <w:r w:rsidR="00C6734D">
        <w:t xml:space="preserve">. </w:t>
      </w:r>
      <w:r w:rsidRPr="0004089D">
        <w:t xml:space="preserve">A similar review by the National Institute of Health and Care Excellence (NICE) in the United Kingdom was in development but </w:t>
      </w:r>
      <w:proofErr w:type="gramStart"/>
      <w:r w:rsidRPr="0004089D">
        <w:t>was halted</w:t>
      </w:r>
      <w:proofErr w:type="gramEnd"/>
      <w:r w:rsidRPr="0004089D">
        <w:t xml:space="preserve"> at the protocol stage as the National Health Service (NHS) had already issued commissioning guidance for </w:t>
      </w:r>
      <w:r w:rsidR="00F95235">
        <w:t>PAH medicines</w:t>
      </w:r>
      <w:r w:rsidR="009C556B" w:rsidRPr="009C556B">
        <w:rPr>
          <w:noProof/>
          <w:vertAlign w:val="superscript"/>
        </w:rPr>
        <w:t>26</w:t>
      </w:r>
      <w:r w:rsidR="00F41286">
        <w:t>.</w:t>
      </w:r>
      <w:r w:rsidR="00C6734D">
        <w:t xml:space="preserve"> </w:t>
      </w:r>
      <w:r w:rsidRPr="0004089D">
        <w:t xml:space="preserve">NHS commissioning guidance </w:t>
      </w:r>
      <w:r w:rsidRPr="0004089D">
        <w:lastRenderedPageBreak/>
        <w:t>for PAH</w:t>
      </w:r>
      <w:r w:rsidR="009C556B" w:rsidRPr="009C556B">
        <w:rPr>
          <w:noProof/>
          <w:vertAlign w:val="superscript"/>
        </w:rPr>
        <w:t>27</w:t>
      </w:r>
      <w:r w:rsidR="00F41286" w:rsidRPr="0004089D">
        <w:t xml:space="preserve"> </w:t>
      </w:r>
      <w:r w:rsidRPr="0004089D">
        <w:t xml:space="preserve">in turn was not relevant as it </w:t>
      </w:r>
      <w:proofErr w:type="gramStart"/>
      <w:r w:rsidRPr="0004089D">
        <w:t>is driven</w:t>
      </w:r>
      <w:proofErr w:type="gramEnd"/>
      <w:r w:rsidRPr="0004089D">
        <w:t xml:space="preserve"> by cost arrangements existing between manufacturers and the NHS and the availability of low cost sildenafil</w:t>
      </w:r>
      <w:r w:rsidR="0004690C">
        <w:t>.</w:t>
      </w:r>
    </w:p>
    <w:p w14:paraId="1074D4AC" w14:textId="77777777" w:rsidR="0004089D" w:rsidRPr="0004089D" w:rsidRDefault="0004089D" w:rsidP="00B16322">
      <w:r w:rsidRPr="0004089D">
        <w:t>The PBS restrictions include some specific haemodynamic variables</w:t>
      </w:r>
      <w:r w:rsidR="00C6734D">
        <w:t xml:space="preserve">. </w:t>
      </w:r>
      <w:r w:rsidRPr="0004089D">
        <w:t>To develop an informed view of guideline requirements for these aspects, it was necessary to draw on both PAH and interventional guidelines, as well as recent review articles</w:t>
      </w:r>
      <w:r w:rsidR="00C6734D">
        <w:t xml:space="preserve">. </w:t>
      </w:r>
      <w:r w:rsidRPr="0004089D">
        <w:t xml:space="preserve">However, an exhaustive search </w:t>
      </w:r>
      <w:proofErr w:type="gramStart"/>
      <w:r w:rsidRPr="0004089D">
        <w:t>was not conducted</w:t>
      </w:r>
      <w:proofErr w:type="gramEnd"/>
      <w:r w:rsidRPr="0004089D">
        <w:t xml:space="preserve"> to identify all potentially relevant interventional guidelines (namely echocardiography and cardiac catheterisation)</w:t>
      </w:r>
      <w:r w:rsidR="0004690C">
        <w:t>.</w:t>
      </w:r>
    </w:p>
    <w:p w14:paraId="6D0F830E" w14:textId="77777777" w:rsidR="00CE28F2" w:rsidRDefault="0004089D" w:rsidP="00B16322">
      <w:r w:rsidRPr="0004089D">
        <w:t xml:space="preserve">A 2010 guideline on echocardiography of the right heart by the American Society of Echocardiography (endorsed by its counterpart European Association of Echocardiography) </w:t>
      </w:r>
      <w:proofErr w:type="gramStart"/>
      <w:r w:rsidRPr="0004089D">
        <w:t>was used</w:t>
      </w:r>
      <w:proofErr w:type="gramEnd"/>
      <w:r w:rsidRPr="0004089D">
        <w:t xml:space="preserve"> to </w:t>
      </w:r>
      <w:r>
        <w:t>address some of these questions</w:t>
      </w:r>
      <w:r w:rsidR="009C556B" w:rsidRPr="009C556B">
        <w:rPr>
          <w:noProof/>
          <w:vertAlign w:val="superscript"/>
        </w:rPr>
        <w:t>28</w:t>
      </w:r>
      <w:r w:rsidR="00C6734D">
        <w:t xml:space="preserve">. </w:t>
      </w:r>
      <w:r w:rsidRPr="0004089D">
        <w:t xml:space="preserve">This </w:t>
      </w:r>
      <w:proofErr w:type="gramStart"/>
      <w:r w:rsidRPr="0004089D">
        <w:t>is cited</w:t>
      </w:r>
      <w:proofErr w:type="gramEnd"/>
      <w:r w:rsidRPr="0004089D">
        <w:t xml:space="preserve"> in the </w:t>
      </w:r>
      <w:r w:rsidR="008F6AA4">
        <w:t>2015 ESC/ERS Guidelines</w:t>
      </w:r>
      <w:r w:rsidRPr="0004089D">
        <w:t xml:space="preserve"> for this purpose</w:t>
      </w:r>
      <w:r w:rsidR="00C6734D">
        <w:t xml:space="preserve">. </w:t>
      </w:r>
      <w:r w:rsidRPr="0004089D">
        <w:t xml:space="preserve">A report from the Working Group on Diagnosis and Assessment </w:t>
      </w:r>
      <w:r>
        <w:t>of</w:t>
      </w:r>
      <w:r w:rsidRPr="0004089D">
        <w:t xml:space="preserve"> the 2013 Nice World Symposium contained further </w:t>
      </w:r>
      <w:r>
        <w:t>information</w:t>
      </w:r>
      <w:r w:rsidR="009C556B" w:rsidRPr="009C556B">
        <w:rPr>
          <w:noProof/>
          <w:vertAlign w:val="superscript"/>
        </w:rPr>
        <w:t>24</w:t>
      </w:r>
      <w:r w:rsidR="0004690C">
        <w:t>.</w:t>
      </w:r>
    </w:p>
    <w:p w14:paraId="07238F40" w14:textId="77777777" w:rsidR="00C4247C" w:rsidRDefault="00C4247C">
      <w:pPr>
        <w:spacing w:before="0" w:line="240" w:lineRule="auto"/>
        <w:rPr>
          <w:rFonts w:asciiTheme="minorHAnsi" w:hAnsiTheme="minorHAnsi"/>
          <w:b/>
          <w:iCs/>
          <w:szCs w:val="18"/>
        </w:rPr>
      </w:pPr>
      <w:bookmarkStart w:id="132" w:name="_Ref510794346"/>
      <w:bookmarkStart w:id="133" w:name="_Ref510797958"/>
      <w:r>
        <w:br w:type="page"/>
      </w:r>
    </w:p>
    <w:p w14:paraId="7A3B31BC" w14:textId="77777777" w:rsidR="00CE28F2" w:rsidRPr="00CB0EC1" w:rsidRDefault="00250EDE" w:rsidP="00250EDE">
      <w:pPr>
        <w:pStyle w:val="Caption"/>
      </w:pPr>
      <w:bookmarkStart w:id="134" w:name="_Toc29377250"/>
      <w:r>
        <w:lastRenderedPageBreak/>
        <w:t>Table 1.</w:t>
      </w:r>
      <w:r w:rsidR="00505D99">
        <w:rPr>
          <w:noProof/>
        </w:rPr>
        <w:t>4</w:t>
      </w:r>
      <w:bookmarkEnd w:id="132"/>
      <w:r w:rsidRPr="00250EDE">
        <w:t xml:space="preserve"> </w:t>
      </w:r>
      <w:r>
        <w:tab/>
      </w:r>
      <w:r w:rsidRPr="00CB0EC1">
        <w:t>Guidelines relevant to this review</w:t>
      </w:r>
      <w:bookmarkEnd w:id="133"/>
      <w:bookmarkEnd w:id="134"/>
    </w:p>
    <w:tbl>
      <w:tblPr>
        <w:tblStyle w:val="TableGrid"/>
        <w:tblW w:w="5108" w:type="pct"/>
        <w:tblInd w:w="5" w:type="dxa"/>
        <w:tblLayout w:type="fixed"/>
        <w:tblLook w:val="04A0" w:firstRow="1" w:lastRow="0" w:firstColumn="1" w:lastColumn="0" w:noHBand="0" w:noVBand="1"/>
        <w:tblCaption w:val="Guidelines relevant to this review"/>
      </w:tblPr>
      <w:tblGrid>
        <w:gridCol w:w="705"/>
        <w:gridCol w:w="1417"/>
        <w:gridCol w:w="1809"/>
        <w:gridCol w:w="4062"/>
        <w:gridCol w:w="1218"/>
      </w:tblGrid>
      <w:tr w:rsidR="00121658" w:rsidRPr="00B16322" w14:paraId="27AEC570" w14:textId="77777777" w:rsidTr="0084407B">
        <w:trPr>
          <w:cnfStyle w:val="100000000000" w:firstRow="1" w:lastRow="0" w:firstColumn="0" w:lastColumn="0" w:oddVBand="0" w:evenVBand="0" w:oddHBand="0" w:evenHBand="0" w:firstRowFirstColumn="0" w:firstRowLastColumn="0" w:lastRowFirstColumn="0" w:lastRowLastColumn="0"/>
        </w:trPr>
        <w:tc>
          <w:tcPr>
            <w:tcW w:w="383" w:type="pct"/>
            <w:shd w:val="clear" w:color="auto" w:fill="BFBFBF" w:themeFill="background1" w:themeFillShade="BF"/>
          </w:tcPr>
          <w:p w14:paraId="4BEFEEEF" w14:textId="77777777" w:rsidR="00CE28F2" w:rsidRPr="00F41286" w:rsidRDefault="00CE28F2" w:rsidP="00B16322">
            <w:pPr>
              <w:ind w:left="135" w:right="-144"/>
              <w:rPr>
                <w:rFonts w:ascii="Arial" w:hAnsi="Arial" w:cs="Arial"/>
                <w:b/>
                <w:sz w:val="20"/>
                <w:szCs w:val="20"/>
              </w:rPr>
            </w:pPr>
            <w:r w:rsidRPr="00F41286">
              <w:rPr>
                <w:rFonts w:ascii="Arial" w:hAnsi="Arial" w:cs="Arial"/>
                <w:b/>
                <w:sz w:val="20"/>
                <w:szCs w:val="20"/>
              </w:rPr>
              <w:t>Date</w:t>
            </w:r>
          </w:p>
        </w:tc>
        <w:tc>
          <w:tcPr>
            <w:tcW w:w="769" w:type="pct"/>
            <w:shd w:val="clear" w:color="auto" w:fill="BFBFBF" w:themeFill="background1" w:themeFillShade="BF"/>
          </w:tcPr>
          <w:p w14:paraId="4EAE278E" w14:textId="77777777" w:rsidR="00CE28F2" w:rsidRPr="00F41286" w:rsidRDefault="00CE28F2" w:rsidP="000D69DF">
            <w:pPr>
              <w:ind w:left="143"/>
              <w:rPr>
                <w:rFonts w:ascii="Arial" w:hAnsi="Arial" w:cs="Arial"/>
                <w:b/>
                <w:sz w:val="20"/>
                <w:szCs w:val="20"/>
              </w:rPr>
            </w:pPr>
            <w:r w:rsidRPr="00F41286">
              <w:rPr>
                <w:rFonts w:ascii="Arial" w:hAnsi="Arial" w:cs="Arial"/>
                <w:b/>
                <w:sz w:val="20"/>
                <w:szCs w:val="20"/>
              </w:rPr>
              <w:t>Type</w:t>
            </w:r>
          </w:p>
        </w:tc>
        <w:tc>
          <w:tcPr>
            <w:tcW w:w="982" w:type="pct"/>
            <w:shd w:val="clear" w:color="auto" w:fill="BFBFBF" w:themeFill="background1" w:themeFillShade="BF"/>
          </w:tcPr>
          <w:p w14:paraId="0A305F89" w14:textId="77777777" w:rsidR="00CE28F2" w:rsidRPr="00F41286" w:rsidRDefault="00CE28F2" w:rsidP="000D69DF">
            <w:pPr>
              <w:ind w:left="143"/>
              <w:rPr>
                <w:rFonts w:ascii="Arial" w:hAnsi="Arial" w:cs="Arial"/>
                <w:b/>
                <w:sz w:val="20"/>
                <w:szCs w:val="20"/>
              </w:rPr>
            </w:pPr>
            <w:r w:rsidRPr="00F41286">
              <w:rPr>
                <w:rFonts w:ascii="Arial" w:hAnsi="Arial" w:cs="Arial"/>
                <w:b/>
                <w:sz w:val="20"/>
                <w:szCs w:val="20"/>
              </w:rPr>
              <w:t>Organisation(s)</w:t>
            </w:r>
          </w:p>
        </w:tc>
        <w:tc>
          <w:tcPr>
            <w:tcW w:w="2205" w:type="pct"/>
            <w:shd w:val="clear" w:color="auto" w:fill="BFBFBF" w:themeFill="background1" w:themeFillShade="BF"/>
          </w:tcPr>
          <w:p w14:paraId="7CCDC24A" w14:textId="77777777" w:rsidR="00CE28F2" w:rsidRPr="00F41286" w:rsidRDefault="00CE28F2" w:rsidP="000D69DF">
            <w:pPr>
              <w:ind w:left="141"/>
              <w:rPr>
                <w:rFonts w:ascii="Arial" w:hAnsi="Arial" w:cs="Arial"/>
                <w:b/>
                <w:sz w:val="20"/>
                <w:szCs w:val="20"/>
              </w:rPr>
            </w:pPr>
            <w:r w:rsidRPr="00F41286">
              <w:rPr>
                <w:rFonts w:ascii="Arial" w:hAnsi="Arial" w:cs="Arial"/>
                <w:b/>
                <w:sz w:val="20"/>
                <w:szCs w:val="20"/>
              </w:rPr>
              <w:t>Title</w:t>
            </w:r>
          </w:p>
        </w:tc>
        <w:tc>
          <w:tcPr>
            <w:tcW w:w="661" w:type="pct"/>
            <w:shd w:val="clear" w:color="auto" w:fill="BFBFBF" w:themeFill="background1" w:themeFillShade="BF"/>
          </w:tcPr>
          <w:p w14:paraId="7CA38192" w14:textId="77777777" w:rsidR="00CE28F2" w:rsidRPr="00B16322" w:rsidRDefault="00CE28F2" w:rsidP="00B16322">
            <w:pPr>
              <w:ind w:left="141"/>
              <w:rPr>
                <w:rFonts w:ascii="Arial" w:hAnsi="Arial" w:cs="Arial"/>
                <w:b/>
                <w:sz w:val="20"/>
                <w:szCs w:val="20"/>
              </w:rPr>
            </w:pPr>
            <w:r w:rsidRPr="00B16322">
              <w:rPr>
                <w:rFonts w:ascii="Arial" w:hAnsi="Arial" w:cs="Arial"/>
                <w:b/>
                <w:sz w:val="20"/>
                <w:szCs w:val="20"/>
              </w:rPr>
              <w:t>Quality appraisal</w:t>
            </w:r>
          </w:p>
        </w:tc>
      </w:tr>
      <w:tr w:rsidR="00121658" w:rsidRPr="00B16322" w14:paraId="3D2C1398" w14:textId="77777777" w:rsidTr="0084407B">
        <w:tc>
          <w:tcPr>
            <w:tcW w:w="383" w:type="pct"/>
            <w:tcBorders>
              <w:bottom w:val="single" w:sz="4" w:space="0" w:color="auto"/>
            </w:tcBorders>
          </w:tcPr>
          <w:p w14:paraId="76D915DA" w14:textId="77777777" w:rsidR="00CE28F2" w:rsidRPr="00B16322" w:rsidRDefault="00CE28F2" w:rsidP="00B16322">
            <w:pPr>
              <w:ind w:left="135"/>
              <w:rPr>
                <w:rFonts w:ascii="Arial" w:hAnsi="Arial" w:cs="Arial"/>
                <w:sz w:val="20"/>
                <w:szCs w:val="20"/>
              </w:rPr>
            </w:pPr>
            <w:r w:rsidRPr="00B16322">
              <w:rPr>
                <w:rFonts w:ascii="Arial" w:hAnsi="Arial" w:cs="Arial"/>
                <w:sz w:val="20"/>
                <w:szCs w:val="20"/>
              </w:rPr>
              <w:t>2016</w:t>
            </w:r>
          </w:p>
        </w:tc>
        <w:tc>
          <w:tcPr>
            <w:tcW w:w="769" w:type="pct"/>
            <w:tcBorders>
              <w:bottom w:val="single" w:sz="4" w:space="0" w:color="auto"/>
            </w:tcBorders>
          </w:tcPr>
          <w:p w14:paraId="012846EF"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Clinical guidance</w:t>
            </w:r>
          </w:p>
        </w:tc>
        <w:tc>
          <w:tcPr>
            <w:tcW w:w="982" w:type="pct"/>
            <w:tcBorders>
              <w:bottom w:val="single" w:sz="4" w:space="0" w:color="auto"/>
            </w:tcBorders>
          </w:tcPr>
          <w:p w14:paraId="0135E052"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American College of Radiology</w:t>
            </w:r>
          </w:p>
        </w:tc>
        <w:tc>
          <w:tcPr>
            <w:tcW w:w="2205" w:type="pct"/>
            <w:tcBorders>
              <w:bottom w:val="single" w:sz="4" w:space="0" w:color="auto"/>
            </w:tcBorders>
          </w:tcPr>
          <w:p w14:paraId="0AEB64B0" w14:textId="77777777" w:rsidR="00CE28F2" w:rsidRPr="00B16322" w:rsidRDefault="00CE28F2" w:rsidP="009C556B">
            <w:pPr>
              <w:ind w:left="141"/>
              <w:rPr>
                <w:rFonts w:ascii="Arial" w:hAnsi="Arial" w:cs="Arial"/>
                <w:sz w:val="20"/>
                <w:szCs w:val="20"/>
              </w:rPr>
            </w:pPr>
            <w:r w:rsidRPr="00B16322">
              <w:rPr>
                <w:rFonts w:ascii="Arial" w:hAnsi="Arial" w:cs="Arial"/>
                <w:sz w:val="20"/>
                <w:szCs w:val="20"/>
              </w:rPr>
              <w:t>ACR Appropriateness Criteria suspected pulmonary hypertension</w:t>
            </w:r>
            <w:r w:rsidR="009C556B" w:rsidRPr="00B16322">
              <w:rPr>
                <w:rFonts w:ascii="Arial" w:hAnsi="Arial" w:cs="Arial"/>
                <w:i/>
                <w:noProof/>
                <w:sz w:val="20"/>
                <w:szCs w:val="20"/>
                <w:vertAlign w:val="superscript"/>
              </w:rPr>
              <w:t>21</w:t>
            </w:r>
          </w:p>
        </w:tc>
        <w:tc>
          <w:tcPr>
            <w:tcW w:w="661" w:type="pct"/>
            <w:tcBorders>
              <w:bottom w:val="single" w:sz="4" w:space="0" w:color="auto"/>
            </w:tcBorders>
          </w:tcPr>
          <w:p w14:paraId="03826A13" w14:textId="77777777" w:rsidR="00CE28F2" w:rsidRPr="00B16322" w:rsidRDefault="00CE28F2" w:rsidP="000D69DF">
            <w:pPr>
              <w:ind w:left="142"/>
              <w:rPr>
                <w:rFonts w:ascii="Arial" w:hAnsi="Arial" w:cs="Arial"/>
                <w:sz w:val="20"/>
                <w:szCs w:val="20"/>
              </w:rPr>
            </w:pPr>
            <w:r w:rsidRPr="00B16322">
              <w:rPr>
                <w:rFonts w:ascii="Arial" w:hAnsi="Arial" w:cs="Arial"/>
                <w:sz w:val="20"/>
                <w:szCs w:val="20"/>
              </w:rPr>
              <w:t>Low-to-moderate</w:t>
            </w:r>
          </w:p>
        </w:tc>
      </w:tr>
      <w:tr w:rsidR="00121658" w:rsidRPr="00B16322" w14:paraId="78A2752F" w14:textId="77777777" w:rsidTr="0084407B">
        <w:tc>
          <w:tcPr>
            <w:tcW w:w="383" w:type="pct"/>
            <w:tcBorders>
              <w:top w:val="single" w:sz="4" w:space="0" w:color="auto"/>
            </w:tcBorders>
          </w:tcPr>
          <w:p w14:paraId="5EF893E7" w14:textId="77777777" w:rsidR="00CE28F2" w:rsidRPr="00B16322" w:rsidRDefault="00CE28F2" w:rsidP="00B16322">
            <w:pPr>
              <w:ind w:left="135"/>
              <w:rPr>
                <w:rFonts w:ascii="Arial" w:hAnsi="Arial" w:cs="Arial"/>
                <w:sz w:val="20"/>
                <w:szCs w:val="20"/>
              </w:rPr>
            </w:pPr>
            <w:r w:rsidRPr="00B16322">
              <w:rPr>
                <w:rFonts w:ascii="Arial" w:hAnsi="Arial" w:cs="Arial"/>
                <w:sz w:val="20"/>
                <w:szCs w:val="20"/>
              </w:rPr>
              <w:t>2015</w:t>
            </w:r>
          </w:p>
        </w:tc>
        <w:tc>
          <w:tcPr>
            <w:tcW w:w="769" w:type="pct"/>
            <w:tcBorders>
              <w:top w:val="single" w:sz="4" w:space="0" w:color="auto"/>
            </w:tcBorders>
          </w:tcPr>
          <w:p w14:paraId="014F00B4"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Clinical guidance</w:t>
            </w:r>
          </w:p>
        </w:tc>
        <w:tc>
          <w:tcPr>
            <w:tcW w:w="982" w:type="pct"/>
            <w:tcBorders>
              <w:top w:val="single" w:sz="4" w:space="0" w:color="auto"/>
            </w:tcBorders>
          </w:tcPr>
          <w:p w14:paraId="4EDAAF90"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American Heart Association</w:t>
            </w:r>
          </w:p>
          <w:p w14:paraId="368E0DAB"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American Thoracic Society</w:t>
            </w:r>
          </w:p>
        </w:tc>
        <w:tc>
          <w:tcPr>
            <w:tcW w:w="2205" w:type="pct"/>
            <w:tcBorders>
              <w:top w:val="single" w:sz="4" w:space="0" w:color="auto"/>
            </w:tcBorders>
          </w:tcPr>
          <w:p w14:paraId="02AF1CB6" w14:textId="77777777" w:rsidR="00CE28F2" w:rsidRPr="00B16322" w:rsidRDefault="00CE28F2" w:rsidP="000D69DF">
            <w:pPr>
              <w:ind w:left="141"/>
              <w:rPr>
                <w:rFonts w:ascii="Arial" w:hAnsi="Arial" w:cs="Arial"/>
                <w:sz w:val="20"/>
                <w:szCs w:val="20"/>
              </w:rPr>
            </w:pPr>
            <w:r w:rsidRPr="00B16322">
              <w:rPr>
                <w:rFonts w:ascii="Arial" w:hAnsi="Arial" w:cs="Arial"/>
                <w:sz w:val="20"/>
                <w:szCs w:val="20"/>
              </w:rPr>
              <w:t xml:space="preserve">AHA/ATS Guideline: </w:t>
            </w:r>
            <w:proofErr w:type="spellStart"/>
            <w:r w:rsidRPr="00B16322">
              <w:rPr>
                <w:rFonts w:ascii="Arial" w:hAnsi="Arial" w:cs="Arial"/>
                <w:sz w:val="20"/>
                <w:szCs w:val="20"/>
              </w:rPr>
              <w:t>Pediatric</w:t>
            </w:r>
            <w:proofErr w:type="spellEnd"/>
            <w:r w:rsidRPr="00B16322">
              <w:rPr>
                <w:rFonts w:ascii="Arial" w:hAnsi="Arial" w:cs="Arial"/>
                <w:sz w:val="20"/>
                <w:szCs w:val="20"/>
              </w:rPr>
              <w:t xml:space="preserve"> Pulmonary Hypertension</w:t>
            </w:r>
            <w:r w:rsidR="009C556B" w:rsidRPr="00B16322">
              <w:rPr>
                <w:rFonts w:ascii="Arial" w:hAnsi="Arial" w:cs="Arial"/>
                <w:i/>
                <w:noProof/>
                <w:sz w:val="20"/>
                <w:szCs w:val="20"/>
                <w:vertAlign w:val="superscript"/>
              </w:rPr>
              <w:t>22</w:t>
            </w:r>
          </w:p>
          <w:p w14:paraId="12ED1F74" w14:textId="77777777" w:rsidR="00CE28F2" w:rsidRPr="00B16322" w:rsidRDefault="00CE28F2" w:rsidP="000D69DF">
            <w:pPr>
              <w:ind w:left="141"/>
              <w:rPr>
                <w:rFonts w:ascii="Arial" w:hAnsi="Arial" w:cs="Arial"/>
                <w:sz w:val="20"/>
                <w:szCs w:val="20"/>
              </w:rPr>
            </w:pPr>
            <w:r w:rsidRPr="00B16322">
              <w:rPr>
                <w:rFonts w:ascii="Arial" w:hAnsi="Arial" w:cs="Arial"/>
                <w:b/>
                <w:sz w:val="20"/>
                <w:szCs w:val="20"/>
              </w:rPr>
              <w:t>NOTE: hybrid of both evidence-based and consensus based recommendations</w:t>
            </w:r>
          </w:p>
        </w:tc>
        <w:tc>
          <w:tcPr>
            <w:tcW w:w="661" w:type="pct"/>
            <w:tcBorders>
              <w:top w:val="single" w:sz="4" w:space="0" w:color="auto"/>
            </w:tcBorders>
          </w:tcPr>
          <w:p w14:paraId="2DDC5480" w14:textId="77777777" w:rsidR="00CE28F2" w:rsidRPr="00B16322" w:rsidRDefault="00B16322" w:rsidP="000D69DF">
            <w:pPr>
              <w:ind w:left="142"/>
              <w:rPr>
                <w:rFonts w:ascii="Arial" w:hAnsi="Arial" w:cs="Arial"/>
                <w:sz w:val="20"/>
                <w:szCs w:val="20"/>
              </w:rPr>
            </w:pPr>
            <w:r>
              <w:rPr>
                <w:rFonts w:ascii="Arial" w:hAnsi="Arial" w:cs="Arial"/>
                <w:sz w:val="20"/>
                <w:szCs w:val="20"/>
              </w:rPr>
              <w:t>M</w:t>
            </w:r>
            <w:r w:rsidR="00CE28F2" w:rsidRPr="00B16322">
              <w:rPr>
                <w:rFonts w:ascii="Arial" w:hAnsi="Arial" w:cs="Arial"/>
                <w:sz w:val="20"/>
                <w:szCs w:val="20"/>
              </w:rPr>
              <w:t>oderate</w:t>
            </w:r>
          </w:p>
        </w:tc>
      </w:tr>
      <w:tr w:rsidR="00121658" w:rsidRPr="00B16322" w14:paraId="39843441" w14:textId="77777777" w:rsidTr="0084407B">
        <w:tc>
          <w:tcPr>
            <w:tcW w:w="383" w:type="pct"/>
          </w:tcPr>
          <w:p w14:paraId="0B767F3E" w14:textId="77777777" w:rsidR="00CE28F2" w:rsidRPr="00B16322" w:rsidRDefault="00CE28F2" w:rsidP="00B16322">
            <w:pPr>
              <w:ind w:left="135"/>
              <w:rPr>
                <w:rFonts w:ascii="Arial" w:hAnsi="Arial" w:cs="Arial"/>
                <w:sz w:val="20"/>
                <w:szCs w:val="20"/>
              </w:rPr>
            </w:pPr>
            <w:r w:rsidRPr="00B16322">
              <w:rPr>
                <w:rFonts w:ascii="Arial" w:hAnsi="Arial" w:cs="Arial"/>
                <w:sz w:val="20"/>
                <w:szCs w:val="20"/>
              </w:rPr>
              <w:t>2015</w:t>
            </w:r>
          </w:p>
        </w:tc>
        <w:tc>
          <w:tcPr>
            <w:tcW w:w="769" w:type="pct"/>
          </w:tcPr>
          <w:p w14:paraId="5BFC280B"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Clinical guidance</w:t>
            </w:r>
          </w:p>
        </w:tc>
        <w:tc>
          <w:tcPr>
            <w:tcW w:w="982" w:type="pct"/>
          </w:tcPr>
          <w:p w14:paraId="73990283"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European Society of Cardiology (ESC)</w:t>
            </w:r>
            <w:r w:rsidRPr="00B16322">
              <w:rPr>
                <w:rFonts w:ascii="Arial" w:hAnsi="Arial" w:cs="Arial"/>
                <w:sz w:val="20"/>
                <w:szCs w:val="20"/>
              </w:rPr>
              <w:br/>
              <w:t>European Respiratory Society (ERS)</w:t>
            </w:r>
          </w:p>
        </w:tc>
        <w:tc>
          <w:tcPr>
            <w:tcW w:w="2205" w:type="pct"/>
          </w:tcPr>
          <w:p w14:paraId="50025798" w14:textId="77777777" w:rsidR="00CE28F2" w:rsidRPr="00B16322" w:rsidRDefault="00CE28F2" w:rsidP="009C556B">
            <w:pPr>
              <w:ind w:left="141"/>
              <w:rPr>
                <w:rFonts w:ascii="Arial" w:hAnsi="Arial" w:cs="Arial"/>
                <w:i/>
                <w:sz w:val="20"/>
                <w:szCs w:val="20"/>
              </w:rPr>
            </w:pPr>
            <w:r w:rsidRPr="00B16322">
              <w:rPr>
                <w:rFonts w:ascii="Arial" w:hAnsi="Arial" w:cs="Arial"/>
                <w:sz w:val="20"/>
                <w:szCs w:val="20"/>
              </w:rPr>
              <w:t>2015 ESC/ERS Guidelines for the diagnosis and treatment of pulmonary hypertension</w:t>
            </w:r>
            <w:r w:rsidR="009C556B" w:rsidRPr="00B16322">
              <w:rPr>
                <w:rFonts w:ascii="Arial" w:hAnsi="Arial" w:cs="Arial"/>
                <w:i/>
                <w:sz w:val="20"/>
                <w:szCs w:val="20"/>
                <w:vertAlign w:val="superscript"/>
              </w:rPr>
              <w:t>8</w:t>
            </w:r>
          </w:p>
        </w:tc>
        <w:tc>
          <w:tcPr>
            <w:tcW w:w="661" w:type="pct"/>
          </w:tcPr>
          <w:p w14:paraId="04E753BD" w14:textId="77777777" w:rsidR="00CE28F2" w:rsidRPr="00B16322" w:rsidRDefault="00CE28F2" w:rsidP="000D69DF">
            <w:pPr>
              <w:ind w:left="142"/>
              <w:rPr>
                <w:rFonts w:ascii="Arial" w:hAnsi="Arial" w:cs="Arial"/>
                <w:sz w:val="20"/>
                <w:szCs w:val="20"/>
              </w:rPr>
            </w:pPr>
            <w:r w:rsidRPr="00B16322">
              <w:rPr>
                <w:rFonts w:ascii="Arial" w:hAnsi="Arial" w:cs="Arial"/>
                <w:sz w:val="20"/>
                <w:szCs w:val="20"/>
              </w:rPr>
              <w:t>Moderate-to-high</w:t>
            </w:r>
          </w:p>
        </w:tc>
      </w:tr>
      <w:tr w:rsidR="00121658" w:rsidRPr="00B16322" w14:paraId="324A2F57" w14:textId="77777777" w:rsidTr="0084407B">
        <w:tc>
          <w:tcPr>
            <w:tcW w:w="383" w:type="pct"/>
          </w:tcPr>
          <w:p w14:paraId="1FD57D1A" w14:textId="77777777" w:rsidR="00CE28F2" w:rsidRPr="00B16322" w:rsidRDefault="00CE28F2" w:rsidP="00B16322">
            <w:pPr>
              <w:ind w:left="135"/>
              <w:rPr>
                <w:rFonts w:ascii="Arial" w:hAnsi="Arial" w:cs="Arial"/>
                <w:sz w:val="20"/>
                <w:szCs w:val="20"/>
              </w:rPr>
            </w:pPr>
            <w:r w:rsidRPr="00B16322">
              <w:rPr>
                <w:rFonts w:ascii="Arial" w:hAnsi="Arial" w:cs="Arial"/>
                <w:sz w:val="20"/>
                <w:szCs w:val="20"/>
              </w:rPr>
              <w:t>2015</w:t>
            </w:r>
          </w:p>
        </w:tc>
        <w:tc>
          <w:tcPr>
            <w:tcW w:w="769" w:type="pct"/>
          </w:tcPr>
          <w:p w14:paraId="5C2D1FF7"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Health technology assessment</w:t>
            </w:r>
          </w:p>
        </w:tc>
        <w:tc>
          <w:tcPr>
            <w:tcW w:w="982" w:type="pct"/>
          </w:tcPr>
          <w:p w14:paraId="4A30388C"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Canadian Agency for Drugs and Technologies in Health</w:t>
            </w:r>
          </w:p>
        </w:tc>
        <w:tc>
          <w:tcPr>
            <w:tcW w:w="2205" w:type="pct"/>
          </w:tcPr>
          <w:p w14:paraId="36F62954" w14:textId="77777777" w:rsidR="00CE28F2" w:rsidRPr="00B16322" w:rsidRDefault="00CE28F2" w:rsidP="009C556B">
            <w:pPr>
              <w:ind w:left="141"/>
              <w:rPr>
                <w:rFonts w:ascii="Arial" w:hAnsi="Arial" w:cs="Arial"/>
                <w:i/>
                <w:sz w:val="20"/>
                <w:szCs w:val="20"/>
              </w:rPr>
            </w:pPr>
            <w:r w:rsidRPr="00B16322">
              <w:rPr>
                <w:rFonts w:ascii="Arial" w:hAnsi="Arial" w:cs="Arial"/>
                <w:sz w:val="20"/>
                <w:szCs w:val="20"/>
              </w:rPr>
              <w:t>Drugs for Pulmonary Arterial Hypertension: Comparative Efficacy, Safety, and Cost-Effectiveness — Recommendations Report</w:t>
            </w:r>
            <w:r w:rsidR="009C556B" w:rsidRPr="00B16322">
              <w:rPr>
                <w:rFonts w:ascii="Arial" w:hAnsi="Arial" w:cs="Arial"/>
                <w:i/>
                <w:noProof/>
                <w:sz w:val="20"/>
                <w:szCs w:val="20"/>
                <w:vertAlign w:val="superscript"/>
              </w:rPr>
              <w:t>25</w:t>
            </w:r>
          </w:p>
        </w:tc>
        <w:tc>
          <w:tcPr>
            <w:tcW w:w="661" w:type="pct"/>
          </w:tcPr>
          <w:p w14:paraId="1C9C4685" w14:textId="77777777" w:rsidR="00CE28F2" w:rsidRPr="00B16322" w:rsidRDefault="00CE28F2" w:rsidP="000D69DF">
            <w:pPr>
              <w:ind w:left="142"/>
              <w:rPr>
                <w:rFonts w:ascii="Arial" w:hAnsi="Arial" w:cs="Arial"/>
                <w:sz w:val="20"/>
                <w:szCs w:val="20"/>
              </w:rPr>
            </w:pPr>
            <w:r w:rsidRPr="00B16322">
              <w:rPr>
                <w:rFonts w:ascii="Arial" w:hAnsi="Arial" w:cs="Arial"/>
                <w:sz w:val="20"/>
                <w:szCs w:val="20"/>
              </w:rPr>
              <w:t>Moderate-to-high</w:t>
            </w:r>
          </w:p>
        </w:tc>
      </w:tr>
      <w:tr w:rsidR="00121658" w:rsidRPr="00B16322" w14:paraId="2E2A7EB0" w14:textId="77777777" w:rsidTr="0084407B">
        <w:tc>
          <w:tcPr>
            <w:tcW w:w="383" w:type="pct"/>
          </w:tcPr>
          <w:p w14:paraId="6306D9F8" w14:textId="77777777" w:rsidR="00CE28F2" w:rsidRPr="00B16322" w:rsidRDefault="00CE28F2" w:rsidP="00B16322">
            <w:pPr>
              <w:ind w:left="135"/>
              <w:rPr>
                <w:rFonts w:ascii="Arial" w:hAnsi="Arial" w:cs="Arial"/>
                <w:sz w:val="20"/>
                <w:szCs w:val="20"/>
              </w:rPr>
            </w:pPr>
            <w:r w:rsidRPr="00B16322">
              <w:rPr>
                <w:rFonts w:ascii="Arial" w:hAnsi="Arial" w:cs="Arial"/>
                <w:sz w:val="20"/>
                <w:szCs w:val="20"/>
              </w:rPr>
              <w:t>2014</w:t>
            </w:r>
          </w:p>
        </w:tc>
        <w:tc>
          <w:tcPr>
            <w:tcW w:w="769" w:type="pct"/>
          </w:tcPr>
          <w:p w14:paraId="18E4F63C"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Clinical guidance</w:t>
            </w:r>
          </w:p>
        </w:tc>
        <w:tc>
          <w:tcPr>
            <w:tcW w:w="982" w:type="pct"/>
          </w:tcPr>
          <w:p w14:paraId="22C707EF"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American College of Chest Physicians</w:t>
            </w:r>
          </w:p>
        </w:tc>
        <w:tc>
          <w:tcPr>
            <w:tcW w:w="2205" w:type="pct"/>
          </w:tcPr>
          <w:p w14:paraId="48880EC6" w14:textId="77777777" w:rsidR="00CE28F2" w:rsidRPr="00B16322" w:rsidRDefault="00CE28F2" w:rsidP="000D69DF">
            <w:pPr>
              <w:ind w:left="141"/>
              <w:rPr>
                <w:rFonts w:ascii="Arial" w:hAnsi="Arial" w:cs="Arial"/>
                <w:i/>
                <w:sz w:val="20"/>
                <w:szCs w:val="20"/>
              </w:rPr>
            </w:pPr>
            <w:r w:rsidRPr="00B16322">
              <w:rPr>
                <w:rFonts w:ascii="Arial" w:hAnsi="Arial" w:cs="Arial"/>
                <w:sz w:val="20"/>
                <w:szCs w:val="20"/>
              </w:rPr>
              <w:t>Pharmacologic therapy for pulmonary arterial hypertension in adults: CHEST guideline and expert panel report</w:t>
            </w:r>
            <w:r w:rsidR="009C556B" w:rsidRPr="00B16322">
              <w:rPr>
                <w:rFonts w:ascii="Arial" w:hAnsi="Arial" w:cs="Arial"/>
                <w:i/>
                <w:noProof/>
                <w:sz w:val="20"/>
                <w:szCs w:val="20"/>
                <w:vertAlign w:val="superscript"/>
              </w:rPr>
              <w:t>19</w:t>
            </w:r>
          </w:p>
          <w:p w14:paraId="26ABAF8D" w14:textId="77777777" w:rsidR="00CE28F2" w:rsidRPr="00B16322" w:rsidRDefault="00CE28F2" w:rsidP="000D69DF">
            <w:pPr>
              <w:ind w:left="141"/>
              <w:rPr>
                <w:rFonts w:ascii="Arial" w:hAnsi="Arial" w:cs="Arial"/>
                <w:b/>
                <w:sz w:val="20"/>
                <w:szCs w:val="20"/>
              </w:rPr>
            </w:pPr>
            <w:r w:rsidRPr="00B16322">
              <w:rPr>
                <w:rFonts w:ascii="Arial" w:hAnsi="Arial" w:cs="Arial"/>
                <w:b/>
                <w:sz w:val="20"/>
                <w:szCs w:val="20"/>
              </w:rPr>
              <w:t>NOTE: hybrid of both evidence-based and consensus based recommendations</w:t>
            </w:r>
          </w:p>
        </w:tc>
        <w:tc>
          <w:tcPr>
            <w:tcW w:w="661" w:type="pct"/>
          </w:tcPr>
          <w:p w14:paraId="237A8419" w14:textId="77777777" w:rsidR="00CE28F2" w:rsidRPr="00B16322" w:rsidRDefault="00CE28F2" w:rsidP="000D69DF">
            <w:pPr>
              <w:ind w:left="142"/>
              <w:rPr>
                <w:rFonts w:ascii="Arial" w:hAnsi="Arial" w:cs="Arial"/>
                <w:sz w:val="20"/>
                <w:szCs w:val="20"/>
              </w:rPr>
            </w:pPr>
            <w:r w:rsidRPr="00B16322">
              <w:rPr>
                <w:rFonts w:ascii="Arial" w:hAnsi="Arial" w:cs="Arial"/>
                <w:sz w:val="20"/>
                <w:szCs w:val="20"/>
              </w:rPr>
              <w:t>Moderate-to-high</w:t>
            </w:r>
          </w:p>
        </w:tc>
      </w:tr>
      <w:tr w:rsidR="00121658" w:rsidRPr="00B16322" w14:paraId="51483960" w14:textId="77777777" w:rsidTr="0084407B">
        <w:tc>
          <w:tcPr>
            <w:tcW w:w="383" w:type="pct"/>
          </w:tcPr>
          <w:p w14:paraId="2F4AE3FB" w14:textId="77777777" w:rsidR="00CE28F2" w:rsidRPr="00B16322" w:rsidRDefault="00CE28F2" w:rsidP="00B16322">
            <w:pPr>
              <w:ind w:left="135"/>
              <w:rPr>
                <w:rFonts w:ascii="Arial" w:hAnsi="Arial" w:cs="Arial"/>
                <w:sz w:val="20"/>
                <w:szCs w:val="20"/>
              </w:rPr>
            </w:pPr>
            <w:r w:rsidRPr="00B16322">
              <w:rPr>
                <w:rFonts w:ascii="Arial" w:hAnsi="Arial" w:cs="Arial"/>
                <w:sz w:val="20"/>
                <w:szCs w:val="20"/>
              </w:rPr>
              <w:t>2013</w:t>
            </w:r>
          </w:p>
        </w:tc>
        <w:tc>
          <w:tcPr>
            <w:tcW w:w="769" w:type="pct"/>
          </w:tcPr>
          <w:p w14:paraId="6718D6F1"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 xml:space="preserve">Classification guideline </w:t>
            </w:r>
          </w:p>
        </w:tc>
        <w:tc>
          <w:tcPr>
            <w:tcW w:w="982" w:type="pct"/>
          </w:tcPr>
          <w:p w14:paraId="3EFAD5AF"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WHO 5th World Symposium on Pulmonary Hypertension in Nice, France (2013)</w:t>
            </w:r>
          </w:p>
        </w:tc>
        <w:tc>
          <w:tcPr>
            <w:tcW w:w="2205" w:type="pct"/>
          </w:tcPr>
          <w:p w14:paraId="37E47743" w14:textId="77777777" w:rsidR="00CE28F2" w:rsidRPr="00B16322" w:rsidRDefault="00CE28F2" w:rsidP="000D69DF">
            <w:pPr>
              <w:ind w:left="141"/>
              <w:rPr>
                <w:rFonts w:ascii="Arial" w:hAnsi="Arial" w:cs="Arial"/>
                <w:i/>
                <w:sz w:val="20"/>
                <w:szCs w:val="20"/>
              </w:rPr>
            </w:pPr>
            <w:r w:rsidRPr="00B16322">
              <w:rPr>
                <w:rFonts w:ascii="Arial" w:hAnsi="Arial" w:cs="Arial"/>
                <w:sz w:val="20"/>
                <w:szCs w:val="20"/>
              </w:rPr>
              <w:t>Updated Clinical Classification of Pulmonary Hypertension</w:t>
            </w:r>
            <w:r w:rsidR="009C556B" w:rsidRPr="00B16322">
              <w:rPr>
                <w:rFonts w:ascii="Arial" w:hAnsi="Arial" w:cs="Arial"/>
                <w:i/>
                <w:sz w:val="20"/>
                <w:szCs w:val="20"/>
                <w:vertAlign w:val="superscript"/>
              </w:rPr>
              <w:t>9</w:t>
            </w:r>
          </w:p>
          <w:p w14:paraId="52C01344" w14:textId="77777777" w:rsidR="00CE28F2" w:rsidRPr="00B16322" w:rsidRDefault="00CE28F2" w:rsidP="000D69DF">
            <w:pPr>
              <w:ind w:left="141"/>
              <w:rPr>
                <w:rFonts w:ascii="Arial" w:hAnsi="Arial" w:cs="Arial"/>
                <w:sz w:val="20"/>
                <w:szCs w:val="20"/>
              </w:rPr>
            </w:pPr>
            <w:r w:rsidRPr="00B16322">
              <w:rPr>
                <w:rFonts w:ascii="Arial" w:hAnsi="Arial" w:cs="Arial"/>
                <w:b/>
                <w:sz w:val="20"/>
                <w:szCs w:val="20"/>
              </w:rPr>
              <w:t>NOTE: includes no treatment recommendations – n</w:t>
            </w:r>
            <w:r w:rsidR="00EE1F96">
              <w:rPr>
                <w:rFonts w:ascii="Arial" w:hAnsi="Arial" w:cs="Arial"/>
                <w:b/>
                <w:sz w:val="20"/>
                <w:szCs w:val="20"/>
              </w:rPr>
              <w:t>o quality assessment performed</w:t>
            </w:r>
          </w:p>
        </w:tc>
        <w:tc>
          <w:tcPr>
            <w:tcW w:w="661" w:type="pct"/>
          </w:tcPr>
          <w:p w14:paraId="2DAFEDF2" w14:textId="77777777" w:rsidR="00CE28F2" w:rsidRPr="00B16322" w:rsidRDefault="00CE28F2" w:rsidP="000D69DF">
            <w:pPr>
              <w:ind w:left="142"/>
              <w:rPr>
                <w:rFonts w:ascii="Arial" w:hAnsi="Arial" w:cs="Arial"/>
                <w:sz w:val="20"/>
                <w:szCs w:val="20"/>
              </w:rPr>
            </w:pPr>
            <w:r w:rsidRPr="00B16322">
              <w:rPr>
                <w:rFonts w:ascii="Arial" w:hAnsi="Arial" w:cs="Arial"/>
                <w:sz w:val="20"/>
                <w:szCs w:val="20"/>
              </w:rPr>
              <w:t>N/A</w:t>
            </w:r>
          </w:p>
        </w:tc>
      </w:tr>
      <w:tr w:rsidR="00121658" w:rsidRPr="00B16322" w14:paraId="36F3B254" w14:textId="77777777" w:rsidTr="0084407B">
        <w:tc>
          <w:tcPr>
            <w:tcW w:w="383" w:type="pct"/>
          </w:tcPr>
          <w:p w14:paraId="5ACDF742" w14:textId="77777777" w:rsidR="00CE28F2" w:rsidRPr="00B16322" w:rsidRDefault="00CE28F2" w:rsidP="00B16322">
            <w:pPr>
              <w:ind w:left="135"/>
              <w:rPr>
                <w:rFonts w:ascii="Arial" w:hAnsi="Arial" w:cs="Arial"/>
                <w:sz w:val="20"/>
                <w:szCs w:val="20"/>
              </w:rPr>
            </w:pPr>
            <w:r w:rsidRPr="00B16322">
              <w:rPr>
                <w:rFonts w:ascii="Arial" w:hAnsi="Arial" w:cs="Arial"/>
                <w:sz w:val="20"/>
                <w:szCs w:val="20"/>
              </w:rPr>
              <w:t>2013</w:t>
            </w:r>
          </w:p>
        </w:tc>
        <w:tc>
          <w:tcPr>
            <w:tcW w:w="769" w:type="pct"/>
          </w:tcPr>
          <w:p w14:paraId="2A938195"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Consensus statement</w:t>
            </w:r>
          </w:p>
        </w:tc>
        <w:tc>
          <w:tcPr>
            <w:tcW w:w="982" w:type="pct"/>
          </w:tcPr>
          <w:p w14:paraId="77DF0C77" w14:textId="77777777" w:rsidR="00CE28F2" w:rsidRPr="00B16322" w:rsidRDefault="00CE28F2" w:rsidP="000D69DF">
            <w:pPr>
              <w:ind w:left="143"/>
              <w:rPr>
                <w:rFonts w:ascii="Arial" w:hAnsi="Arial" w:cs="Arial"/>
                <w:sz w:val="20"/>
                <w:szCs w:val="20"/>
              </w:rPr>
            </w:pPr>
            <w:proofErr w:type="spellStart"/>
            <w:r w:rsidRPr="00B16322">
              <w:rPr>
                <w:rFonts w:ascii="Arial" w:hAnsi="Arial" w:cs="Arial"/>
                <w:sz w:val="20"/>
                <w:szCs w:val="20"/>
              </w:rPr>
              <w:t>Pediatric</w:t>
            </w:r>
            <w:proofErr w:type="spellEnd"/>
            <w:r w:rsidRPr="00B16322">
              <w:rPr>
                <w:rFonts w:ascii="Arial" w:hAnsi="Arial" w:cs="Arial"/>
                <w:sz w:val="20"/>
                <w:szCs w:val="20"/>
              </w:rPr>
              <w:t xml:space="preserve"> Task Force of the WHO 5th World Symposium on Pulmonary Hypertension in Nice, France (2013)</w:t>
            </w:r>
          </w:p>
        </w:tc>
        <w:tc>
          <w:tcPr>
            <w:tcW w:w="2205" w:type="pct"/>
          </w:tcPr>
          <w:p w14:paraId="42EE1B2E" w14:textId="77777777" w:rsidR="00CE28F2" w:rsidRPr="00B16322" w:rsidRDefault="00CE28F2" w:rsidP="000D69DF">
            <w:pPr>
              <w:ind w:left="141"/>
              <w:rPr>
                <w:rFonts w:ascii="Arial" w:hAnsi="Arial" w:cs="Arial"/>
                <w:sz w:val="20"/>
                <w:szCs w:val="20"/>
              </w:rPr>
            </w:pPr>
            <w:proofErr w:type="spellStart"/>
            <w:r w:rsidRPr="00B16322">
              <w:rPr>
                <w:rFonts w:ascii="Arial" w:hAnsi="Arial" w:cs="Arial"/>
                <w:sz w:val="20"/>
                <w:szCs w:val="20"/>
              </w:rPr>
              <w:t>Pediatric</w:t>
            </w:r>
            <w:proofErr w:type="spellEnd"/>
            <w:r w:rsidRPr="00B16322">
              <w:rPr>
                <w:rFonts w:ascii="Arial" w:hAnsi="Arial" w:cs="Arial"/>
                <w:sz w:val="20"/>
                <w:szCs w:val="20"/>
              </w:rPr>
              <w:t xml:space="preserve"> Pulmonary Hypertension. </w:t>
            </w:r>
          </w:p>
          <w:p w14:paraId="4395878E" w14:textId="77777777" w:rsidR="00CE28F2" w:rsidRPr="00B16322" w:rsidRDefault="00CE28F2" w:rsidP="009C556B">
            <w:pPr>
              <w:ind w:left="141"/>
              <w:rPr>
                <w:rFonts w:ascii="Arial" w:hAnsi="Arial" w:cs="Arial"/>
                <w:i/>
                <w:sz w:val="20"/>
                <w:szCs w:val="20"/>
              </w:rPr>
            </w:pPr>
            <w:r w:rsidRPr="00B16322">
              <w:rPr>
                <w:rFonts w:ascii="Arial" w:hAnsi="Arial" w:cs="Arial"/>
                <w:sz w:val="20"/>
                <w:szCs w:val="20"/>
              </w:rPr>
              <w:t xml:space="preserve">(Discussions and recommendations from the </w:t>
            </w:r>
            <w:proofErr w:type="spellStart"/>
            <w:r w:rsidRPr="00B16322">
              <w:rPr>
                <w:rFonts w:ascii="Arial" w:hAnsi="Arial" w:cs="Arial"/>
                <w:sz w:val="20"/>
                <w:szCs w:val="20"/>
              </w:rPr>
              <w:t>Pediatric</w:t>
            </w:r>
            <w:proofErr w:type="spellEnd"/>
            <w:r w:rsidRPr="00B16322">
              <w:rPr>
                <w:rFonts w:ascii="Arial" w:hAnsi="Arial" w:cs="Arial"/>
                <w:sz w:val="20"/>
                <w:szCs w:val="20"/>
              </w:rPr>
              <w:t xml:space="preserve"> Task Force of the 5th World Symposium on Pulmonary Hypertension (WSPH) in Nice, France (2013))</w:t>
            </w:r>
            <w:r w:rsidR="009C556B" w:rsidRPr="00B16322">
              <w:rPr>
                <w:rFonts w:ascii="Arial" w:hAnsi="Arial" w:cs="Arial"/>
                <w:i/>
                <w:noProof/>
                <w:sz w:val="20"/>
                <w:szCs w:val="20"/>
                <w:vertAlign w:val="superscript"/>
              </w:rPr>
              <w:t>23</w:t>
            </w:r>
          </w:p>
        </w:tc>
        <w:tc>
          <w:tcPr>
            <w:tcW w:w="661" w:type="pct"/>
          </w:tcPr>
          <w:p w14:paraId="5A7E363D" w14:textId="77777777" w:rsidR="00CE28F2" w:rsidRPr="00B16322" w:rsidRDefault="00CE28F2" w:rsidP="000D69DF">
            <w:pPr>
              <w:ind w:left="142"/>
              <w:rPr>
                <w:rFonts w:ascii="Arial" w:hAnsi="Arial" w:cs="Arial"/>
                <w:sz w:val="20"/>
                <w:szCs w:val="20"/>
              </w:rPr>
            </w:pPr>
            <w:r w:rsidRPr="00B16322">
              <w:rPr>
                <w:rFonts w:ascii="Arial" w:hAnsi="Arial" w:cs="Arial"/>
                <w:sz w:val="20"/>
                <w:szCs w:val="20"/>
              </w:rPr>
              <w:t xml:space="preserve">Low-to-moderate </w:t>
            </w:r>
          </w:p>
        </w:tc>
      </w:tr>
      <w:tr w:rsidR="00121658" w:rsidRPr="00B16322" w14:paraId="2106400D" w14:textId="77777777" w:rsidTr="0084407B">
        <w:tc>
          <w:tcPr>
            <w:tcW w:w="383" w:type="pct"/>
          </w:tcPr>
          <w:p w14:paraId="3E0D1722" w14:textId="77777777" w:rsidR="00CE28F2" w:rsidRPr="00B16322" w:rsidRDefault="00CE28F2" w:rsidP="00B16322">
            <w:pPr>
              <w:ind w:left="135"/>
              <w:rPr>
                <w:rFonts w:ascii="Arial" w:hAnsi="Arial" w:cs="Arial"/>
                <w:sz w:val="20"/>
                <w:szCs w:val="20"/>
              </w:rPr>
            </w:pPr>
            <w:r w:rsidRPr="00B16322">
              <w:rPr>
                <w:rFonts w:ascii="Arial" w:hAnsi="Arial" w:cs="Arial"/>
                <w:sz w:val="20"/>
                <w:szCs w:val="20"/>
              </w:rPr>
              <w:lastRenderedPageBreak/>
              <w:t>2013</w:t>
            </w:r>
          </w:p>
        </w:tc>
        <w:tc>
          <w:tcPr>
            <w:tcW w:w="769" w:type="pct"/>
          </w:tcPr>
          <w:p w14:paraId="173D4C4B"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Meeting report</w:t>
            </w:r>
          </w:p>
        </w:tc>
        <w:tc>
          <w:tcPr>
            <w:tcW w:w="982" w:type="pct"/>
          </w:tcPr>
          <w:p w14:paraId="25A4A407"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WHO 5th World Symposium on Pulmonary Hypertension in Nice, France (2013), working group on diagnosis and assessment</w:t>
            </w:r>
          </w:p>
        </w:tc>
        <w:tc>
          <w:tcPr>
            <w:tcW w:w="2205" w:type="pct"/>
          </w:tcPr>
          <w:p w14:paraId="38355EA9" w14:textId="77777777" w:rsidR="00CE28F2" w:rsidRPr="00B16322" w:rsidRDefault="00CE28F2" w:rsidP="000D69DF">
            <w:pPr>
              <w:ind w:left="141"/>
              <w:rPr>
                <w:rFonts w:ascii="Arial" w:hAnsi="Arial" w:cs="Arial"/>
                <w:sz w:val="20"/>
                <w:szCs w:val="20"/>
              </w:rPr>
            </w:pPr>
            <w:r w:rsidRPr="00B16322">
              <w:rPr>
                <w:rFonts w:ascii="Arial" w:hAnsi="Arial" w:cs="Arial"/>
                <w:sz w:val="20"/>
                <w:szCs w:val="20"/>
              </w:rPr>
              <w:t>Definitions and Diagnosis of Pulmonary Hypertension</w:t>
            </w:r>
          </w:p>
          <w:p w14:paraId="727D431F" w14:textId="77777777" w:rsidR="00CE28F2" w:rsidRPr="00B16322" w:rsidRDefault="00CE28F2" w:rsidP="000D69DF">
            <w:pPr>
              <w:ind w:left="141"/>
              <w:rPr>
                <w:rFonts w:ascii="Arial" w:hAnsi="Arial" w:cs="Arial"/>
                <w:sz w:val="20"/>
                <w:szCs w:val="20"/>
              </w:rPr>
            </w:pPr>
            <w:r w:rsidRPr="00B16322">
              <w:rPr>
                <w:rFonts w:ascii="Arial" w:hAnsi="Arial" w:cs="Arial"/>
                <w:sz w:val="20"/>
                <w:szCs w:val="20"/>
              </w:rPr>
              <w:t>(Discussions and recommendations from the working group on diagnosis and assessment at the 5th World Symposium on Pulmonary Hypertension (WSPH) in Nice, France (2013))</w:t>
            </w:r>
            <w:r w:rsidR="009C556B" w:rsidRPr="00B16322">
              <w:rPr>
                <w:rFonts w:ascii="Arial" w:hAnsi="Arial" w:cs="Arial"/>
                <w:i/>
                <w:noProof/>
                <w:sz w:val="20"/>
                <w:szCs w:val="20"/>
                <w:vertAlign w:val="superscript"/>
              </w:rPr>
              <w:t>24</w:t>
            </w:r>
          </w:p>
          <w:p w14:paraId="4A84F246" w14:textId="77777777" w:rsidR="00CE28F2" w:rsidRPr="00B16322" w:rsidRDefault="00CE28F2" w:rsidP="000D69DF">
            <w:pPr>
              <w:ind w:left="141"/>
              <w:rPr>
                <w:rFonts w:ascii="Arial" w:hAnsi="Arial" w:cs="Arial"/>
                <w:i/>
                <w:sz w:val="20"/>
                <w:szCs w:val="20"/>
              </w:rPr>
            </w:pPr>
            <w:r w:rsidRPr="00B16322">
              <w:rPr>
                <w:rFonts w:ascii="Arial" w:hAnsi="Arial" w:cs="Arial"/>
                <w:b/>
                <w:sz w:val="20"/>
                <w:szCs w:val="20"/>
              </w:rPr>
              <w:t>NOTE: includes no treatment recommendations – n</w:t>
            </w:r>
            <w:r w:rsidR="00EE1F96">
              <w:rPr>
                <w:rFonts w:ascii="Arial" w:hAnsi="Arial" w:cs="Arial"/>
                <w:b/>
                <w:sz w:val="20"/>
                <w:szCs w:val="20"/>
              </w:rPr>
              <w:t>o quality assessment performed</w:t>
            </w:r>
          </w:p>
        </w:tc>
        <w:tc>
          <w:tcPr>
            <w:tcW w:w="661" w:type="pct"/>
          </w:tcPr>
          <w:p w14:paraId="694F4490" w14:textId="77777777" w:rsidR="00CE28F2" w:rsidRPr="00B16322" w:rsidRDefault="00CE28F2" w:rsidP="000D69DF">
            <w:pPr>
              <w:ind w:left="142"/>
              <w:rPr>
                <w:rFonts w:ascii="Arial" w:hAnsi="Arial" w:cs="Arial"/>
                <w:sz w:val="20"/>
                <w:szCs w:val="20"/>
              </w:rPr>
            </w:pPr>
            <w:r w:rsidRPr="00B16322">
              <w:rPr>
                <w:rFonts w:ascii="Arial" w:hAnsi="Arial" w:cs="Arial"/>
                <w:sz w:val="20"/>
                <w:szCs w:val="20"/>
              </w:rPr>
              <w:t>N/A</w:t>
            </w:r>
          </w:p>
        </w:tc>
      </w:tr>
      <w:tr w:rsidR="00121658" w:rsidRPr="00B16322" w14:paraId="43E987EC" w14:textId="77777777" w:rsidTr="0084407B">
        <w:tc>
          <w:tcPr>
            <w:tcW w:w="383" w:type="pct"/>
          </w:tcPr>
          <w:p w14:paraId="07D3F03E" w14:textId="77777777" w:rsidR="00CE28F2" w:rsidRPr="00B16322" w:rsidRDefault="00CE28F2" w:rsidP="00B16322">
            <w:pPr>
              <w:ind w:left="135"/>
              <w:rPr>
                <w:rFonts w:ascii="Arial" w:hAnsi="Arial" w:cs="Arial"/>
                <w:sz w:val="20"/>
                <w:szCs w:val="20"/>
              </w:rPr>
            </w:pPr>
            <w:r w:rsidRPr="00B16322">
              <w:rPr>
                <w:rFonts w:ascii="Arial" w:hAnsi="Arial" w:cs="Arial"/>
                <w:sz w:val="20"/>
                <w:szCs w:val="20"/>
              </w:rPr>
              <w:t>2009</w:t>
            </w:r>
          </w:p>
        </w:tc>
        <w:tc>
          <w:tcPr>
            <w:tcW w:w="769" w:type="pct"/>
          </w:tcPr>
          <w:p w14:paraId="68B432DE"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Consensus statement</w:t>
            </w:r>
          </w:p>
        </w:tc>
        <w:tc>
          <w:tcPr>
            <w:tcW w:w="982" w:type="pct"/>
          </w:tcPr>
          <w:p w14:paraId="64105F44"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American College of Cardiology (ACC)</w:t>
            </w:r>
          </w:p>
          <w:p w14:paraId="63238DC4" w14:textId="77777777" w:rsidR="00CE28F2" w:rsidRPr="00B16322" w:rsidRDefault="00CE28F2" w:rsidP="000D69DF">
            <w:pPr>
              <w:ind w:left="143"/>
              <w:rPr>
                <w:rFonts w:ascii="Arial" w:hAnsi="Arial" w:cs="Arial"/>
                <w:sz w:val="20"/>
                <w:szCs w:val="20"/>
              </w:rPr>
            </w:pPr>
            <w:r w:rsidRPr="00B16322">
              <w:rPr>
                <w:rFonts w:ascii="Arial" w:hAnsi="Arial" w:cs="Arial"/>
                <w:sz w:val="20"/>
                <w:szCs w:val="20"/>
              </w:rPr>
              <w:t>American Heart Association</w:t>
            </w:r>
          </w:p>
        </w:tc>
        <w:tc>
          <w:tcPr>
            <w:tcW w:w="2205" w:type="pct"/>
          </w:tcPr>
          <w:p w14:paraId="66027EC7" w14:textId="77777777" w:rsidR="00CE28F2" w:rsidRPr="00B16322" w:rsidRDefault="00CE28F2" w:rsidP="009C556B">
            <w:pPr>
              <w:ind w:left="141"/>
              <w:rPr>
                <w:rFonts w:ascii="Arial" w:hAnsi="Arial" w:cs="Arial"/>
                <w:sz w:val="20"/>
                <w:szCs w:val="20"/>
              </w:rPr>
            </w:pPr>
            <w:r w:rsidRPr="00B16322">
              <w:rPr>
                <w:rFonts w:ascii="Arial" w:hAnsi="Arial" w:cs="Arial"/>
                <w:sz w:val="20"/>
                <w:szCs w:val="20"/>
              </w:rPr>
              <w:t>ACCF/AHA 2009 Expert Consensus Document on Pulmonary Hypertension</w:t>
            </w:r>
            <w:r w:rsidR="009C556B" w:rsidRPr="00B16322">
              <w:rPr>
                <w:rFonts w:ascii="Arial" w:hAnsi="Arial" w:cs="Arial"/>
                <w:i/>
                <w:noProof/>
                <w:sz w:val="20"/>
                <w:szCs w:val="20"/>
                <w:vertAlign w:val="superscript"/>
              </w:rPr>
              <w:t>20</w:t>
            </w:r>
          </w:p>
        </w:tc>
        <w:tc>
          <w:tcPr>
            <w:tcW w:w="661" w:type="pct"/>
          </w:tcPr>
          <w:p w14:paraId="08C68BB0" w14:textId="77777777" w:rsidR="00CE28F2" w:rsidRPr="00B16322" w:rsidRDefault="00CE28F2" w:rsidP="000D69DF">
            <w:pPr>
              <w:ind w:left="142"/>
              <w:rPr>
                <w:rFonts w:ascii="Arial" w:hAnsi="Arial" w:cs="Arial"/>
                <w:sz w:val="20"/>
                <w:szCs w:val="20"/>
              </w:rPr>
            </w:pPr>
            <w:r w:rsidRPr="00B16322">
              <w:rPr>
                <w:rFonts w:ascii="Arial" w:hAnsi="Arial" w:cs="Arial"/>
                <w:sz w:val="20"/>
                <w:szCs w:val="20"/>
              </w:rPr>
              <w:t>moderate</w:t>
            </w:r>
          </w:p>
        </w:tc>
      </w:tr>
    </w:tbl>
    <w:p w14:paraId="71105048" w14:textId="77777777" w:rsidR="00D32790" w:rsidRPr="00B92CC9" w:rsidRDefault="00EC60C5" w:rsidP="00121658">
      <w:pPr>
        <w:pStyle w:val="Heading2"/>
        <w:jc w:val="left"/>
      </w:pPr>
      <w:bookmarkStart w:id="135" w:name="_Toc458079744"/>
      <w:bookmarkStart w:id="136" w:name="_Ref467974856"/>
      <w:bookmarkStart w:id="137" w:name="_Toc473291072"/>
      <w:bookmarkStart w:id="138" w:name="_Toc480371875"/>
      <w:bookmarkStart w:id="139" w:name="_Toc486514223"/>
      <w:bookmarkStart w:id="140" w:name="_Toc38377502"/>
      <w:bookmarkEnd w:id="129"/>
      <w:bookmarkEnd w:id="130"/>
      <w:bookmarkEnd w:id="131"/>
      <w:r>
        <w:t xml:space="preserve">Overview </w:t>
      </w:r>
      <w:r w:rsidR="00D32790" w:rsidRPr="00B92CC9">
        <w:t>of current clinical guidance</w:t>
      </w:r>
      <w:bookmarkEnd w:id="135"/>
      <w:bookmarkEnd w:id="136"/>
      <w:bookmarkEnd w:id="137"/>
      <w:bookmarkEnd w:id="138"/>
      <w:bookmarkEnd w:id="139"/>
      <w:bookmarkEnd w:id="140"/>
    </w:p>
    <w:p w14:paraId="19E4DB69" w14:textId="77777777" w:rsidR="00D32790" w:rsidRDefault="00FA749E" w:rsidP="00121658">
      <w:pPr>
        <w:pStyle w:val="Heading3"/>
        <w:jc w:val="left"/>
      </w:pPr>
      <w:bookmarkStart w:id="141" w:name="_Toc38377503"/>
      <w:r>
        <w:t>Guidelines overview</w:t>
      </w:r>
      <w:bookmarkEnd w:id="141"/>
    </w:p>
    <w:p w14:paraId="7BC20B5B" w14:textId="77777777" w:rsidR="00361FA0" w:rsidRDefault="00361FA0" w:rsidP="0084407B">
      <w:r>
        <w:t>PAH g</w:t>
      </w:r>
      <w:r w:rsidR="001F1180">
        <w:t>uideline recommendations are aimed at specialist physicians with substantial experience in</w:t>
      </w:r>
      <w:r>
        <w:t xml:space="preserve"> treating PH and PAH patients. T</w:t>
      </w:r>
      <w:r w:rsidR="001F1180">
        <w:t xml:space="preserve">here are </w:t>
      </w:r>
      <w:r>
        <w:t>principles recommended</w:t>
      </w:r>
      <w:r w:rsidR="001F1180">
        <w:t xml:space="preserve"> but specific details</w:t>
      </w:r>
      <w:r>
        <w:t xml:space="preserve"> </w:t>
      </w:r>
      <w:proofErr w:type="gramStart"/>
      <w:r>
        <w:t>are</w:t>
      </w:r>
      <w:r w:rsidR="001F1180">
        <w:t xml:space="preserve"> left</w:t>
      </w:r>
      <w:proofErr w:type="gramEnd"/>
      <w:r w:rsidR="001F1180">
        <w:t xml:space="preserve"> to the judgement of the treating physician, and/or to be based on the clinical featu</w:t>
      </w:r>
      <w:r w:rsidR="0004690C">
        <w:t>res of the individual patient.</w:t>
      </w:r>
    </w:p>
    <w:p w14:paraId="5E3A9572" w14:textId="77777777" w:rsidR="00361FA0" w:rsidRDefault="00361FA0" w:rsidP="0084407B">
      <w:r>
        <w:t xml:space="preserve">Recommendations are broadly similar across the PAH subtypes, including those for children. </w:t>
      </w:r>
    </w:p>
    <w:p w14:paraId="08842C21" w14:textId="77777777" w:rsidR="00361FA0" w:rsidRPr="001F1180" w:rsidRDefault="00361FA0" w:rsidP="0084407B">
      <w:r w:rsidRPr="001F1180">
        <w:t>There were few recommendations on dosage.</w:t>
      </w:r>
    </w:p>
    <w:p w14:paraId="519DAF2D" w14:textId="77777777" w:rsidR="00361FA0" w:rsidRDefault="00361FA0" w:rsidP="0084407B">
      <w:r w:rsidRPr="001F1180">
        <w:t xml:space="preserve">There were </w:t>
      </w:r>
      <w:r>
        <w:t>essentially no</w:t>
      </w:r>
      <w:r w:rsidRPr="001F1180">
        <w:t xml:space="preserve"> recommendations on switching between </w:t>
      </w:r>
      <w:r w:rsidR="00F95235">
        <w:t>PAH medicines</w:t>
      </w:r>
      <w:r w:rsidR="00656A1C">
        <w:t>.</w:t>
      </w:r>
    </w:p>
    <w:p w14:paraId="29562C3D" w14:textId="77777777" w:rsidR="00656A1C" w:rsidRDefault="00656A1C" w:rsidP="0084407B">
      <w:pPr>
        <w:rPr>
          <w:rFonts w:cstheme="minorHAnsi"/>
        </w:rPr>
      </w:pPr>
      <w:r w:rsidRPr="00656A1C">
        <w:rPr>
          <w:rFonts w:cstheme="minorHAnsi"/>
        </w:rPr>
        <w:t xml:space="preserve">Recommendations </w:t>
      </w:r>
      <w:proofErr w:type="gramStart"/>
      <w:r w:rsidRPr="00656A1C">
        <w:rPr>
          <w:rFonts w:cstheme="minorHAnsi"/>
        </w:rPr>
        <w:t>were based on class, not individual agents</w:t>
      </w:r>
      <w:r w:rsidR="000A7F7B">
        <w:rPr>
          <w:rFonts w:cstheme="minorHAnsi"/>
        </w:rPr>
        <w:t xml:space="preserve"> and made no suggestions as</w:t>
      </w:r>
      <w:r w:rsidRPr="00656A1C">
        <w:rPr>
          <w:rFonts w:cstheme="minorHAnsi"/>
        </w:rPr>
        <w:t xml:space="preserve"> to line of therapy</w:t>
      </w:r>
      <w:proofErr w:type="gramEnd"/>
      <w:r w:rsidRPr="00656A1C">
        <w:rPr>
          <w:rFonts w:cstheme="minorHAnsi"/>
        </w:rPr>
        <w:t>.</w:t>
      </w:r>
    </w:p>
    <w:p w14:paraId="69EBE04C" w14:textId="77777777" w:rsidR="00361FA0" w:rsidRPr="00F53D1B" w:rsidRDefault="00361FA0" w:rsidP="0084407B">
      <w:r w:rsidRPr="00F53D1B">
        <w:t>Many o</w:t>
      </w:r>
      <w:r>
        <w:t xml:space="preserve">f the recommended diagnostic assessments </w:t>
      </w:r>
      <w:r w:rsidRPr="00F53D1B">
        <w:t>i</w:t>
      </w:r>
      <w:r>
        <w:t xml:space="preserve">nform differential </w:t>
      </w:r>
      <w:proofErr w:type="gramStart"/>
      <w:r>
        <w:t>diagnoses which</w:t>
      </w:r>
      <w:proofErr w:type="gramEnd"/>
      <w:r>
        <w:t xml:space="preserve"> have not formed part of this </w:t>
      </w:r>
      <w:r w:rsidRPr="00F53D1B">
        <w:t>review</w:t>
      </w:r>
      <w:r>
        <w:t>. T</w:t>
      </w:r>
      <w:r w:rsidRPr="00F53D1B">
        <w:t xml:space="preserve">his report focuses on tests that will have been performed for all </w:t>
      </w:r>
      <w:r>
        <w:t xml:space="preserve">patients </w:t>
      </w:r>
      <w:r w:rsidRPr="00F53D1B">
        <w:t>with a PAH diagnosis and that are necessary to manage response to treatment</w:t>
      </w:r>
      <w:r w:rsidR="0004690C">
        <w:t>.</w:t>
      </w:r>
    </w:p>
    <w:p w14:paraId="1908B009" w14:textId="77777777" w:rsidR="00361FA0" w:rsidRPr="00F53D1B" w:rsidRDefault="00361FA0" w:rsidP="0084407B">
      <w:r w:rsidRPr="00F53D1B">
        <w:t xml:space="preserve">RHC and Doppler echocardiography are two essential tests for PAH, but there is an irreducible array of other assessments that </w:t>
      </w:r>
      <w:proofErr w:type="gramStart"/>
      <w:r w:rsidRPr="00F53D1B">
        <w:t>must also be considered</w:t>
      </w:r>
      <w:proofErr w:type="gramEnd"/>
      <w:r w:rsidRPr="00F53D1B">
        <w:t xml:space="preserve"> essential to inform this diagnosis but that may vary between patients. Each prior test will inform the next assessment and the choice parameters investigated in that next test – this will depend in turn on features of the patient’s disease</w:t>
      </w:r>
      <w:r w:rsidR="0004690C">
        <w:t>.</w:t>
      </w:r>
    </w:p>
    <w:p w14:paraId="7D55F65F" w14:textId="77777777" w:rsidR="00361FA0" w:rsidRDefault="00361FA0" w:rsidP="0084407B">
      <w:r>
        <w:lastRenderedPageBreak/>
        <w:t>Some recommendations did not have specific criteria or definitions attached to them:</w:t>
      </w:r>
    </w:p>
    <w:p w14:paraId="65D9A80D" w14:textId="77777777" w:rsidR="00361FA0" w:rsidRDefault="00361FA0" w:rsidP="00921D13">
      <w:pPr>
        <w:pStyle w:val="08Bulletsseriesofsentences"/>
      </w:pPr>
      <w:r>
        <w:t xml:space="preserve">Recommendations are presented for choice and frequency of monitoring tests to follow response to treatment but there is no formal definition of what constitutes a </w:t>
      </w:r>
      <w:r w:rsidR="00946A0A">
        <w:t xml:space="preserve">response or a </w:t>
      </w:r>
      <w:r>
        <w:t xml:space="preserve">change in these </w:t>
      </w:r>
      <w:proofErr w:type="gramStart"/>
      <w:r>
        <w:t>parameters</w:t>
      </w:r>
      <w:proofErr w:type="gramEnd"/>
      <w:r>
        <w:t xml:space="preserve"> as multiple fac</w:t>
      </w:r>
      <w:r w:rsidR="0004690C">
        <w:t>tors are likely to be relevant.</w:t>
      </w:r>
    </w:p>
    <w:p w14:paraId="6A10D934" w14:textId="77777777" w:rsidR="00361FA0" w:rsidRDefault="00361FA0" w:rsidP="00921D13">
      <w:pPr>
        <w:pStyle w:val="08Bulletsseriesofsentences"/>
      </w:pPr>
      <w:r>
        <w:t>There is no formal de</w:t>
      </w:r>
      <w:r w:rsidR="0004690C">
        <w:t>finition of clinical worsening.</w:t>
      </w:r>
    </w:p>
    <w:p w14:paraId="2369A1F8" w14:textId="77777777" w:rsidR="00361FA0" w:rsidRDefault="00361FA0" w:rsidP="00921D13">
      <w:pPr>
        <w:pStyle w:val="08Bulletsseriesofsentences"/>
      </w:pPr>
      <w:r>
        <w:t xml:space="preserve">Parameters for assessment of patient prognosis/risk factors </w:t>
      </w:r>
      <w:r w:rsidR="0004690C">
        <w:t>are indicative, not definitive.</w:t>
      </w:r>
    </w:p>
    <w:p w14:paraId="26776729" w14:textId="77777777" w:rsidR="001D561A" w:rsidRPr="00B92CC9" w:rsidRDefault="003B625D" w:rsidP="00121658">
      <w:pPr>
        <w:pStyle w:val="Heading3"/>
        <w:jc w:val="left"/>
      </w:pPr>
      <w:bookmarkStart w:id="142" w:name="_Ref506165438"/>
      <w:bookmarkStart w:id="143" w:name="_Toc38377504"/>
      <w:bookmarkStart w:id="144" w:name="_Toc503800638"/>
      <w:bookmarkStart w:id="145" w:name="_Toc503811590"/>
      <w:bookmarkStart w:id="146" w:name="_Toc503800637"/>
      <w:bookmarkStart w:id="147" w:name="_Toc503811589"/>
      <w:bookmarkStart w:id="148" w:name="_Toc473291075"/>
      <w:bookmarkStart w:id="149" w:name="_Toc480371878"/>
      <w:bookmarkStart w:id="150" w:name="_Toc486514226"/>
      <w:r>
        <w:t>PAH t</w:t>
      </w:r>
      <w:r w:rsidR="001D561A" w:rsidRPr="00B92CC9">
        <w:t>reatment algorithm</w:t>
      </w:r>
      <w:bookmarkEnd w:id="142"/>
      <w:bookmarkEnd w:id="143"/>
    </w:p>
    <w:p w14:paraId="4DBD4EFC" w14:textId="77777777" w:rsidR="0084407B" w:rsidRDefault="001D561A" w:rsidP="0084407B">
      <w:r w:rsidRPr="00CF3FEC">
        <w:t xml:space="preserve">The guideline recommendations are summarised as pharmacotherapy </w:t>
      </w:r>
      <w:r w:rsidR="00044526">
        <w:t>pathways</w:t>
      </w:r>
      <w:r w:rsidRPr="00CF3FEC">
        <w:t xml:space="preserve"> for </w:t>
      </w:r>
      <w:r w:rsidR="00F1363D">
        <w:t>patient</w:t>
      </w:r>
      <w:r w:rsidR="00F64A90">
        <w:t>s receiving monotherapy</w:t>
      </w:r>
      <w:r w:rsidRPr="00CF3FEC">
        <w:t xml:space="preserve"> in </w:t>
      </w:r>
      <w:r w:rsidR="00505D99">
        <w:t>Table 1.5</w:t>
      </w:r>
      <w:r w:rsidR="00505D99" w:rsidRPr="00250EDE">
        <w:t xml:space="preserve"> </w:t>
      </w:r>
      <w:r w:rsidR="00505D99">
        <w:tab/>
        <w:t>PAH pharmacotherapy – patient groups receiving monotherapy</w:t>
      </w:r>
      <w:r w:rsidR="002B29A8">
        <w:t xml:space="preserve"> </w:t>
      </w:r>
      <w:r w:rsidRPr="00CF3FEC">
        <w:t xml:space="preserve">and </w:t>
      </w:r>
      <w:r w:rsidR="00F64A90">
        <w:t>those receiving combination or add-on treatment</w:t>
      </w:r>
      <w:r w:rsidRPr="00CF3FEC">
        <w:t xml:space="preserve"> in </w:t>
      </w:r>
      <w:r w:rsidR="00505D99">
        <w:t>Table 1.6</w:t>
      </w:r>
      <w:r w:rsidR="00505D99" w:rsidRPr="00250EDE">
        <w:t xml:space="preserve"> </w:t>
      </w:r>
      <w:r w:rsidR="00505D99">
        <w:tab/>
        <w:t>PAH pharmacotherapy – patient groups receiving combination therapy</w:t>
      </w:r>
      <w:r w:rsidR="00011758">
        <w:t>.</w:t>
      </w:r>
    </w:p>
    <w:p w14:paraId="728BF123" w14:textId="77777777" w:rsidR="00F1363D" w:rsidRPr="00F10B38" w:rsidRDefault="00F1363D" w:rsidP="0084407B">
      <w:pPr>
        <w:pStyle w:val="BodyTextnospacebefore"/>
        <w:spacing w:before="240"/>
        <w:rPr>
          <w:i/>
        </w:rPr>
      </w:pPr>
      <w:r w:rsidRPr="00F10B38">
        <w:rPr>
          <w:i/>
        </w:rPr>
        <w:t xml:space="preserve">Note: </w:t>
      </w:r>
      <w:r w:rsidR="00403819" w:rsidRPr="00F10B38">
        <w:rPr>
          <w:i/>
        </w:rPr>
        <w:t xml:space="preserve">The split between these two </w:t>
      </w:r>
      <w:r w:rsidRPr="00F10B38">
        <w:rPr>
          <w:i/>
        </w:rPr>
        <w:t>types of treatment</w:t>
      </w:r>
      <w:r w:rsidR="00403819" w:rsidRPr="00F10B38">
        <w:rPr>
          <w:i/>
        </w:rPr>
        <w:t xml:space="preserve"> </w:t>
      </w:r>
      <w:proofErr w:type="gramStart"/>
      <w:r w:rsidR="00403819" w:rsidRPr="00F10B38">
        <w:rPr>
          <w:i/>
        </w:rPr>
        <w:t>has been made</w:t>
      </w:r>
      <w:proofErr w:type="gramEnd"/>
      <w:r w:rsidR="00403819" w:rsidRPr="00F10B38">
        <w:rPr>
          <w:i/>
        </w:rPr>
        <w:t xml:space="preserve"> </w:t>
      </w:r>
      <w:r w:rsidRPr="00F10B38">
        <w:rPr>
          <w:i/>
        </w:rPr>
        <w:t xml:space="preserve">for reasons of space, </w:t>
      </w:r>
      <w:r w:rsidR="00403819" w:rsidRPr="00F10B38">
        <w:rPr>
          <w:i/>
        </w:rPr>
        <w:t>to illustrate the options for treatment</w:t>
      </w:r>
      <w:r w:rsidRPr="00F10B38">
        <w:rPr>
          <w:i/>
        </w:rPr>
        <w:t>, but should not be taken as a suggestion that there are two obviously different groups of patients.</w:t>
      </w:r>
    </w:p>
    <w:p w14:paraId="7DAEB283" w14:textId="77777777" w:rsidR="00826896" w:rsidRPr="00F10B38" w:rsidRDefault="00826896" w:rsidP="00F10B38">
      <w:pPr>
        <w:pStyle w:val="BodyTextnospacebefore"/>
        <w:rPr>
          <w:i/>
        </w:rPr>
      </w:pPr>
      <w:r w:rsidRPr="00F10B38">
        <w:rPr>
          <w:i/>
        </w:rPr>
        <w:t xml:space="preserve">Steps are omitted that would appear in a true treatment algorithm such as diagnostics and monitoring; pulmonary rehabilitation; anticoagulants and supplemental oxygen, and others. This focuses on the current recommendations for PAH </w:t>
      </w:r>
      <w:r w:rsidR="00517C17" w:rsidRPr="00F10B38">
        <w:rPr>
          <w:i/>
        </w:rPr>
        <w:t>medicine</w:t>
      </w:r>
      <w:r w:rsidR="0004690C">
        <w:rPr>
          <w:i/>
        </w:rPr>
        <w:t xml:space="preserve"> choices.</w:t>
      </w:r>
    </w:p>
    <w:p w14:paraId="320353E3" w14:textId="77777777" w:rsidR="006A4A5D" w:rsidRPr="009C074C" w:rsidRDefault="00A32AF0" w:rsidP="009C074C">
      <w:pPr>
        <w:rPr>
          <w:rFonts w:asciiTheme="minorHAnsi" w:hAnsiTheme="minorHAnsi"/>
        </w:rPr>
      </w:pPr>
      <w:r w:rsidRPr="009C074C">
        <w:rPr>
          <w:rFonts w:asciiTheme="minorHAnsi" w:hAnsiTheme="minorHAnsi"/>
        </w:rPr>
        <w:t>The individual</w:t>
      </w:r>
      <w:r w:rsidR="001D561A" w:rsidRPr="009C074C">
        <w:rPr>
          <w:rFonts w:asciiTheme="minorHAnsi" w:hAnsiTheme="minorHAnsi"/>
        </w:rPr>
        <w:t xml:space="preserve"> pathway</w:t>
      </w:r>
      <w:r w:rsidR="00F04B81" w:rsidRPr="009C074C">
        <w:rPr>
          <w:rFonts w:asciiTheme="minorHAnsi" w:hAnsiTheme="minorHAnsi"/>
        </w:rPr>
        <w:t>s</w:t>
      </w:r>
      <w:r w:rsidR="001D561A" w:rsidRPr="009C074C">
        <w:rPr>
          <w:rFonts w:asciiTheme="minorHAnsi" w:hAnsiTheme="minorHAnsi"/>
        </w:rPr>
        <w:t xml:space="preserve"> </w:t>
      </w:r>
      <w:proofErr w:type="gramStart"/>
      <w:r w:rsidR="001D561A" w:rsidRPr="009C074C">
        <w:rPr>
          <w:rFonts w:asciiTheme="minorHAnsi" w:hAnsiTheme="minorHAnsi"/>
        </w:rPr>
        <w:t>are based</w:t>
      </w:r>
      <w:proofErr w:type="gramEnd"/>
      <w:r w:rsidR="001D561A" w:rsidRPr="009C074C">
        <w:rPr>
          <w:rFonts w:asciiTheme="minorHAnsi" w:hAnsiTheme="minorHAnsi"/>
        </w:rPr>
        <w:t xml:space="preserve"> primarily on the CHEST guideline</w:t>
      </w:r>
      <w:r w:rsidR="009C556B" w:rsidRPr="009C556B">
        <w:rPr>
          <w:rFonts w:asciiTheme="minorHAnsi" w:hAnsiTheme="minorHAnsi"/>
          <w:noProof/>
          <w:vertAlign w:val="superscript"/>
        </w:rPr>
        <w:t>19</w:t>
      </w:r>
      <w:r w:rsidR="0084407B" w:rsidRPr="009C074C">
        <w:rPr>
          <w:rFonts w:asciiTheme="minorHAnsi" w:hAnsiTheme="minorHAnsi"/>
        </w:rPr>
        <w:t>, which</w:t>
      </w:r>
      <w:r w:rsidR="001D561A" w:rsidRPr="009C074C">
        <w:rPr>
          <w:rFonts w:asciiTheme="minorHAnsi" w:hAnsiTheme="minorHAnsi"/>
        </w:rPr>
        <w:t xml:space="preserve"> provided the best coverage or options for patients in the different risk categories</w:t>
      </w:r>
      <w:r w:rsidR="00496849" w:rsidRPr="009C074C">
        <w:rPr>
          <w:rFonts w:asciiTheme="minorHAnsi" w:hAnsiTheme="minorHAnsi"/>
        </w:rPr>
        <w:t xml:space="preserve">. </w:t>
      </w:r>
      <w:r w:rsidR="00F1363D" w:rsidRPr="009C074C">
        <w:rPr>
          <w:rFonts w:asciiTheme="minorHAnsi" w:hAnsiTheme="minorHAnsi"/>
        </w:rPr>
        <w:t>The overall patient flow follows</w:t>
      </w:r>
      <w:r w:rsidR="001D561A" w:rsidRPr="009C074C">
        <w:rPr>
          <w:rFonts w:asciiTheme="minorHAnsi" w:hAnsiTheme="minorHAnsi"/>
        </w:rPr>
        <w:t xml:space="preserve"> the </w:t>
      </w:r>
      <w:r w:rsidR="00F1363D" w:rsidRPr="009C074C">
        <w:rPr>
          <w:rFonts w:asciiTheme="minorHAnsi" w:hAnsiTheme="minorHAnsi"/>
        </w:rPr>
        <w:t xml:space="preserve">algorithm presented in </w:t>
      </w:r>
      <w:r w:rsidR="008F6AA4">
        <w:rPr>
          <w:rFonts w:asciiTheme="minorHAnsi" w:hAnsiTheme="minorHAnsi"/>
        </w:rPr>
        <w:t>2015 ESC/ERS Guidelines</w:t>
      </w:r>
      <w:r w:rsidR="009C556B" w:rsidRPr="009C074C">
        <w:rPr>
          <w:rFonts w:asciiTheme="minorHAnsi" w:hAnsiTheme="minorHAnsi"/>
          <w:noProof/>
          <w:vertAlign w:val="superscript"/>
        </w:rPr>
        <w:t>8</w:t>
      </w:r>
      <w:r w:rsidR="001D561A" w:rsidRPr="009C074C">
        <w:rPr>
          <w:rFonts w:asciiTheme="minorHAnsi" w:hAnsiTheme="minorHAnsi"/>
        </w:rPr>
        <w:t>.</w:t>
      </w:r>
    </w:p>
    <w:p w14:paraId="44B5EE87" w14:textId="77777777" w:rsidR="00D80D09" w:rsidRPr="009C074C" w:rsidRDefault="000A7F7B" w:rsidP="0084407B">
      <w:r w:rsidRPr="009C074C">
        <w:t xml:space="preserve">These treatment pathways follow the logic of the published algorithms (below) in that patients are triaged according to PAH subtype, risk features and WHO FC status. </w:t>
      </w:r>
      <w:r w:rsidR="00044526" w:rsidRPr="009C074C">
        <w:t>The specific recommendations from the CHEST guideline</w:t>
      </w:r>
      <w:r w:rsidR="009C556B" w:rsidRPr="009C556B">
        <w:rPr>
          <w:noProof/>
          <w:vertAlign w:val="superscript"/>
        </w:rPr>
        <w:t>19</w:t>
      </w:r>
      <w:r w:rsidR="00044526" w:rsidRPr="009C074C">
        <w:t xml:space="preserve"> and the </w:t>
      </w:r>
      <w:r w:rsidR="00221D4C">
        <w:t xml:space="preserve">2015 </w:t>
      </w:r>
      <w:r w:rsidR="00044526" w:rsidRPr="009C074C">
        <w:t>ESC/ERS guideline</w:t>
      </w:r>
      <w:r w:rsidR="00221D4C">
        <w:t>s</w:t>
      </w:r>
      <w:r w:rsidR="009C556B" w:rsidRPr="009C074C">
        <w:rPr>
          <w:noProof/>
          <w:vertAlign w:val="superscript"/>
        </w:rPr>
        <w:t>8</w:t>
      </w:r>
      <w:r w:rsidR="00044526" w:rsidRPr="009C074C">
        <w:t xml:space="preserve"> are summarised in </w:t>
      </w:r>
      <w:r w:rsidR="00505D99" w:rsidRPr="00505D99">
        <w:t>Table 1.7</w:t>
      </w:r>
      <w:r w:rsidR="00505D99" w:rsidRPr="00575139">
        <w:t xml:space="preserve"> Guideline recommendations supporting the therapy pathways</w:t>
      </w:r>
      <w:r w:rsidR="00044526" w:rsidRPr="009C074C">
        <w:t xml:space="preserve"> and </w:t>
      </w:r>
      <w:r w:rsidR="00505D99" w:rsidRPr="00505D99">
        <w:t>Table 1.8</w:t>
      </w:r>
      <w:r w:rsidR="00505D99" w:rsidRPr="00575139">
        <w:t xml:space="preserve"> Guideline recommendations regarding high dose CCBs</w:t>
      </w:r>
      <w:r w:rsidR="003C17FA" w:rsidRPr="009C074C">
        <w:t xml:space="preserve">. </w:t>
      </w:r>
      <w:r w:rsidR="006F15E9" w:rsidRPr="009C074C">
        <w:t xml:space="preserve">A key difference between these two documents is that the </w:t>
      </w:r>
      <w:r w:rsidR="006F26C5" w:rsidRPr="009C074C">
        <w:t>recommendations</w:t>
      </w:r>
      <w:r w:rsidR="006F26C5">
        <w:t xml:space="preserve"> in the </w:t>
      </w:r>
      <w:r w:rsidR="00221D4C">
        <w:t xml:space="preserve">2015 </w:t>
      </w:r>
      <w:r w:rsidR="006F15E9" w:rsidRPr="009C074C">
        <w:t xml:space="preserve">ESC/ERS </w:t>
      </w:r>
      <w:r w:rsidR="00221D4C">
        <w:t>guideline</w:t>
      </w:r>
      <w:r w:rsidR="006F26C5">
        <w:t>s</w:t>
      </w:r>
      <w:r w:rsidR="00221D4C">
        <w:t xml:space="preserve"> </w:t>
      </w:r>
      <w:r w:rsidR="006F15E9" w:rsidRPr="009C074C">
        <w:t xml:space="preserve">suggest either initial monotherapy or initial oral combination therapy in patients with WHO FC II-III. The CHEST </w:t>
      </w:r>
      <w:r w:rsidR="00221D4C">
        <w:t>g</w:t>
      </w:r>
      <w:r w:rsidR="00221D4C" w:rsidRPr="009C074C">
        <w:t xml:space="preserve">uideline </w:t>
      </w:r>
      <w:r w:rsidR="006F15E9" w:rsidRPr="009C074C">
        <w:t>instead suggests</w:t>
      </w:r>
      <w:r w:rsidR="00F13710" w:rsidRPr="009C074C">
        <w:t xml:space="preserve"> reserving initial combination treatment for those patie</w:t>
      </w:r>
      <w:r w:rsidR="001266C7" w:rsidRPr="009C074C">
        <w:t xml:space="preserve">nts with higher risk features. </w:t>
      </w:r>
      <w:r w:rsidR="00F13710" w:rsidRPr="009C074C">
        <w:t xml:space="preserve">The latter, more conservative approach </w:t>
      </w:r>
      <w:proofErr w:type="gramStart"/>
      <w:r w:rsidR="00F13710" w:rsidRPr="009C074C">
        <w:t>is reflected</w:t>
      </w:r>
      <w:proofErr w:type="gramEnd"/>
      <w:r w:rsidR="00F13710" w:rsidRPr="009C074C">
        <w:t xml:space="preserve"> here, noting that patients with inadequate response to monotherapy on follow-up are recommended to receive an additional agent according to both guidelines.</w:t>
      </w:r>
    </w:p>
    <w:p w14:paraId="128C7A53" w14:textId="77777777" w:rsidR="001D561A" w:rsidRPr="009C074C" w:rsidRDefault="001D561A" w:rsidP="009C074C">
      <w:pPr>
        <w:rPr>
          <w:rFonts w:asciiTheme="minorHAnsi" w:eastAsiaTheme="minorEastAsia" w:hAnsiTheme="minorHAnsi" w:cstheme="majorBidi"/>
          <w:b/>
          <w:bCs/>
          <w:i/>
          <w:sz w:val="28"/>
        </w:rPr>
        <w:sectPr w:rsidR="001D561A" w:rsidRPr="009C074C" w:rsidSect="00CF3FEC">
          <w:footnotePr>
            <w:numFmt w:val="chicago"/>
          </w:footnotePr>
          <w:pgSz w:w="11906" w:h="16838"/>
          <w:pgMar w:top="1440" w:right="1440" w:bottom="1440" w:left="1440" w:header="708" w:footer="708" w:gutter="0"/>
          <w:cols w:space="708"/>
          <w:titlePg/>
          <w:docGrid w:linePitch="360"/>
        </w:sectPr>
      </w:pPr>
    </w:p>
    <w:p w14:paraId="323D8E5B" w14:textId="77777777" w:rsidR="001D561A" w:rsidRDefault="00250EDE" w:rsidP="00250EDE">
      <w:pPr>
        <w:pStyle w:val="Caption"/>
        <w:jc w:val="left"/>
      </w:pPr>
      <w:bookmarkStart w:id="151" w:name="_Ref510798058"/>
      <w:bookmarkStart w:id="152" w:name="_Ref508896209"/>
      <w:bookmarkStart w:id="153" w:name="_Toc29377251"/>
      <w:r>
        <w:lastRenderedPageBreak/>
        <w:t>Table 1.</w:t>
      </w:r>
      <w:r w:rsidR="00505D99">
        <w:rPr>
          <w:noProof/>
        </w:rPr>
        <w:t>5</w:t>
      </w:r>
      <w:bookmarkEnd w:id="151"/>
      <w:r w:rsidRPr="00250EDE">
        <w:t xml:space="preserve"> </w:t>
      </w:r>
      <w:r>
        <w:tab/>
        <w:t>PAH pharmacotherapy – patient groups receiving monotherapy</w:t>
      </w:r>
      <w:bookmarkEnd w:id="152"/>
      <w:bookmarkEnd w:id="153"/>
    </w:p>
    <w:tbl>
      <w:tblPr>
        <w:tblStyle w:val="TableGrid"/>
        <w:tblW w:w="503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PAH pharmacotherapy – patient groups receiving monotherapy"/>
      </w:tblPr>
      <w:tblGrid>
        <w:gridCol w:w="1503"/>
        <w:gridCol w:w="279"/>
        <w:gridCol w:w="1536"/>
        <w:gridCol w:w="278"/>
        <w:gridCol w:w="1536"/>
        <w:gridCol w:w="256"/>
        <w:gridCol w:w="1423"/>
        <w:gridCol w:w="278"/>
        <w:gridCol w:w="1536"/>
        <w:gridCol w:w="278"/>
        <w:gridCol w:w="1536"/>
        <w:gridCol w:w="278"/>
        <w:gridCol w:w="1536"/>
        <w:gridCol w:w="278"/>
        <w:gridCol w:w="1533"/>
      </w:tblGrid>
      <w:tr w:rsidR="001D561A" w:rsidRPr="00CF3FEC" w14:paraId="11DC07BF" w14:textId="77777777" w:rsidTr="00103864">
        <w:trPr>
          <w:cnfStyle w:val="100000000000" w:firstRow="1" w:lastRow="0" w:firstColumn="0" w:lastColumn="0" w:oddVBand="0" w:evenVBand="0" w:oddHBand="0" w:evenHBand="0" w:firstRowFirstColumn="0" w:firstRowLastColumn="0" w:lastRowFirstColumn="0" w:lastRowLastColumn="0"/>
        </w:trPr>
        <w:tc>
          <w:tcPr>
            <w:tcW w:w="534" w:type="pct"/>
            <w:shd w:val="clear" w:color="auto" w:fill="FFFFFF" w:themeFill="background1"/>
            <w:vAlign w:val="center"/>
          </w:tcPr>
          <w:p w14:paraId="7E8B087B" w14:textId="77777777" w:rsidR="001D561A" w:rsidRPr="00CF3FEC" w:rsidRDefault="001D561A" w:rsidP="00121658">
            <w:pPr>
              <w:spacing w:before="0" w:line="240" w:lineRule="auto"/>
              <w:rPr>
                <w:b/>
                <w:color w:val="4F81BD" w:themeColor="accent1"/>
                <w:sz w:val="20"/>
                <w:szCs w:val="20"/>
              </w:rPr>
            </w:pPr>
            <w:r w:rsidRPr="00CF3FEC">
              <w:rPr>
                <w:b/>
                <w:color w:val="4F81BD" w:themeColor="accent1"/>
                <w:sz w:val="20"/>
                <w:szCs w:val="20"/>
              </w:rPr>
              <w:t>Treatment naive</w:t>
            </w:r>
          </w:p>
        </w:tc>
        <w:tc>
          <w:tcPr>
            <w:tcW w:w="99" w:type="pct"/>
            <w:shd w:val="clear" w:color="auto" w:fill="FFFFFF" w:themeFill="background1"/>
            <w:vAlign w:val="center"/>
          </w:tcPr>
          <w:p w14:paraId="36D14534" w14:textId="77777777" w:rsidR="001D561A" w:rsidRPr="00CF3FEC" w:rsidRDefault="001D561A" w:rsidP="00121658">
            <w:pPr>
              <w:spacing w:before="0" w:line="240" w:lineRule="auto"/>
              <w:rPr>
                <w:sz w:val="20"/>
                <w:szCs w:val="20"/>
              </w:rPr>
            </w:pPr>
          </w:p>
        </w:tc>
        <w:tc>
          <w:tcPr>
            <w:tcW w:w="546" w:type="pct"/>
            <w:shd w:val="clear" w:color="auto" w:fill="FFFFFF" w:themeFill="background1"/>
            <w:vAlign w:val="center"/>
          </w:tcPr>
          <w:p w14:paraId="1558B2BC" w14:textId="77777777" w:rsidR="001D561A" w:rsidRPr="00CF3FEC" w:rsidRDefault="001D561A" w:rsidP="00121658">
            <w:pPr>
              <w:spacing w:before="0" w:line="240" w:lineRule="auto"/>
              <w:rPr>
                <w:b/>
                <w:color w:val="4F81BD" w:themeColor="accent1"/>
                <w:sz w:val="20"/>
                <w:szCs w:val="20"/>
              </w:rPr>
            </w:pPr>
            <w:r w:rsidRPr="00CF3FEC">
              <w:rPr>
                <w:b/>
                <w:color w:val="4F81BD" w:themeColor="accent1"/>
                <w:sz w:val="20"/>
                <w:szCs w:val="20"/>
              </w:rPr>
              <w:t>Treatment naive</w:t>
            </w:r>
          </w:p>
        </w:tc>
        <w:tc>
          <w:tcPr>
            <w:tcW w:w="99" w:type="pct"/>
            <w:shd w:val="clear" w:color="auto" w:fill="FFFFFF" w:themeFill="background1"/>
            <w:vAlign w:val="center"/>
          </w:tcPr>
          <w:p w14:paraId="06CD9DC8" w14:textId="77777777" w:rsidR="001D561A" w:rsidRPr="00CF3FEC" w:rsidRDefault="001D561A" w:rsidP="00121658">
            <w:pPr>
              <w:spacing w:before="0" w:line="240" w:lineRule="auto"/>
              <w:rPr>
                <w:sz w:val="20"/>
                <w:szCs w:val="20"/>
              </w:rPr>
            </w:pPr>
          </w:p>
        </w:tc>
        <w:tc>
          <w:tcPr>
            <w:tcW w:w="546" w:type="pct"/>
            <w:shd w:val="clear" w:color="auto" w:fill="FFFFFF" w:themeFill="background1"/>
            <w:vAlign w:val="center"/>
          </w:tcPr>
          <w:p w14:paraId="192AC013" w14:textId="77777777" w:rsidR="001D561A" w:rsidRPr="00CF3FEC" w:rsidRDefault="001D561A" w:rsidP="00121658">
            <w:pPr>
              <w:spacing w:before="0" w:line="240" w:lineRule="auto"/>
              <w:rPr>
                <w:b/>
                <w:color w:val="4F81BD" w:themeColor="accent1"/>
                <w:sz w:val="20"/>
                <w:szCs w:val="20"/>
              </w:rPr>
            </w:pPr>
            <w:r w:rsidRPr="00CF3FEC">
              <w:rPr>
                <w:b/>
                <w:color w:val="4F81BD" w:themeColor="accent1"/>
                <w:sz w:val="20"/>
                <w:szCs w:val="20"/>
              </w:rPr>
              <w:t>Treatment naive</w:t>
            </w:r>
          </w:p>
        </w:tc>
        <w:tc>
          <w:tcPr>
            <w:tcW w:w="91" w:type="pct"/>
            <w:shd w:val="clear" w:color="auto" w:fill="FFFFFF" w:themeFill="background1"/>
            <w:vAlign w:val="center"/>
          </w:tcPr>
          <w:p w14:paraId="18175825" w14:textId="77777777" w:rsidR="001D561A" w:rsidRPr="00CF3FEC" w:rsidRDefault="001D561A" w:rsidP="00121658">
            <w:pPr>
              <w:spacing w:before="0" w:line="240" w:lineRule="auto"/>
              <w:rPr>
                <w:sz w:val="20"/>
                <w:szCs w:val="20"/>
              </w:rPr>
            </w:pPr>
          </w:p>
        </w:tc>
        <w:tc>
          <w:tcPr>
            <w:tcW w:w="506" w:type="pct"/>
            <w:shd w:val="clear" w:color="auto" w:fill="FFFFFF" w:themeFill="background1"/>
            <w:vAlign w:val="center"/>
          </w:tcPr>
          <w:p w14:paraId="529D429B" w14:textId="77777777" w:rsidR="001D561A" w:rsidRPr="00CF3FEC" w:rsidRDefault="001D561A" w:rsidP="00121658">
            <w:pPr>
              <w:spacing w:before="0" w:line="240" w:lineRule="auto"/>
              <w:rPr>
                <w:sz w:val="20"/>
                <w:szCs w:val="20"/>
              </w:rPr>
            </w:pPr>
          </w:p>
        </w:tc>
        <w:tc>
          <w:tcPr>
            <w:tcW w:w="99" w:type="pct"/>
            <w:shd w:val="clear" w:color="auto" w:fill="FFFFFF" w:themeFill="background1"/>
            <w:vAlign w:val="center"/>
          </w:tcPr>
          <w:p w14:paraId="761112DD" w14:textId="77777777" w:rsidR="001D561A" w:rsidRPr="00CF3FEC" w:rsidRDefault="001D561A" w:rsidP="00121658">
            <w:pPr>
              <w:spacing w:before="0" w:line="240" w:lineRule="auto"/>
              <w:rPr>
                <w:sz w:val="20"/>
                <w:szCs w:val="20"/>
              </w:rPr>
            </w:pPr>
          </w:p>
        </w:tc>
        <w:tc>
          <w:tcPr>
            <w:tcW w:w="546" w:type="pct"/>
            <w:shd w:val="clear" w:color="auto" w:fill="FFFFFF" w:themeFill="background1"/>
            <w:vAlign w:val="center"/>
          </w:tcPr>
          <w:p w14:paraId="080DB155" w14:textId="77777777" w:rsidR="001D561A" w:rsidRPr="00CF3FEC" w:rsidRDefault="001D561A" w:rsidP="00121658">
            <w:pPr>
              <w:spacing w:before="0" w:line="240" w:lineRule="auto"/>
              <w:rPr>
                <w:b/>
                <w:color w:val="4F81BD" w:themeColor="accent1"/>
                <w:sz w:val="20"/>
                <w:szCs w:val="20"/>
              </w:rPr>
            </w:pPr>
            <w:r w:rsidRPr="00CF3FEC">
              <w:rPr>
                <w:b/>
                <w:color w:val="4F81BD" w:themeColor="accent1"/>
                <w:sz w:val="20"/>
                <w:szCs w:val="20"/>
              </w:rPr>
              <w:t>Treatment naive</w:t>
            </w:r>
          </w:p>
        </w:tc>
        <w:tc>
          <w:tcPr>
            <w:tcW w:w="99" w:type="pct"/>
            <w:shd w:val="clear" w:color="auto" w:fill="FFFFFF" w:themeFill="background1"/>
            <w:vAlign w:val="center"/>
          </w:tcPr>
          <w:p w14:paraId="1058C5E6" w14:textId="77777777" w:rsidR="001D561A" w:rsidRPr="00CF3FEC" w:rsidRDefault="001D561A" w:rsidP="00121658">
            <w:pPr>
              <w:spacing w:before="0" w:line="240" w:lineRule="auto"/>
              <w:rPr>
                <w:sz w:val="20"/>
                <w:szCs w:val="20"/>
              </w:rPr>
            </w:pPr>
          </w:p>
        </w:tc>
        <w:tc>
          <w:tcPr>
            <w:tcW w:w="546" w:type="pct"/>
            <w:shd w:val="clear" w:color="auto" w:fill="FFFFFF" w:themeFill="background1"/>
            <w:vAlign w:val="center"/>
          </w:tcPr>
          <w:p w14:paraId="38ACCEFD" w14:textId="77777777" w:rsidR="001D561A" w:rsidRPr="00CF3FEC" w:rsidRDefault="001D561A" w:rsidP="00121658">
            <w:pPr>
              <w:spacing w:before="0" w:line="240" w:lineRule="auto"/>
              <w:rPr>
                <w:b/>
                <w:color w:val="4F81BD" w:themeColor="accent1"/>
                <w:sz w:val="20"/>
                <w:szCs w:val="20"/>
              </w:rPr>
            </w:pPr>
            <w:r w:rsidRPr="00CF3FEC">
              <w:rPr>
                <w:b/>
                <w:color w:val="4F81BD" w:themeColor="accent1"/>
                <w:sz w:val="20"/>
                <w:szCs w:val="20"/>
              </w:rPr>
              <w:t>Treatment naive</w:t>
            </w:r>
          </w:p>
        </w:tc>
        <w:tc>
          <w:tcPr>
            <w:tcW w:w="99" w:type="pct"/>
            <w:shd w:val="clear" w:color="auto" w:fill="FFFFFF" w:themeFill="background1"/>
          </w:tcPr>
          <w:p w14:paraId="588D8FDC" w14:textId="77777777" w:rsidR="001D561A" w:rsidRPr="00CF3FEC" w:rsidRDefault="001D561A" w:rsidP="00121658">
            <w:pPr>
              <w:spacing w:before="0" w:line="240" w:lineRule="auto"/>
              <w:rPr>
                <w:sz w:val="20"/>
                <w:szCs w:val="20"/>
              </w:rPr>
            </w:pPr>
          </w:p>
        </w:tc>
        <w:tc>
          <w:tcPr>
            <w:tcW w:w="546" w:type="pct"/>
            <w:shd w:val="clear" w:color="auto" w:fill="FFFFFF" w:themeFill="background1"/>
            <w:vAlign w:val="center"/>
          </w:tcPr>
          <w:p w14:paraId="49D4BD7E" w14:textId="77777777" w:rsidR="001D561A" w:rsidRPr="00CF3FEC" w:rsidRDefault="001D561A" w:rsidP="00121658">
            <w:pPr>
              <w:spacing w:before="0" w:line="240" w:lineRule="auto"/>
              <w:rPr>
                <w:b/>
                <w:color w:val="4F81BD" w:themeColor="accent1"/>
                <w:sz w:val="20"/>
                <w:szCs w:val="20"/>
              </w:rPr>
            </w:pPr>
            <w:r w:rsidRPr="00CF3FEC">
              <w:rPr>
                <w:b/>
                <w:color w:val="4F81BD" w:themeColor="accent1"/>
                <w:sz w:val="20"/>
                <w:szCs w:val="20"/>
              </w:rPr>
              <w:t>Treatment naive</w:t>
            </w:r>
          </w:p>
        </w:tc>
        <w:tc>
          <w:tcPr>
            <w:tcW w:w="99" w:type="pct"/>
            <w:shd w:val="clear" w:color="auto" w:fill="FFFFFF" w:themeFill="background1"/>
          </w:tcPr>
          <w:p w14:paraId="01766B0F" w14:textId="77777777" w:rsidR="001D561A" w:rsidRPr="00CF3FEC" w:rsidRDefault="001D561A" w:rsidP="00121658">
            <w:pPr>
              <w:spacing w:before="0" w:line="240" w:lineRule="auto"/>
              <w:rPr>
                <w:sz w:val="20"/>
                <w:szCs w:val="20"/>
              </w:rPr>
            </w:pPr>
          </w:p>
        </w:tc>
        <w:tc>
          <w:tcPr>
            <w:tcW w:w="545" w:type="pct"/>
            <w:shd w:val="clear" w:color="auto" w:fill="FFFFFF" w:themeFill="background1"/>
            <w:vAlign w:val="center"/>
          </w:tcPr>
          <w:p w14:paraId="36F5E196" w14:textId="77777777" w:rsidR="001D561A" w:rsidRPr="00CF3FEC" w:rsidRDefault="001D561A" w:rsidP="00121658">
            <w:pPr>
              <w:spacing w:before="0" w:line="240" w:lineRule="auto"/>
              <w:rPr>
                <w:b/>
                <w:color w:val="4F81BD" w:themeColor="accent1"/>
                <w:sz w:val="20"/>
                <w:szCs w:val="20"/>
              </w:rPr>
            </w:pPr>
            <w:r w:rsidRPr="00CF3FEC">
              <w:rPr>
                <w:b/>
                <w:color w:val="4F81BD" w:themeColor="accent1"/>
                <w:sz w:val="20"/>
                <w:szCs w:val="20"/>
              </w:rPr>
              <w:t>Treatment naive</w:t>
            </w:r>
          </w:p>
        </w:tc>
      </w:tr>
      <w:tr w:rsidR="001D561A" w:rsidRPr="00CF3FEC" w14:paraId="76D4F263" w14:textId="77777777" w:rsidTr="002575FC">
        <w:tc>
          <w:tcPr>
            <w:tcW w:w="534" w:type="pct"/>
            <w:tcBorders>
              <w:top w:val="single" w:sz="24" w:space="0" w:color="92D050"/>
              <w:left w:val="single" w:sz="24" w:space="0" w:color="92D050"/>
              <w:bottom w:val="single" w:sz="24" w:space="0" w:color="92D050"/>
              <w:right w:val="single" w:sz="24" w:space="0" w:color="92D050"/>
            </w:tcBorders>
            <w:vAlign w:val="center"/>
          </w:tcPr>
          <w:p w14:paraId="4121D792" w14:textId="77777777" w:rsidR="001D561A" w:rsidRPr="00CF3FEC" w:rsidRDefault="001D561A" w:rsidP="00121658">
            <w:pPr>
              <w:spacing w:before="0" w:line="240" w:lineRule="auto"/>
              <w:rPr>
                <w:sz w:val="20"/>
                <w:szCs w:val="20"/>
              </w:rPr>
            </w:pPr>
            <w:r w:rsidRPr="00CF3FEC">
              <w:rPr>
                <w:sz w:val="20"/>
                <w:szCs w:val="20"/>
              </w:rPr>
              <w:t>WHO FC I</w:t>
            </w:r>
          </w:p>
        </w:tc>
        <w:tc>
          <w:tcPr>
            <w:tcW w:w="99" w:type="pct"/>
            <w:tcBorders>
              <w:left w:val="single" w:sz="24" w:space="0" w:color="92D050"/>
              <w:right w:val="single" w:sz="24" w:space="0" w:color="FFFF00"/>
            </w:tcBorders>
            <w:vAlign w:val="center"/>
          </w:tcPr>
          <w:p w14:paraId="4A57C3D2" w14:textId="77777777" w:rsidR="001D561A" w:rsidRPr="00CF3FEC" w:rsidRDefault="001D561A" w:rsidP="00121658">
            <w:pPr>
              <w:spacing w:before="0" w:line="240" w:lineRule="auto"/>
              <w:rPr>
                <w:sz w:val="20"/>
                <w:szCs w:val="20"/>
              </w:rPr>
            </w:pPr>
          </w:p>
        </w:tc>
        <w:tc>
          <w:tcPr>
            <w:tcW w:w="546" w:type="pct"/>
            <w:tcBorders>
              <w:top w:val="single" w:sz="24" w:space="0" w:color="FFFF00"/>
              <w:left w:val="single" w:sz="24" w:space="0" w:color="FFFF00"/>
              <w:bottom w:val="single" w:sz="24" w:space="0" w:color="FFFF00"/>
              <w:right w:val="single" w:sz="24" w:space="0" w:color="FFFF00"/>
            </w:tcBorders>
            <w:vAlign w:val="center"/>
          </w:tcPr>
          <w:p w14:paraId="24002994" w14:textId="77777777" w:rsidR="001D561A" w:rsidRPr="00CF3FEC" w:rsidRDefault="001D561A" w:rsidP="00121658">
            <w:pPr>
              <w:spacing w:before="0" w:line="240" w:lineRule="auto"/>
              <w:rPr>
                <w:sz w:val="20"/>
                <w:szCs w:val="20"/>
              </w:rPr>
            </w:pPr>
            <w:r w:rsidRPr="00CF3FEC">
              <w:rPr>
                <w:sz w:val="20"/>
                <w:szCs w:val="20"/>
              </w:rPr>
              <w:t>WHO FC II</w:t>
            </w:r>
          </w:p>
        </w:tc>
        <w:tc>
          <w:tcPr>
            <w:tcW w:w="99" w:type="pct"/>
            <w:tcBorders>
              <w:left w:val="single" w:sz="24" w:space="0" w:color="FFFF00"/>
              <w:right w:val="single" w:sz="24" w:space="0" w:color="FFC000"/>
            </w:tcBorders>
            <w:vAlign w:val="center"/>
          </w:tcPr>
          <w:p w14:paraId="3547E7E3" w14:textId="77777777" w:rsidR="001D561A" w:rsidRPr="00CF3FEC" w:rsidRDefault="001D561A" w:rsidP="00121658">
            <w:pPr>
              <w:spacing w:before="0" w:line="240" w:lineRule="auto"/>
              <w:rPr>
                <w:sz w:val="20"/>
                <w:szCs w:val="20"/>
              </w:rPr>
            </w:pPr>
          </w:p>
        </w:tc>
        <w:tc>
          <w:tcPr>
            <w:tcW w:w="546" w:type="pct"/>
            <w:tcBorders>
              <w:top w:val="single" w:sz="24" w:space="0" w:color="FFC000"/>
              <w:left w:val="single" w:sz="24" w:space="0" w:color="FFC000"/>
              <w:bottom w:val="single" w:sz="24" w:space="0" w:color="FFC000"/>
              <w:right w:val="single" w:sz="24" w:space="0" w:color="FFC000"/>
            </w:tcBorders>
            <w:vAlign w:val="center"/>
          </w:tcPr>
          <w:p w14:paraId="2297B021" w14:textId="77777777" w:rsidR="001D561A" w:rsidRPr="00CF3FEC" w:rsidRDefault="001D561A" w:rsidP="00121658">
            <w:pPr>
              <w:spacing w:before="0" w:line="240" w:lineRule="auto"/>
              <w:rPr>
                <w:sz w:val="20"/>
                <w:szCs w:val="20"/>
              </w:rPr>
            </w:pPr>
            <w:r w:rsidRPr="00CF3FEC">
              <w:rPr>
                <w:sz w:val="20"/>
                <w:szCs w:val="20"/>
              </w:rPr>
              <w:t>WHO FC III; low risk</w:t>
            </w:r>
          </w:p>
        </w:tc>
        <w:tc>
          <w:tcPr>
            <w:tcW w:w="91" w:type="pct"/>
            <w:tcBorders>
              <w:left w:val="single" w:sz="24" w:space="0" w:color="FFC000"/>
            </w:tcBorders>
            <w:vAlign w:val="center"/>
          </w:tcPr>
          <w:p w14:paraId="304CB276" w14:textId="77777777" w:rsidR="001D561A" w:rsidRPr="00CF3FEC" w:rsidRDefault="001D561A" w:rsidP="00121658">
            <w:pPr>
              <w:spacing w:before="0" w:line="240" w:lineRule="auto"/>
              <w:rPr>
                <w:sz w:val="20"/>
                <w:szCs w:val="20"/>
              </w:rPr>
            </w:pPr>
          </w:p>
        </w:tc>
        <w:tc>
          <w:tcPr>
            <w:tcW w:w="506" w:type="pct"/>
            <w:vAlign w:val="center"/>
          </w:tcPr>
          <w:p w14:paraId="096735DB" w14:textId="77777777" w:rsidR="001D561A" w:rsidRPr="00CF3FEC" w:rsidRDefault="001D561A" w:rsidP="00121658">
            <w:pPr>
              <w:spacing w:before="0" w:line="240" w:lineRule="auto"/>
              <w:rPr>
                <w:sz w:val="20"/>
                <w:szCs w:val="20"/>
              </w:rPr>
            </w:pPr>
          </w:p>
        </w:tc>
        <w:tc>
          <w:tcPr>
            <w:tcW w:w="99" w:type="pct"/>
            <w:tcBorders>
              <w:left w:val="nil"/>
              <w:right w:val="single" w:sz="24" w:space="0" w:color="FFFF00"/>
            </w:tcBorders>
            <w:vAlign w:val="center"/>
          </w:tcPr>
          <w:p w14:paraId="5789D5FE" w14:textId="77777777" w:rsidR="001D561A" w:rsidRPr="00CF3FEC" w:rsidRDefault="001D561A" w:rsidP="00121658">
            <w:pPr>
              <w:spacing w:before="0" w:line="240" w:lineRule="auto"/>
              <w:rPr>
                <w:sz w:val="20"/>
                <w:szCs w:val="20"/>
              </w:rPr>
            </w:pPr>
          </w:p>
        </w:tc>
        <w:tc>
          <w:tcPr>
            <w:tcW w:w="546" w:type="pct"/>
            <w:tcBorders>
              <w:top w:val="single" w:sz="24" w:space="0" w:color="FFFF00"/>
              <w:left w:val="single" w:sz="24" w:space="0" w:color="FFFF00"/>
              <w:bottom w:val="single" w:sz="24" w:space="0" w:color="FFFF00"/>
              <w:right w:val="single" w:sz="24" w:space="0" w:color="FFFF00"/>
            </w:tcBorders>
            <w:vAlign w:val="center"/>
          </w:tcPr>
          <w:p w14:paraId="5DE35D65" w14:textId="77777777" w:rsidR="001D561A" w:rsidRPr="00CF3FEC" w:rsidRDefault="001D561A" w:rsidP="00121658">
            <w:pPr>
              <w:spacing w:before="0" w:line="240" w:lineRule="auto"/>
              <w:rPr>
                <w:sz w:val="20"/>
                <w:szCs w:val="20"/>
              </w:rPr>
            </w:pPr>
            <w:r w:rsidRPr="00CF3FEC">
              <w:rPr>
                <w:sz w:val="20"/>
                <w:szCs w:val="20"/>
              </w:rPr>
              <w:t>WHO FC II</w:t>
            </w:r>
          </w:p>
        </w:tc>
        <w:tc>
          <w:tcPr>
            <w:tcW w:w="99" w:type="pct"/>
            <w:tcBorders>
              <w:left w:val="single" w:sz="24" w:space="0" w:color="FFFF00"/>
              <w:right w:val="single" w:sz="24" w:space="0" w:color="FFC000"/>
            </w:tcBorders>
            <w:vAlign w:val="center"/>
          </w:tcPr>
          <w:p w14:paraId="7682C9A6" w14:textId="77777777" w:rsidR="001D561A" w:rsidRPr="00CF3FEC" w:rsidRDefault="001D561A" w:rsidP="00121658">
            <w:pPr>
              <w:spacing w:before="0" w:line="240" w:lineRule="auto"/>
              <w:rPr>
                <w:sz w:val="20"/>
                <w:szCs w:val="20"/>
              </w:rPr>
            </w:pPr>
          </w:p>
        </w:tc>
        <w:tc>
          <w:tcPr>
            <w:tcW w:w="546" w:type="pct"/>
            <w:tcBorders>
              <w:top w:val="single" w:sz="24" w:space="0" w:color="FFC000"/>
              <w:left w:val="single" w:sz="24" w:space="0" w:color="FFC000"/>
              <w:bottom w:val="single" w:sz="24" w:space="0" w:color="FFC000"/>
              <w:right w:val="single" w:sz="24" w:space="0" w:color="FFC000"/>
            </w:tcBorders>
            <w:vAlign w:val="center"/>
          </w:tcPr>
          <w:p w14:paraId="127EDCF8" w14:textId="77777777" w:rsidR="001D561A" w:rsidRPr="00CF3FEC" w:rsidRDefault="001D561A" w:rsidP="00121658">
            <w:pPr>
              <w:spacing w:before="0" w:line="240" w:lineRule="auto"/>
              <w:rPr>
                <w:sz w:val="20"/>
                <w:szCs w:val="20"/>
              </w:rPr>
            </w:pPr>
            <w:r w:rsidRPr="00CF3FEC">
              <w:rPr>
                <w:sz w:val="20"/>
                <w:szCs w:val="20"/>
              </w:rPr>
              <w:t>WHO FC III; low - intermediate risk</w:t>
            </w:r>
          </w:p>
        </w:tc>
        <w:tc>
          <w:tcPr>
            <w:tcW w:w="99" w:type="pct"/>
            <w:tcBorders>
              <w:left w:val="single" w:sz="24" w:space="0" w:color="FFC000"/>
              <w:right w:val="single" w:sz="24" w:space="0" w:color="FFC000"/>
            </w:tcBorders>
          </w:tcPr>
          <w:p w14:paraId="27EFCCB8" w14:textId="77777777" w:rsidR="001D561A" w:rsidRPr="00CF3FEC" w:rsidRDefault="001D561A" w:rsidP="00121658">
            <w:pPr>
              <w:spacing w:before="0" w:line="240" w:lineRule="auto"/>
              <w:rPr>
                <w:sz w:val="20"/>
                <w:szCs w:val="20"/>
              </w:rPr>
            </w:pPr>
          </w:p>
        </w:tc>
        <w:tc>
          <w:tcPr>
            <w:tcW w:w="546" w:type="pct"/>
            <w:tcBorders>
              <w:top w:val="single" w:sz="24" w:space="0" w:color="FFC000"/>
              <w:left w:val="single" w:sz="24" w:space="0" w:color="FFC000"/>
              <w:bottom w:val="single" w:sz="24" w:space="0" w:color="FFC000"/>
              <w:right w:val="single" w:sz="24" w:space="0" w:color="FFC000"/>
            </w:tcBorders>
            <w:vAlign w:val="center"/>
          </w:tcPr>
          <w:p w14:paraId="358D7248" w14:textId="77777777" w:rsidR="001D561A" w:rsidRPr="00CF3FEC" w:rsidRDefault="001D561A" w:rsidP="00121658">
            <w:pPr>
              <w:spacing w:before="0" w:line="240" w:lineRule="auto"/>
              <w:rPr>
                <w:sz w:val="20"/>
                <w:szCs w:val="20"/>
              </w:rPr>
            </w:pPr>
            <w:r w:rsidRPr="00CF3FEC">
              <w:rPr>
                <w:sz w:val="20"/>
                <w:szCs w:val="20"/>
              </w:rPr>
              <w:t>WHO FC III; intermediate - high risk</w:t>
            </w:r>
          </w:p>
        </w:tc>
        <w:tc>
          <w:tcPr>
            <w:tcW w:w="99" w:type="pct"/>
            <w:tcBorders>
              <w:left w:val="single" w:sz="24" w:space="0" w:color="FFC000"/>
              <w:right w:val="single" w:sz="24" w:space="0" w:color="C00000"/>
            </w:tcBorders>
          </w:tcPr>
          <w:p w14:paraId="0E65F9EB" w14:textId="77777777" w:rsidR="001D561A" w:rsidRPr="00CF3FEC" w:rsidRDefault="001D561A" w:rsidP="00121658">
            <w:pPr>
              <w:spacing w:before="0" w:line="240" w:lineRule="auto"/>
              <w:rPr>
                <w:sz w:val="20"/>
                <w:szCs w:val="20"/>
              </w:rPr>
            </w:pPr>
          </w:p>
        </w:tc>
        <w:tc>
          <w:tcPr>
            <w:tcW w:w="545" w:type="pct"/>
            <w:tcBorders>
              <w:top w:val="single" w:sz="24" w:space="0" w:color="C00000"/>
              <w:left w:val="single" w:sz="24" w:space="0" w:color="C00000"/>
              <w:bottom w:val="single" w:sz="24" w:space="0" w:color="C00000"/>
              <w:right w:val="single" w:sz="24" w:space="0" w:color="C00000"/>
            </w:tcBorders>
            <w:vAlign w:val="center"/>
          </w:tcPr>
          <w:p w14:paraId="793163F7" w14:textId="77777777" w:rsidR="001D561A" w:rsidRPr="00CF3FEC" w:rsidRDefault="001D561A" w:rsidP="00121658">
            <w:pPr>
              <w:spacing w:before="0" w:line="240" w:lineRule="auto"/>
              <w:rPr>
                <w:sz w:val="20"/>
                <w:szCs w:val="20"/>
              </w:rPr>
            </w:pPr>
            <w:r w:rsidRPr="00CF3FEC">
              <w:rPr>
                <w:sz w:val="20"/>
                <w:szCs w:val="20"/>
              </w:rPr>
              <w:t>WHO FC IV</w:t>
            </w:r>
          </w:p>
        </w:tc>
      </w:tr>
      <w:tr w:rsidR="001D561A" w:rsidRPr="00CF3FEC" w14:paraId="644AECEF" w14:textId="77777777" w:rsidTr="002575FC">
        <w:tc>
          <w:tcPr>
            <w:tcW w:w="534" w:type="pct"/>
            <w:tcBorders>
              <w:top w:val="single" w:sz="24" w:space="0" w:color="92D050"/>
              <w:bottom w:val="single" w:sz="4" w:space="0" w:color="auto"/>
            </w:tcBorders>
            <w:vAlign w:val="center"/>
          </w:tcPr>
          <w:p w14:paraId="6263C350"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vAlign w:val="center"/>
          </w:tcPr>
          <w:p w14:paraId="2848BDF0" w14:textId="77777777" w:rsidR="001D561A" w:rsidRPr="00CF3FEC" w:rsidRDefault="001D561A" w:rsidP="00121658">
            <w:pPr>
              <w:spacing w:before="0" w:line="240" w:lineRule="auto"/>
              <w:rPr>
                <w:b/>
                <w:sz w:val="20"/>
                <w:szCs w:val="20"/>
              </w:rPr>
            </w:pPr>
          </w:p>
        </w:tc>
        <w:tc>
          <w:tcPr>
            <w:tcW w:w="546" w:type="pct"/>
            <w:tcBorders>
              <w:top w:val="single" w:sz="24" w:space="0" w:color="FFFF00"/>
              <w:bottom w:val="single" w:sz="4" w:space="0" w:color="auto"/>
            </w:tcBorders>
            <w:vAlign w:val="center"/>
          </w:tcPr>
          <w:p w14:paraId="09AB6CEB"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vAlign w:val="center"/>
          </w:tcPr>
          <w:p w14:paraId="107E26DA" w14:textId="77777777" w:rsidR="001D561A" w:rsidRPr="00CF3FEC" w:rsidRDefault="001D561A" w:rsidP="00121658">
            <w:pPr>
              <w:spacing w:before="0" w:line="240" w:lineRule="auto"/>
              <w:rPr>
                <w:b/>
                <w:sz w:val="20"/>
                <w:szCs w:val="20"/>
              </w:rPr>
            </w:pPr>
          </w:p>
        </w:tc>
        <w:tc>
          <w:tcPr>
            <w:tcW w:w="546" w:type="pct"/>
            <w:tcBorders>
              <w:top w:val="single" w:sz="24" w:space="0" w:color="FFC000"/>
              <w:bottom w:val="single" w:sz="4" w:space="0" w:color="auto"/>
            </w:tcBorders>
            <w:vAlign w:val="center"/>
          </w:tcPr>
          <w:p w14:paraId="52A52481"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1" w:type="pct"/>
            <w:vAlign w:val="center"/>
          </w:tcPr>
          <w:p w14:paraId="24764241" w14:textId="77777777" w:rsidR="001D561A" w:rsidRPr="00CF3FEC" w:rsidRDefault="001D561A" w:rsidP="00121658">
            <w:pPr>
              <w:spacing w:before="0" w:line="240" w:lineRule="auto"/>
              <w:rPr>
                <w:sz w:val="20"/>
                <w:szCs w:val="20"/>
              </w:rPr>
            </w:pPr>
          </w:p>
        </w:tc>
        <w:tc>
          <w:tcPr>
            <w:tcW w:w="506" w:type="pct"/>
            <w:tcBorders>
              <w:bottom w:val="single" w:sz="4" w:space="0" w:color="auto"/>
            </w:tcBorders>
            <w:vAlign w:val="center"/>
          </w:tcPr>
          <w:p w14:paraId="67D885D6" w14:textId="77777777" w:rsidR="001D561A" w:rsidRPr="00CF3FEC" w:rsidRDefault="001D561A" w:rsidP="00121658">
            <w:pPr>
              <w:spacing w:before="0" w:line="240" w:lineRule="auto"/>
              <w:rPr>
                <w:sz w:val="20"/>
                <w:szCs w:val="20"/>
              </w:rPr>
            </w:pPr>
          </w:p>
        </w:tc>
        <w:tc>
          <w:tcPr>
            <w:tcW w:w="99" w:type="pct"/>
            <w:vAlign w:val="center"/>
          </w:tcPr>
          <w:p w14:paraId="789354DB" w14:textId="77777777" w:rsidR="001D561A" w:rsidRPr="00CF3FEC" w:rsidRDefault="001D561A" w:rsidP="00121658">
            <w:pPr>
              <w:spacing w:before="0" w:line="240" w:lineRule="auto"/>
              <w:rPr>
                <w:sz w:val="20"/>
                <w:szCs w:val="20"/>
              </w:rPr>
            </w:pPr>
          </w:p>
        </w:tc>
        <w:tc>
          <w:tcPr>
            <w:tcW w:w="546" w:type="pct"/>
            <w:tcBorders>
              <w:top w:val="single" w:sz="24" w:space="0" w:color="FFFF00"/>
              <w:bottom w:val="single" w:sz="4" w:space="0" w:color="auto"/>
            </w:tcBorders>
            <w:vAlign w:val="center"/>
          </w:tcPr>
          <w:p w14:paraId="472B47E6"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vAlign w:val="center"/>
          </w:tcPr>
          <w:p w14:paraId="62722396" w14:textId="77777777" w:rsidR="001D561A" w:rsidRPr="00CF3FEC" w:rsidRDefault="001D561A" w:rsidP="00121658">
            <w:pPr>
              <w:spacing w:before="0" w:line="240" w:lineRule="auto"/>
              <w:rPr>
                <w:b/>
                <w:sz w:val="20"/>
                <w:szCs w:val="20"/>
              </w:rPr>
            </w:pPr>
          </w:p>
        </w:tc>
        <w:tc>
          <w:tcPr>
            <w:tcW w:w="546" w:type="pct"/>
            <w:tcBorders>
              <w:top w:val="single" w:sz="24" w:space="0" w:color="FFC000"/>
              <w:bottom w:val="single" w:sz="4" w:space="0" w:color="auto"/>
            </w:tcBorders>
            <w:vAlign w:val="center"/>
          </w:tcPr>
          <w:p w14:paraId="4FCC13F3"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tcPr>
          <w:p w14:paraId="63261EAD" w14:textId="77777777" w:rsidR="001D561A" w:rsidRPr="00CF3FEC" w:rsidRDefault="001D561A" w:rsidP="00121658">
            <w:pPr>
              <w:spacing w:before="0" w:line="240" w:lineRule="auto"/>
              <w:rPr>
                <w:b/>
                <w:sz w:val="20"/>
                <w:szCs w:val="20"/>
              </w:rPr>
            </w:pPr>
          </w:p>
        </w:tc>
        <w:tc>
          <w:tcPr>
            <w:tcW w:w="546" w:type="pct"/>
            <w:tcBorders>
              <w:top w:val="single" w:sz="24" w:space="0" w:color="FFC000"/>
            </w:tcBorders>
            <w:vAlign w:val="center"/>
          </w:tcPr>
          <w:p w14:paraId="4873C50A"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tcPr>
          <w:p w14:paraId="1C5AE395" w14:textId="77777777" w:rsidR="001D561A" w:rsidRPr="00CF3FEC" w:rsidRDefault="001D561A" w:rsidP="00121658">
            <w:pPr>
              <w:spacing w:before="0" w:line="240" w:lineRule="auto"/>
              <w:rPr>
                <w:b/>
                <w:sz w:val="20"/>
                <w:szCs w:val="20"/>
              </w:rPr>
            </w:pPr>
          </w:p>
        </w:tc>
        <w:tc>
          <w:tcPr>
            <w:tcW w:w="545" w:type="pct"/>
            <w:tcBorders>
              <w:top w:val="single" w:sz="24" w:space="0" w:color="C00000"/>
              <w:bottom w:val="single" w:sz="4" w:space="0" w:color="auto"/>
            </w:tcBorders>
          </w:tcPr>
          <w:p w14:paraId="65D98186" w14:textId="77777777" w:rsidR="001D561A" w:rsidRPr="00CF3FEC" w:rsidRDefault="001D561A" w:rsidP="00121658">
            <w:pPr>
              <w:spacing w:before="0" w:line="240" w:lineRule="auto"/>
              <w:rPr>
                <w:b/>
                <w:sz w:val="20"/>
                <w:szCs w:val="20"/>
              </w:rPr>
            </w:pPr>
            <w:r w:rsidRPr="00CF3FEC">
              <w:rPr>
                <w:b/>
                <w:sz w:val="20"/>
                <w:szCs w:val="20"/>
              </w:rPr>
              <w:sym w:font="Wingdings" w:char="F0E2"/>
            </w:r>
          </w:p>
        </w:tc>
      </w:tr>
      <w:tr w:rsidR="001D561A" w:rsidRPr="00CF3FEC" w14:paraId="66F0BB22" w14:textId="77777777" w:rsidTr="002575FC">
        <w:tc>
          <w:tcPr>
            <w:tcW w:w="534" w:type="pct"/>
            <w:tcBorders>
              <w:top w:val="single" w:sz="4" w:space="0" w:color="auto"/>
              <w:left w:val="single" w:sz="4" w:space="0" w:color="auto"/>
              <w:bottom w:val="single" w:sz="4" w:space="0" w:color="auto"/>
              <w:right w:val="single" w:sz="4" w:space="0" w:color="auto"/>
            </w:tcBorders>
            <w:vAlign w:val="center"/>
          </w:tcPr>
          <w:p w14:paraId="29708550" w14:textId="77777777" w:rsidR="001D561A" w:rsidRPr="00CF3FEC" w:rsidRDefault="001D561A" w:rsidP="00121658">
            <w:pPr>
              <w:spacing w:before="0" w:line="240" w:lineRule="auto"/>
              <w:rPr>
                <w:sz w:val="20"/>
                <w:szCs w:val="20"/>
              </w:rPr>
            </w:pPr>
            <w:r w:rsidRPr="00CF3FEC">
              <w:rPr>
                <w:sz w:val="20"/>
                <w:szCs w:val="20"/>
              </w:rPr>
              <w:t>Monitoring for signs of progression</w:t>
            </w:r>
          </w:p>
        </w:tc>
        <w:tc>
          <w:tcPr>
            <w:tcW w:w="99" w:type="pct"/>
            <w:tcBorders>
              <w:left w:val="single" w:sz="4" w:space="0" w:color="auto"/>
              <w:right w:val="single" w:sz="4" w:space="0" w:color="auto"/>
            </w:tcBorders>
            <w:vAlign w:val="center"/>
          </w:tcPr>
          <w:p w14:paraId="5CB70489" w14:textId="77777777" w:rsidR="001D561A" w:rsidRPr="00CF3FEC" w:rsidRDefault="001D561A" w:rsidP="00121658">
            <w:pPr>
              <w:spacing w:before="0" w:line="240" w:lineRule="auto"/>
              <w:rPr>
                <w:sz w:val="20"/>
                <w:szCs w:val="20"/>
              </w:rPr>
            </w:pPr>
          </w:p>
        </w:tc>
        <w:tc>
          <w:tcPr>
            <w:tcW w:w="546" w:type="pct"/>
            <w:tcBorders>
              <w:top w:val="single" w:sz="4" w:space="0" w:color="auto"/>
              <w:left w:val="single" w:sz="4" w:space="0" w:color="auto"/>
              <w:bottom w:val="single" w:sz="4" w:space="0" w:color="auto"/>
              <w:right w:val="single" w:sz="4" w:space="0" w:color="auto"/>
            </w:tcBorders>
            <w:vAlign w:val="center"/>
          </w:tcPr>
          <w:p w14:paraId="7435D7A1" w14:textId="77777777" w:rsidR="001D561A" w:rsidRPr="00CF3FEC" w:rsidRDefault="001D561A" w:rsidP="00121658">
            <w:pPr>
              <w:spacing w:before="0" w:line="240" w:lineRule="auto"/>
              <w:rPr>
                <w:sz w:val="20"/>
                <w:szCs w:val="20"/>
              </w:rPr>
            </w:pPr>
            <w:r w:rsidRPr="00CF3FEC">
              <w:rPr>
                <w:sz w:val="20"/>
                <w:szCs w:val="20"/>
              </w:rPr>
              <w:t>IPAH; Heritable PAH; drug-induced PAH</w:t>
            </w:r>
          </w:p>
        </w:tc>
        <w:tc>
          <w:tcPr>
            <w:tcW w:w="99" w:type="pct"/>
            <w:tcBorders>
              <w:left w:val="single" w:sz="4" w:space="0" w:color="auto"/>
              <w:right w:val="single" w:sz="4" w:space="0" w:color="auto"/>
            </w:tcBorders>
            <w:vAlign w:val="center"/>
          </w:tcPr>
          <w:p w14:paraId="509E2FDA" w14:textId="77777777" w:rsidR="001D561A" w:rsidRPr="00CF3FEC" w:rsidRDefault="001D561A" w:rsidP="00121658">
            <w:pPr>
              <w:spacing w:before="0" w:line="240" w:lineRule="auto"/>
              <w:rPr>
                <w:sz w:val="20"/>
                <w:szCs w:val="20"/>
              </w:rPr>
            </w:pPr>
          </w:p>
        </w:tc>
        <w:tc>
          <w:tcPr>
            <w:tcW w:w="546" w:type="pct"/>
            <w:tcBorders>
              <w:top w:val="single" w:sz="4" w:space="0" w:color="auto"/>
              <w:left w:val="single" w:sz="4" w:space="0" w:color="auto"/>
              <w:bottom w:val="single" w:sz="4" w:space="0" w:color="auto"/>
              <w:right w:val="single" w:sz="4" w:space="0" w:color="auto"/>
            </w:tcBorders>
            <w:vAlign w:val="center"/>
          </w:tcPr>
          <w:p w14:paraId="5F9E9B7B" w14:textId="77777777" w:rsidR="001D561A" w:rsidRPr="00CF3FEC" w:rsidRDefault="001D561A" w:rsidP="00121658">
            <w:pPr>
              <w:spacing w:before="0" w:line="240" w:lineRule="auto"/>
              <w:rPr>
                <w:sz w:val="20"/>
                <w:szCs w:val="20"/>
              </w:rPr>
            </w:pPr>
            <w:r w:rsidRPr="00CF3FEC">
              <w:rPr>
                <w:sz w:val="20"/>
                <w:szCs w:val="20"/>
              </w:rPr>
              <w:t>IPAH; Heritable PAH; drug-induced PAH</w:t>
            </w:r>
          </w:p>
        </w:tc>
        <w:tc>
          <w:tcPr>
            <w:tcW w:w="91" w:type="pct"/>
            <w:tcBorders>
              <w:left w:val="single" w:sz="4" w:space="0" w:color="auto"/>
              <w:right w:val="single" w:sz="4" w:space="0" w:color="auto"/>
            </w:tcBorders>
            <w:vAlign w:val="center"/>
          </w:tcPr>
          <w:p w14:paraId="62BF9CFE" w14:textId="77777777" w:rsidR="001D561A" w:rsidRPr="00CF3FEC" w:rsidRDefault="001D561A" w:rsidP="00121658">
            <w:pPr>
              <w:spacing w:before="0" w:line="240" w:lineRule="auto"/>
              <w:rPr>
                <w:b/>
                <w:sz w:val="20"/>
                <w:szCs w:val="20"/>
              </w:rPr>
            </w:pPr>
            <w:r w:rsidRPr="00CF3FEC">
              <w:rPr>
                <w:b/>
                <w:sz w:val="20"/>
                <w:szCs w:val="20"/>
              </w:rPr>
              <w:sym w:font="Wingdings" w:char="F0E0"/>
            </w:r>
          </w:p>
        </w:tc>
        <w:tc>
          <w:tcPr>
            <w:tcW w:w="506" w:type="pct"/>
            <w:tcBorders>
              <w:top w:val="single" w:sz="4" w:space="0" w:color="auto"/>
              <w:left w:val="single" w:sz="4" w:space="0" w:color="auto"/>
              <w:bottom w:val="single" w:sz="4" w:space="0" w:color="auto"/>
              <w:right w:val="single" w:sz="4" w:space="0" w:color="auto"/>
            </w:tcBorders>
            <w:vAlign w:val="center"/>
          </w:tcPr>
          <w:p w14:paraId="6BF697E9" w14:textId="77777777" w:rsidR="001D561A" w:rsidRPr="00CF3FEC" w:rsidRDefault="001D561A" w:rsidP="00121658">
            <w:pPr>
              <w:spacing w:before="0" w:line="240" w:lineRule="auto"/>
              <w:rPr>
                <w:sz w:val="20"/>
                <w:szCs w:val="20"/>
              </w:rPr>
            </w:pPr>
            <w:r w:rsidRPr="00CF3FEC">
              <w:rPr>
                <w:sz w:val="20"/>
                <w:szCs w:val="20"/>
              </w:rPr>
              <w:t>Contraindication to vasoreactivity testing</w:t>
            </w:r>
          </w:p>
        </w:tc>
        <w:tc>
          <w:tcPr>
            <w:tcW w:w="99" w:type="pct"/>
            <w:tcBorders>
              <w:left w:val="single" w:sz="4" w:space="0" w:color="auto"/>
              <w:right w:val="single" w:sz="4" w:space="0" w:color="auto"/>
            </w:tcBorders>
            <w:vAlign w:val="center"/>
          </w:tcPr>
          <w:p w14:paraId="6E2EA51A" w14:textId="77777777" w:rsidR="001D561A" w:rsidRPr="00CF3FEC" w:rsidRDefault="001D561A" w:rsidP="00121658">
            <w:pPr>
              <w:spacing w:before="0" w:line="240" w:lineRule="auto"/>
              <w:rPr>
                <w:sz w:val="20"/>
                <w:szCs w:val="20"/>
              </w:rPr>
            </w:pPr>
          </w:p>
        </w:tc>
        <w:tc>
          <w:tcPr>
            <w:tcW w:w="546" w:type="pct"/>
            <w:tcBorders>
              <w:top w:val="single" w:sz="4" w:space="0" w:color="auto"/>
              <w:left w:val="single" w:sz="4" w:space="0" w:color="auto"/>
              <w:bottom w:val="single" w:sz="4" w:space="0" w:color="auto"/>
              <w:right w:val="single" w:sz="4" w:space="0" w:color="auto"/>
            </w:tcBorders>
            <w:vAlign w:val="center"/>
          </w:tcPr>
          <w:p w14:paraId="0E80C02C" w14:textId="77777777" w:rsidR="001D561A" w:rsidRPr="00CF3FEC" w:rsidRDefault="001D561A" w:rsidP="00121658">
            <w:pPr>
              <w:spacing w:before="0" w:line="240" w:lineRule="auto"/>
              <w:rPr>
                <w:sz w:val="20"/>
                <w:szCs w:val="20"/>
              </w:rPr>
            </w:pPr>
            <w:r w:rsidRPr="00CF3FEC">
              <w:rPr>
                <w:sz w:val="20"/>
                <w:szCs w:val="20"/>
              </w:rPr>
              <w:t>Other PAH Group 1 subtypes</w:t>
            </w:r>
          </w:p>
        </w:tc>
        <w:tc>
          <w:tcPr>
            <w:tcW w:w="99" w:type="pct"/>
            <w:tcBorders>
              <w:left w:val="single" w:sz="4" w:space="0" w:color="auto"/>
              <w:right w:val="single" w:sz="4" w:space="0" w:color="auto"/>
            </w:tcBorders>
            <w:vAlign w:val="center"/>
          </w:tcPr>
          <w:p w14:paraId="7C5916D9" w14:textId="77777777" w:rsidR="001D561A" w:rsidRPr="00CF3FEC" w:rsidRDefault="001D561A" w:rsidP="00121658">
            <w:pPr>
              <w:spacing w:before="0" w:line="240" w:lineRule="auto"/>
              <w:rPr>
                <w:sz w:val="20"/>
                <w:szCs w:val="20"/>
              </w:rPr>
            </w:pPr>
          </w:p>
        </w:tc>
        <w:tc>
          <w:tcPr>
            <w:tcW w:w="546" w:type="pct"/>
            <w:tcBorders>
              <w:top w:val="single" w:sz="4" w:space="0" w:color="auto"/>
              <w:left w:val="single" w:sz="4" w:space="0" w:color="auto"/>
              <w:bottom w:val="single" w:sz="4" w:space="0" w:color="auto"/>
              <w:right w:val="single" w:sz="4" w:space="0" w:color="auto"/>
            </w:tcBorders>
            <w:vAlign w:val="center"/>
          </w:tcPr>
          <w:p w14:paraId="00CE6BE3" w14:textId="77777777" w:rsidR="001D561A" w:rsidRPr="00CF3FEC" w:rsidRDefault="001D561A" w:rsidP="00121658">
            <w:pPr>
              <w:spacing w:before="0" w:line="240" w:lineRule="auto"/>
              <w:rPr>
                <w:sz w:val="20"/>
                <w:szCs w:val="20"/>
              </w:rPr>
            </w:pPr>
            <w:r w:rsidRPr="00CF3FEC">
              <w:rPr>
                <w:sz w:val="20"/>
                <w:szCs w:val="20"/>
              </w:rPr>
              <w:t>Other PAH Group 1 subtypes</w:t>
            </w:r>
          </w:p>
        </w:tc>
        <w:tc>
          <w:tcPr>
            <w:tcW w:w="99" w:type="pct"/>
            <w:tcBorders>
              <w:left w:val="single" w:sz="4" w:space="0" w:color="auto"/>
            </w:tcBorders>
          </w:tcPr>
          <w:p w14:paraId="0A0D8A0E" w14:textId="77777777" w:rsidR="001D561A" w:rsidRPr="00CF3FEC" w:rsidRDefault="001D561A" w:rsidP="00121658">
            <w:pPr>
              <w:spacing w:before="0" w:line="240" w:lineRule="auto"/>
              <w:rPr>
                <w:sz w:val="20"/>
                <w:szCs w:val="20"/>
              </w:rPr>
            </w:pPr>
          </w:p>
        </w:tc>
        <w:tc>
          <w:tcPr>
            <w:tcW w:w="546" w:type="pct"/>
            <w:vAlign w:val="center"/>
          </w:tcPr>
          <w:p w14:paraId="44760378" w14:textId="77777777" w:rsidR="001D561A" w:rsidRPr="00CF3FEC" w:rsidRDefault="001D561A" w:rsidP="00121658">
            <w:pPr>
              <w:spacing w:before="0" w:line="240" w:lineRule="auto"/>
              <w:rPr>
                <w:sz w:val="20"/>
                <w:szCs w:val="20"/>
              </w:rPr>
            </w:pPr>
          </w:p>
        </w:tc>
        <w:tc>
          <w:tcPr>
            <w:tcW w:w="99" w:type="pct"/>
            <w:tcBorders>
              <w:right w:val="single" w:sz="4" w:space="0" w:color="auto"/>
            </w:tcBorders>
          </w:tcPr>
          <w:p w14:paraId="7E6FE367" w14:textId="77777777" w:rsidR="001D561A" w:rsidRPr="00CF3FEC" w:rsidRDefault="001D561A" w:rsidP="00121658">
            <w:pPr>
              <w:spacing w:before="0" w:line="240" w:lineRule="auto"/>
              <w:rPr>
                <w:sz w:val="20"/>
                <w:szCs w:val="20"/>
              </w:rPr>
            </w:pPr>
          </w:p>
        </w:tc>
        <w:tc>
          <w:tcPr>
            <w:tcW w:w="545" w:type="pct"/>
            <w:tcBorders>
              <w:top w:val="single" w:sz="4" w:space="0" w:color="auto"/>
              <w:left w:val="single" w:sz="4" w:space="0" w:color="auto"/>
              <w:bottom w:val="single" w:sz="4" w:space="0" w:color="auto"/>
              <w:right w:val="single" w:sz="4" w:space="0" w:color="auto"/>
            </w:tcBorders>
            <w:vAlign w:val="center"/>
          </w:tcPr>
          <w:p w14:paraId="2573CF9F" w14:textId="77777777" w:rsidR="001D561A" w:rsidRPr="00CF3FEC" w:rsidRDefault="001D561A" w:rsidP="00121658">
            <w:pPr>
              <w:spacing w:before="0" w:line="240" w:lineRule="auto"/>
              <w:rPr>
                <w:sz w:val="20"/>
                <w:szCs w:val="20"/>
              </w:rPr>
            </w:pPr>
            <w:r w:rsidRPr="00CF3FEC">
              <w:rPr>
                <w:sz w:val="20"/>
                <w:szCs w:val="20"/>
              </w:rPr>
              <w:t xml:space="preserve">Patient accepts </w:t>
            </w:r>
            <w:proofErr w:type="spellStart"/>
            <w:r w:rsidRPr="00CF3FEC">
              <w:rPr>
                <w:sz w:val="20"/>
                <w:szCs w:val="20"/>
              </w:rPr>
              <w:t>tx</w:t>
            </w:r>
            <w:proofErr w:type="spellEnd"/>
            <w:r w:rsidRPr="00CF3FEC">
              <w:rPr>
                <w:sz w:val="20"/>
                <w:szCs w:val="20"/>
              </w:rPr>
              <w:t xml:space="preserve"> with epoprostenol </w:t>
            </w:r>
          </w:p>
        </w:tc>
      </w:tr>
      <w:tr w:rsidR="001D561A" w:rsidRPr="00CF3FEC" w14:paraId="36D775FA" w14:textId="77777777" w:rsidTr="002575FC">
        <w:tc>
          <w:tcPr>
            <w:tcW w:w="534" w:type="pct"/>
            <w:tcBorders>
              <w:top w:val="single" w:sz="4" w:space="0" w:color="auto"/>
            </w:tcBorders>
            <w:vAlign w:val="center"/>
          </w:tcPr>
          <w:p w14:paraId="3C480648" w14:textId="77777777" w:rsidR="001D561A" w:rsidRPr="00CF3FEC" w:rsidRDefault="001D561A" w:rsidP="00121658">
            <w:pPr>
              <w:spacing w:before="0" w:line="240" w:lineRule="auto"/>
              <w:rPr>
                <w:sz w:val="20"/>
                <w:szCs w:val="20"/>
              </w:rPr>
            </w:pPr>
          </w:p>
        </w:tc>
        <w:tc>
          <w:tcPr>
            <w:tcW w:w="99" w:type="pct"/>
            <w:vAlign w:val="center"/>
          </w:tcPr>
          <w:p w14:paraId="3225C675" w14:textId="77777777" w:rsidR="001D561A" w:rsidRPr="00CF3FEC" w:rsidRDefault="001D561A" w:rsidP="00121658">
            <w:pPr>
              <w:spacing w:before="0" w:line="240" w:lineRule="auto"/>
              <w:rPr>
                <w:sz w:val="20"/>
                <w:szCs w:val="20"/>
              </w:rPr>
            </w:pPr>
          </w:p>
        </w:tc>
        <w:tc>
          <w:tcPr>
            <w:tcW w:w="546" w:type="pct"/>
            <w:tcBorders>
              <w:top w:val="single" w:sz="4" w:space="0" w:color="auto"/>
              <w:bottom w:val="single" w:sz="4" w:space="0" w:color="auto"/>
            </w:tcBorders>
            <w:vAlign w:val="center"/>
          </w:tcPr>
          <w:p w14:paraId="6E3B4939"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vAlign w:val="center"/>
          </w:tcPr>
          <w:p w14:paraId="7374FDEC" w14:textId="77777777" w:rsidR="001D561A" w:rsidRPr="00CF3FEC" w:rsidRDefault="001D561A" w:rsidP="00121658">
            <w:pPr>
              <w:spacing w:before="0" w:line="240" w:lineRule="auto"/>
              <w:rPr>
                <w:b/>
                <w:sz w:val="20"/>
                <w:szCs w:val="20"/>
              </w:rPr>
            </w:pPr>
          </w:p>
        </w:tc>
        <w:tc>
          <w:tcPr>
            <w:tcW w:w="546" w:type="pct"/>
            <w:tcBorders>
              <w:top w:val="single" w:sz="4" w:space="0" w:color="auto"/>
              <w:bottom w:val="single" w:sz="4" w:space="0" w:color="auto"/>
            </w:tcBorders>
            <w:vAlign w:val="center"/>
          </w:tcPr>
          <w:p w14:paraId="6A3E4E6D"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1" w:type="pct"/>
            <w:vAlign w:val="center"/>
          </w:tcPr>
          <w:p w14:paraId="7353AA00" w14:textId="77777777" w:rsidR="001D561A" w:rsidRPr="00CF3FEC" w:rsidRDefault="001D561A" w:rsidP="00121658">
            <w:pPr>
              <w:spacing w:before="0" w:line="240" w:lineRule="auto"/>
              <w:rPr>
                <w:sz w:val="20"/>
                <w:szCs w:val="20"/>
              </w:rPr>
            </w:pPr>
          </w:p>
        </w:tc>
        <w:tc>
          <w:tcPr>
            <w:tcW w:w="506" w:type="pct"/>
            <w:tcBorders>
              <w:top w:val="single" w:sz="4" w:space="0" w:color="auto"/>
              <w:bottom w:val="single" w:sz="4" w:space="0" w:color="auto"/>
            </w:tcBorders>
            <w:vAlign w:val="center"/>
          </w:tcPr>
          <w:p w14:paraId="6BADAC3F" w14:textId="77777777" w:rsidR="001D561A" w:rsidRPr="00CF3FEC" w:rsidRDefault="001D561A" w:rsidP="00121658">
            <w:pPr>
              <w:spacing w:before="0" w:line="240" w:lineRule="auto"/>
              <w:rPr>
                <w:b/>
                <w:sz w:val="20"/>
                <w:szCs w:val="20"/>
              </w:rPr>
            </w:pPr>
            <w:r w:rsidRPr="00CF3FEC">
              <w:rPr>
                <w:b/>
                <w:sz w:val="20"/>
                <w:szCs w:val="20"/>
              </w:rPr>
              <w:t>OR</w:t>
            </w:r>
          </w:p>
        </w:tc>
        <w:tc>
          <w:tcPr>
            <w:tcW w:w="99" w:type="pct"/>
            <w:vAlign w:val="center"/>
          </w:tcPr>
          <w:p w14:paraId="00B5DC9C" w14:textId="77777777" w:rsidR="001D561A" w:rsidRPr="00CF3FEC" w:rsidRDefault="001D561A" w:rsidP="00121658">
            <w:pPr>
              <w:spacing w:before="0" w:line="240" w:lineRule="auto"/>
              <w:rPr>
                <w:sz w:val="20"/>
                <w:szCs w:val="20"/>
              </w:rPr>
            </w:pPr>
          </w:p>
        </w:tc>
        <w:tc>
          <w:tcPr>
            <w:tcW w:w="546" w:type="pct"/>
            <w:tcBorders>
              <w:top w:val="single" w:sz="4" w:space="0" w:color="auto"/>
            </w:tcBorders>
            <w:vAlign w:val="center"/>
          </w:tcPr>
          <w:p w14:paraId="5BDCF98D"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vAlign w:val="center"/>
          </w:tcPr>
          <w:p w14:paraId="475E8EDC" w14:textId="77777777" w:rsidR="001D561A" w:rsidRPr="00CF3FEC" w:rsidRDefault="001D561A" w:rsidP="00121658">
            <w:pPr>
              <w:spacing w:before="0" w:line="240" w:lineRule="auto"/>
              <w:rPr>
                <w:b/>
                <w:sz w:val="20"/>
                <w:szCs w:val="20"/>
              </w:rPr>
            </w:pPr>
          </w:p>
        </w:tc>
        <w:tc>
          <w:tcPr>
            <w:tcW w:w="546" w:type="pct"/>
            <w:tcBorders>
              <w:top w:val="single" w:sz="4" w:space="0" w:color="auto"/>
            </w:tcBorders>
            <w:vAlign w:val="center"/>
          </w:tcPr>
          <w:p w14:paraId="119B5DCC"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tcPr>
          <w:p w14:paraId="106A26B7" w14:textId="77777777" w:rsidR="001D561A" w:rsidRPr="00CF3FEC" w:rsidRDefault="001D561A" w:rsidP="00121658">
            <w:pPr>
              <w:spacing w:before="0" w:line="240" w:lineRule="auto"/>
              <w:rPr>
                <w:b/>
                <w:sz w:val="20"/>
                <w:szCs w:val="20"/>
              </w:rPr>
            </w:pPr>
          </w:p>
        </w:tc>
        <w:tc>
          <w:tcPr>
            <w:tcW w:w="546" w:type="pct"/>
            <w:vAlign w:val="center"/>
          </w:tcPr>
          <w:p w14:paraId="535BF885"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tcPr>
          <w:p w14:paraId="0A59EF72" w14:textId="77777777" w:rsidR="001D561A" w:rsidRPr="00CF3FEC" w:rsidRDefault="001D561A" w:rsidP="00121658">
            <w:pPr>
              <w:spacing w:before="0" w:line="240" w:lineRule="auto"/>
              <w:rPr>
                <w:b/>
                <w:sz w:val="20"/>
                <w:szCs w:val="20"/>
              </w:rPr>
            </w:pPr>
          </w:p>
        </w:tc>
        <w:tc>
          <w:tcPr>
            <w:tcW w:w="545" w:type="pct"/>
            <w:tcBorders>
              <w:top w:val="single" w:sz="4" w:space="0" w:color="auto"/>
            </w:tcBorders>
          </w:tcPr>
          <w:p w14:paraId="374395D2" w14:textId="77777777" w:rsidR="001D561A" w:rsidRPr="00CF3FEC" w:rsidRDefault="001D561A" w:rsidP="00121658">
            <w:pPr>
              <w:spacing w:before="0" w:line="240" w:lineRule="auto"/>
              <w:rPr>
                <w:b/>
                <w:sz w:val="20"/>
                <w:szCs w:val="20"/>
              </w:rPr>
            </w:pPr>
            <w:r w:rsidRPr="00CF3FEC">
              <w:rPr>
                <w:b/>
                <w:sz w:val="20"/>
                <w:szCs w:val="20"/>
              </w:rPr>
              <w:sym w:font="Wingdings" w:char="F0E2"/>
            </w:r>
          </w:p>
        </w:tc>
      </w:tr>
      <w:tr w:rsidR="001D561A" w:rsidRPr="00CF3FEC" w14:paraId="2591F032" w14:textId="77777777" w:rsidTr="002575FC">
        <w:tc>
          <w:tcPr>
            <w:tcW w:w="534" w:type="pct"/>
            <w:vAlign w:val="center"/>
          </w:tcPr>
          <w:p w14:paraId="02D5C5C0" w14:textId="77777777" w:rsidR="001D561A" w:rsidRPr="00CF3FEC" w:rsidRDefault="001D561A" w:rsidP="00121658">
            <w:pPr>
              <w:spacing w:before="0" w:line="240" w:lineRule="auto"/>
              <w:rPr>
                <w:sz w:val="20"/>
                <w:szCs w:val="20"/>
              </w:rPr>
            </w:pPr>
          </w:p>
        </w:tc>
        <w:tc>
          <w:tcPr>
            <w:tcW w:w="99" w:type="pct"/>
            <w:tcBorders>
              <w:right w:val="single" w:sz="4" w:space="0" w:color="auto"/>
            </w:tcBorders>
            <w:vAlign w:val="center"/>
          </w:tcPr>
          <w:p w14:paraId="5E1006A1" w14:textId="77777777" w:rsidR="001D561A" w:rsidRPr="00CF3FEC" w:rsidRDefault="001D561A" w:rsidP="00121658">
            <w:pPr>
              <w:spacing w:before="0" w:line="240" w:lineRule="auto"/>
              <w:rPr>
                <w:sz w:val="20"/>
                <w:szCs w:val="20"/>
              </w:rPr>
            </w:pPr>
          </w:p>
        </w:tc>
        <w:tc>
          <w:tcPr>
            <w:tcW w:w="546" w:type="pct"/>
            <w:tcBorders>
              <w:top w:val="single" w:sz="4" w:space="0" w:color="auto"/>
              <w:left w:val="single" w:sz="4" w:space="0" w:color="auto"/>
              <w:bottom w:val="single" w:sz="4" w:space="0" w:color="auto"/>
              <w:right w:val="single" w:sz="4" w:space="0" w:color="auto"/>
            </w:tcBorders>
            <w:vAlign w:val="center"/>
          </w:tcPr>
          <w:p w14:paraId="27DB2AF4" w14:textId="77777777" w:rsidR="001D561A" w:rsidRPr="00CF3FEC" w:rsidRDefault="001D561A" w:rsidP="00121658">
            <w:pPr>
              <w:spacing w:before="0" w:line="240" w:lineRule="auto"/>
              <w:rPr>
                <w:sz w:val="20"/>
                <w:szCs w:val="20"/>
              </w:rPr>
            </w:pPr>
            <w:r w:rsidRPr="00CF3FEC">
              <w:rPr>
                <w:sz w:val="20"/>
                <w:szCs w:val="20"/>
              </w:rPr>
              <w:t>No contraindication to vasoreactivity testing</w:t>
            </w:r>
          </w:p>
        </w:tc>
        <w:tc>
          <w:tcPr>
            <w:tcW w:w="99" w:type="pct"/>
            <w:tcBorders>
              <w:left w:val="single" w:sz="4" w:space="0" w:color="auto"/>
              <w:right w:val="single" w:sz="4" w:space="0" w:color="auto"/>
            </w:tcBorders>
            <w:vAlign w:val="center"/>
          </w:tcPr>
          <w:p w14:paraId="1E0BA2AB" w14:textId="77777777" w:rsidR="001D561A" w:rsidRPr="00CF3FEC" w:rsidRDefault="001D561A" w:rsidP="00121658">
            <w:pPr>
              <w:spacing w:before="0" w:line="240" w:lineRule="auto"/>
              <w:rPr>
                <w:sz w:val="20"/>
                <w:szCs w:val="20"/>
              </w:rPr>
            </w:pPr>
          </w:p>
        </w:tc>
        <w:tc>
          <w:tcPr>
            <w:tcW w:w="546" w:type="pct"/>
            <w:tcBorders>
              <w:top w:val="single" w:sz="4" w:space="0" w:color="auto"/>
              <w:left w:val="single" w:sz="4" w:space="0" w:color="auto"/>
              <w:bottom w:val="single" w:sz="4" w:space="0" w:color="auto"/>
              <w:right w:val="single" w:sz="4" w:space="0" w:color="auto"/>
            </w:tcBorders>
            <w:vAlign w:val="center"/>
          </w:tcPr>
          <w:p w14:paraId="3F6C2D4C" w14:textId="77777777" w:rsidR="001D561A" w:rsidRPr="00CF3FEC" w:rsidRDefault="001D561A" w:rsidP="00121658">
            <w:pPr>
              <w:spacing w:before="0" w:line="240" w:lineRule="auto"/>
              <w:rPr>
                <w:sz w:val="20"/>
                <w:szCs w:val="20"/>
              </w:rPr>
            </w:pPr>
            <w:r w:rsidRPr="00CF3FEC">
              <w:rPr>
                <w:sz w:val="20"/>
                <w:szCs w:val="20"/>
              </w:rPr>
              <w:t>No contraindication to vasoreactivity testing</w:t>
            </w:r>
          </w:p>
        </w:tc>
        <w:tc>
          <w:tcPr>
            <w:tcW w:w="91" w:type="pct"/>
            <w:tcBorders>
              <w:left w:val="single" w:sz="4" w:space="0" w:color="auto"/>
              <w:right w:val="single" w:sz="4" w:space="0" w:color="auto"/>
            </w:tcBorders>
            <w:vAlign w:val="center"/>
          </w:tcPr>
          <w:p w14:paraId="341298C6" w14:textId="77777777" w:rsidR="001D561A" w:rsidRPr="00CF3FEC" w:rsidRDefault="001D561A" w:rsidP="00121658">
            <w:pPr>
              <w:spacing w:before="0" w:line="240" w:lineRule="auto"/>
              <w:rPr>
                <w:b/>
                <w:sz w:val="20"/>
                <w:szCs w:val="20"/>
              </w:rPr>
            </w:pPr>
            <w:r w:rsidRPr="00CF3FEC">
              <w:rPr>
                <w:b/>
                <w:sz w:val="20"/>
                <w:szCs w:val="20"/>
              </w:rPr>
              <w:sym w:font="Wingdings" w:char="F0E0"/>
            </w:r>
          </w:p>
        </w:tc>
        <w:tc>
          <w:tcPr>
            <w:tcW w:w="506" w:type="pct"/>
            <w:tcBorders>
              <w:top w:val="single" w:sz="4" w:space="0" w:color="auto"/>
              <w:left w:val="single" w:sz="4" w:space="0" w:color="auto"/>
              <w:bottom w:val="single" w:sz="4" w:space="0" w:color="auto"/>
              <w:right w:val="single" w:sz="4" w:space="0" w:color="auto"/>
            </w:tcBorders>
            <w:vAlign w:val="center"/>
          </w:tcPr>
          <w:p w14:paraId="487BA771" w14:textId="77777777" w:rsidR="001D561A" w:rsidRPr="00CF3FEC" w:rsidRDefault="001D561A" w:rsidP="00121658">
            <w:pPr>
              <w:spacing w:before="0" w:line="240" w:lineRule="auto"/>
              <w:rPr>
                <w:sz w:val="20"/>
                <w:szCs w:val="20"/>
              </w:rPr>
            </w:pPr>
            <w:r w:rsidRPr="00CF3FEC">
              <w:rPr>
                <w:sz w:val="20"/>
                <w:szCs w:val="20"/>
              </w:rPr>
              <w:t>Negative vasoreactivity test</w:t>
            </w:r>
          </w:p>
        </w:tc>
        <w:tc>
          <w:tcPr>
            <w:tcW w:w="99" w:type="pct"/>
            <w:tcBorders>
              <w:left w:val="single" w:sz="4" w:space="0" w:color="auto"/>
            </w:tcBorders>
            <w:vAlign w:val="center"/>
          </w:tcPr>
          <w:p w14:paraId="4AD366C7" w14:textId="77777777" w:rsidR="001D561A" w:rsidRPr="00CF3FEC" w:rsidRDefault="001D561A" w:rsidP="00121658">
            <w:pPr>
              <w:spacing w:before="0" w:line="240" w:lineRule="auto"/>
              <w:rPr>
                <w:sz w:val="20"/>
                <w:szCs w:val="20"/>
              </w:rPr>
            </w:pPr>
          </w:p>
        </w:tc>
        <w:tc>
          <w:tcPr>
            <w:tcW w:w="546" w:type="pct"/>
            <w:vAlign w:val="center"/>
          </w:tcPr>
          <w:p w14:paraId="2B1ABA22" w14:textId="77777777" w:rsidR="001D561A" w:rsidRPr="00CF3FEC" w:rsidRDefault="001D561A" w:rsidP="00121658">
            <w:pPr>
              <w:spacing w:before="0" w:line="240" w:lineRule="auto"/>
              <w:rPr>
                <w:b/>
                <w:sz w:val="20"/>
                <w:szCs w:val="20"/>
              </w:rPr>
            </w:pPr>
          </w:p>
        </w:tc>
        <w:tc>
          <w:tcPr>
            <w:tcW w:w="99" w:type="pct"/>
            <w:tcBorders>
              <w:left w:val="nil"/>
            </w:tcBorders>
            <w:vAlign w:val="center"/>
          </w:tcPr>
          <w:p w14:paraId="3B637C06" w14:textId="77777777" w:rsidR="001D561A" w:rsidRPr="00CF3FEC" w:rsidRDefault="001D561A" w:rsidP="00121658">
            <w:pPr>
              <w:spacing w:before="0" w:line="240" w:lineRule="auto"/>
              <w:rPr>
                <w:b/>
                <w:sz w:val="20"/>
                <w:szCs w:val="20"/>
              </w:rPr>
            </w:pPr>
          </w:p>
        </w:tc>
        <w:tc>
          <w:tcPr>
            <w:tcW w:w="546" w:type="pct"/>
            <w:vAlign w:val="center"/>
          </w:tcPr>
          <w:p w14:paraId="7299CB91" w14:textId="77777777" w:rsidR="001D561A" w:rsidRPr="00CF3FEC" w:rsidRDefault="001D561A" w:rsidP="00121658">
            <w:pPr>
              <w:spacing w:before="0" w:line="240" w:lineRule="auto"/>
              <w:rPr>
                <w:b/>
                <w:sz w:val="20"/>
                <w:szCs w:val="20"/>
              </w:rPr>
            </w:pPr>
          </w:p>
        </w:tc>
        <w:tc>
          <w:tcPr>
            <w:tcW w:w="99" w:type="pct"/>
            <w:tcBorders>
              <w:left w:val="nil"/>
            </w:tcBorders>
          </w:tcPr>
          <w:p w14:paraId="11236E44" w14:textId="77777777" w:rsidR="001D561A" w:rsidRPr="00CF3FEC" w:rsidRDefault="001D561A" w:rsidP="00121658">
            <w:pPr>
              <w:spacing w:before="0" w:line="240" w:lineRule="auto"/>
              <w:rPr>
                <w:b/>
                <w:sz w:val="20"/>
                <w:szCs w:val="20"/>
              </w:rPr>
            </w:pPr>
          </w:p>
        </w:tc>
        <w:tc>
          <w:tcPr>
            <w:tcW w:w="546" w:type="pct"/>
            <w:vAlign w:val="center"/>
          </w:tcPr>
          <w:p w14:paraId="1749F275" w14:textId="77777777" w:rsidR="001D561A" w:rsidRPr="00CF3FEC" w:rsidRDefault="001D561A" w:rsidP="00121658">
            <w:pPr>
              <w:spacing w:before="0" w:line="240" w:lineRule="auto"/>
              <w:rPr>
                <w:b/>
                <w:sz w:val="20"/>
                <w:szCs w:val="20"/>
              </w:rPr>
            </w:pPr>
          </w:p>
        </w:tc>
        <w:tc>
          <w:tcPr>
            <w:tcW w:w="99" w:type="pct"/>
          </w:tcPr>
          <w:p w14:paraId="0AE73E7C" w14:textId="77777777" w:rsidR="001D561A" w:rsidRPr="00CF3FEC" w:rsidRDefault="001D561A" w:rsidP="00121658">
            <w:pPr>
              <w:spacing w:before="0" w:line="240" w:lineRule="auto"/>
              <w:rPr>
                <w:b/>
                <w:sz w:val="20"/>
                <w:szCs w:val="20"/>
              </w:rPr>
            </w:pPr>
          </w:p>
        </w:tc>
        <w:tc>
          <w:tcPr>
            <w:tcW w:w="545" w:type="pct"/>
            <w:vAlign w:val="center"/>
          </w:tcPr>
          <w:p w14:paraId="6454D590" w14:textId="77777777" w:rsidR="001D561A" w:rsidRPr="00CF3FEC" w:rsidRDefault="001D561A" w:rsidP="00121658">
            <w:pPr>
              <w:spacing w:before="0" w:line="240" w:lineRule="auto"/>
              <w:rPr>
                <w:b/>
                <w:sz w:val="20"/>
                <w:szCs w:val="20"/>
              </w:rPr>
            </w:pPr>
          </w:p>
        </w:tc>
      </w:tr>
      <w:tr w:rsidR="001D561A" w:rsidRPr="00CF3FEC" w14:paraId="2E9D7797" w14:textId="77777777" w:rsidTr="002575FC">
        <w:tc>
          <w:tcPr>
            <w:tcW w:w="534" w:type="pct"/>
            <w:vAlign w:val="center"/>
          </w:tcPr>
          <w:p w14:paraId="6AB883CE" w14:textId="77777777" w:rsidR="001D561A" w:rsidRPr="00CF3FEC" w:rsidRDefault="001D561A" w:rsidP="00121658">
            <w:pPr>
              <w:spacing w:before="0" w:line="240" w:lineRule="auto"/>
              <w:rPr>
                <w:sz w:val="20"/>
                <w:szCs w:val="20"/>
              </w:rPr>
            </w:pPr>
          </w:p>
        </w:tc>
        <w:tc>
          <w:tcPr>
            <w:tcW w:w="99" w:type="pct"/>
            <w:vAlign w:val="center"/>
          </w:tcPr>
          <w:p w14:paraId="43A56747" w14:textId="77777777" w:rsidR="001D561A" w:rsidRPr="00CF3FEC" w:rsidRDefault="001D561A" w:rsidP="00121658">
            <w:pPr>
              <w:spacing w:before="0" w:line="240" w:lineRule="auto"/>
              <w:rPr>
                <w:sz w:val="20"/>
                <w:szCs w:val="20"/>
              </w:rPr>
            </w:pPr>
          </w:p>
        </w:tc>
        <w:tc>
          <w:tcPr>
            <w:tcW w:w="546" w:type="pct"/>
            <w:tcBorders>
              <w:top w:val="single" w:sz="4" w:space="0" w:color="auto"/>
              <w:bottom w:val="single" w:sz="4" w:space="0" w:color="auto"/>
            </w:tcBorders>
            <w:vAlign w:val="center"/>
          </w:tcPr>
          <w:p w14:paraId="3B77E8C8"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vAlign w:val="center"/>
          </w:tcPr>
          <w:p w14:paraId="022A2045" w14:textId="77777777" w:rsidR="001D561A" w:rsidRPr="00CF3FEC" w:rsidRDefault="001D561A" w:rsidP="00121658">
            <w:pPr>
              <w:spacing w:before="0" w:line="240" w:lineRule="auto"/>
              <w:rPr>
                <w:b/>
                <w:sz w:val="20"/>
                <w:szCs w:val="20"/>
              </w:rPr>
            </w:pPr>
          </w:p>
        </w:tc>
        <w:tc>
          <w:tcPr>
            <w:tcW w:w="546" w:type="pct"/>
            <w:tcBorders>
              <w:top w:val="single" w:sz="4" w:space="0" w:color="auto"/>
              <w:bottom w:val="single" w:sz="4" w:space="0" w:color="auto"/>
            </w:tcBorders>
            <w:vAlign w:val="center"/>
          </w:tcPr>
          <w:p w14:paraId="2524A1DA"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1" w:type="pct"/>
            <w:vAlign w:val="center"/>
          </w:tcPr>
          <w:p w14:paraId="0961F72D" w14:textId="77777777" w:rsidR="001D561A" w:rsidRPr="00CF3FEC" w:rsidRDefault="001D561A" w:rsidP="00121658">
            <w:pPr>
              <w:spacing w:before="0" w:line="240" w:lineRule="auto"/>
              <w:rPr>
                <w:b/>
                <w:sz w:val="20"/>
                <w:szCs w:val="20"/>
              </w:rPr>
            </w:pPr>
          </w:p>
        </w:tc>
        <w:tc>
          <w:tcPr>
            <w:tcW w:w="506" w:type="pct"/>
            <w:tcBorders>
              <w:top w:val="single" w:sz="4" w:space="0" w:color="auto"/>
              <w:bottom w:val="single" w:sz="4" w:space="0" w:color="auto"/>
            </w:tcBorders>
            <w:vAlign w:val="center"/>
          </w:tcPr>
          <w:p w14:paraId="0E542EB3"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vAlign w:val="center"/>
          </w:tcPr>
          <w:p w14:paraId="4E904917" w14:textId="77777777" w:rsidR="001D561A" w:rsidRPr="00CF3FEC" w:rsidRDefault="001D561A" w:rsidP="00121658">
            <w:pPr>
              <w:spacing w:before="0" w:line="240" w:lineRule="auto"/>
              <w:rPr>
                <w:sz w:val="20"/>
                <w:szCs w:val="20"/>
              </w:rPr>
            </w:pPr>
          </w:p>
        </w:tc>
        <w:tc>
          <w:tcPr>
            <w:tcW w:w="546" w:type="pct"/>
            <w:tcBorders>
              <w:bottom w:val="single" w:sz="4" w:space="0" w:color="auto"/>
            </w:tcBorders>
            <w:vAlign w:val="center"/>
          </w:tcPr>
          <w:p w14:paraId="1050DCD0"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vAlign w:val="center"/>
          </w:tcPr>
          <w:p w14:paraId="0933C8CB" w14:textId="77777777" w:rsidR="001D561A" w:rsidRPr="00CF3FEC" w:rsidRDefault="001D561A" w:rsidP="00121658">
            <w:pPr>
              <w:spacing w:before="0" w:line="240" w:lineRule="auto"/>
              <w:rPr>
                <w:b/>
                <w:sz w:val="20"/>
                <w:szCs w:val="20"/>
              </w:rPr>
            </w:pPr>
          </w:p>
        </w:tc>
        <w:tc>
          <w:tcPr>
            <w:tcW w:w="546" w:type="pct"/>
            <w:tcBorders>
              <w:bottom w:val="single" w:sz="4" w:space="0" w:color="auto"/>
            </w:tcBorders>
            <w:vAlign w:val="center"/>
          </w:tcPr>
          <w:p w14:paraId="22AAD430"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tcPr>
          <w:p w14:paraId="0E9AF102" w14:textId="77777777" w:rsidR="001D561A" w:rsidRPr="00CF3FEC" w:rsidRDefault="001D561A" w:rsidP="00121658">
            <w:pPr>
              <w:spacing w:before="0" w:line="240" w:lineRule="auto"/>
              <w:rPr>
                <w:b/>
                <w:sz w:val="20"/>
                <w:szCs w:val="20"/>
              </w:rPr>
            </w:pPr>
          </w:p>
        </w:tc>
        <w:tc>
          <w:tcPr>
            <w:tcW w:w="546" w:type="pct"/>
            <w:vAlign w:val="center"/>
          </w:tcPr>
          <w:p w14:paraId="691C9CB6"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tcPr>
          <w:p w14:paraId="09B4DACC" w14:textId="77777777" w:rsidR="001D561A" w:rsidRPr="00CF3FEC" w:rsidRDefault="001D561A" w:rsidP="00121658">
            <w:pPr>
              <w:spacing w:before="0" w:line="240" w:lineRule="auto"/>
              <w:rPr>
                <w:b/>
                <w:sz w:val="20"/>
                <w:szCs w:val="20"/>
              </w:rPr>
            </w:pPr>
          </w:p>
        </w:tc>
        <w:tc>
          <w:tcPr>
            <w:tcW w:w="545" w:type="pct"/>
          </w:tcPr>
          <w:p w14:paraId="7A3A6E11" w14:textId="77777777" w:rsidR="001D561A" w:rsidRPr="00CF3FEC" w:rsidRDefault="001D561A" w:rsidP="00121658">
            <w:pPr>
              <w:spacing w:before="0" w:line="240" w:lineRule="auto"/>
              <w:rPr>
                <w:b/>
                <w:sz w:val="20"/>
                <w:szCs w:val="20"/>
              </w:rPr>
            </w:pPr>
            <w:r w:rsidRPr="00CF3FEC">
              <w:rPr>
                <w:b/>
                <w:sz w:val="20"/>
                <w:szCs w:val="20"/>
              </w:rPr>
              <w:sym w:font="Wingdings" w:char="F0E2"/>
            </w:r>
          </w:p>
        </w:tc>
      </w:tr>
      <w:tr w:rsidR="001D561A" w:rsidRPr="00CF3FEC" w14:paraId="58551AAE" w14:textId="77777777" w:rsidTr="002575FC">
        <w:tc>
          <w:tcPr>
            <w:tcW w:w="534" w:type="pct"/>
            <w:vAlign w:val="center"/>
          </w:tcPr>
          <w:p w14:paraId="6A01A79B" w14:textId="77777777" w:rsidR="001D561A" w:rsidRPr="00CF3FEC" w:rsidRDefault="001D561A" w:rsidP="00121658">
            <w:pPr>
              <w:spacing w:before="0" w:line="240" w:lineRule="auto"/>
              <w:rPr>
                <w:sz w:val="20"/>
                <w:szCs w:val="20"/>
              </w:rPr>
            </w:pPr>
          </w:p>
        </w:tc>
        <w:tc>
          <w:tcPr>
            <w:tcW w:w="99" w:type="pct"/>
            <w:tcBorders>
              <w:right w:val="single" w:sz="4" w:space="0" w:color="auto"/>
            </w:tcBorders>
            <w:vAlign w:val="center"/>
          </w:tcPr>
          <w:p w14:paraId="5C87D7A6" w14:textId="77777777" w:rsidR="001D561A" w:rsidRPr="00CF3FEC" w:rsidRDefault="001D561A" w:rsidP="00121658">
            <w:pPr>
              <w:spacing w:before="0" w:line="240" w:lineRule="auto"/>
              <w:rPr>
                <w:sz w:val="20"/>
                <w:szCs w:val="20"/>
              </w:rPr>
            </w:pPr>
          </w:p>
        </w:tc>
        <w:tc>
          <w:tcPr>
            <w:tcW w:w="546" w:type="pct"/>
            <w:tcBorders>
              <w:top w:val="single" w:sz="4" w:space="0" w:color="auto"/>
              <w:left w:val="single" w:sz="4" w:space="0" w:color="auto"/>
              <w:bottom w:val="single" w:sz="4" w:space="0" w:color="auto"/>
              <w:right w:val="single" w:sz="4" w:space="0" w:color="auto"/>
            </w:tcBorders>
            <w:vAlign w:val="center"/>
          </w:tcPr>
          <w:p w14:paraId="6268DC2F" w14:textId="77777777" w:rsidR="001D561A" w:rsidRPr="00CF3FEC" w:rsidRDefault="001D561A" w:rsidP="00121658">
            <w:pPr>
              <w:spacing w:before="0" w:line="240" w:lineRule="auto"/>
              <w:rPr>
                <w:sz w:val="20"/>
                <w:szCs w:val="20"/>
              </w:rPr>
            </w:pPr>
            <w:r w:rsidRPr="00CF3FEC">
              <w:rPr>
                <w:sz w:val="20"/>
                <w:szCs w:val="20"/>
              </w:rPr>
              <w:t>Positive vasoreactivity test</w:t>
            </w:r>
          </w:p>
        </w:tc>
        <w:tc>
          <w:tcPr>
            <w:tcW w:w="99" w:type="pct"/>
            <w:tcBorders>
              <w:left w:val="single" w:sz="4" w:space="0" w:color="auto"/>
              <w:right w:val="single" w:sz="4" w:space="0" w:color="auto"/>
            </w:tcBorders>
            <w:vAlign w:val="center"/>
          </w:tcPr>
          <w:p w14:paraId="6BD3F1F4" w14:textId="77777777" w:rsidR="001D561A" w:rsidRPr="00CF3FEC" w:rsidRDefault="001D561A" w:rsidP="00121658">
            <w:pPr>
              <w:spacing w:before="0" w:line="240" w:lineRule="auto"/>
              <w:rPr>
                <w:sz w:val="20"/>
                <w:szCs w:val="20"/>
              </w:rPr>
            </w:pPr>
          </w:p>
        </w:tc>
        <w:tc>
          <w:tcPr>
            <w:tcW w:w="546" w:type="pct"/>
            <w:tcBorders>
              <w:top w:val="single" w:sz="4" w:space="0" w:color="auto"/>
              <w:left w:val="single" w:sz="4" w:space="0" w:color="auto"/>
              <w:bottom w:val="single" w:sz="4" w:space="0" w:color="auto"/>
              <w:right w:val="single" w:sz="4" w:space="0" w:color="auto"/>
            </w:tcBorders>
            <w:vAlign w:val="center"/>
          </w:tcPr>
          <w:p w14:paraId="3CF619A6" w14:textId="77777777" w:rsidR="001D561A" w:rsidRPr="00CF3FEC" w:rsidRDefault="001D561A" w:rsidP="00121658">
            <w:pPr>
              <w:spacing w:before="0" w:line="240" w:lineRule="auto"/>
              <w:rPr>
                <w:sz w:val="20"/>
                <w:szCs w:val="20"/>
              </w:rPr>
            </w:pPr>
            <w:r w:rsidRPr="00CF3FEC">
              <w:rPr>
                <w:sz w:val="20"/>
                <w:szCs w:val="20"/>
              </w:rPr>
              <w:t>Positive vasoreactivity test</w:t>
            </w:r>
          </w:p>
        </w:tc>
        <w:tc>
          <w:tcPr>
            <w:tcW w:w="91" w:type="pct"/>
            <w:tcBorders>
              <w:left w:val="single" w:sz="4" w:space="0" w:color="auto"/>
              <w:right w:val="single" w:sz="4" w:space="0" w:color="auto"/>
            </w:tcBorders>
            <w:vAlign w:val="center"/>
          </w:tcPr>
          <w:p w14:paraId="4842C075" w14:textId="77777777" w:rsidR="001D561A" w:rsidRPr="00CF3FEC" w:rsidRDefault="001D561A" w:rsidP="00121658">
            <w:pPr>
              <w:spacing w:before="0" w:line="240" w:lineRule="auto"/>
              <w:rPr>
                <w:sz w:val="20"/>
                <w:szCs w:val="20"/>
              </w:rPr>
            </w:pPr>
          </w:p>
        </w:tc>
        <w:tc>
          <w:tcPr>
            <w:tcW w:w="506" w:type="pct"/>
            <w:tcBorders>
              <w:top w:val="single" w:sz="4" w:space="0" w:color="auto"/>
              <w:left w:val="single" w:sz="4" w:space="0" w:color="auto"/>
              <w:bottom w:val="single" w:sz="4" w:space="0" w:color="auto"/>
              <w:right w:val="single" w:sz="4" w:space="0" w:color="auto"/>
            </w:tcBorders>
            <w:vAlign w:val="center"/>
          </w:tcPr>
          <w:p w14:paraId="43DE2976" w14:textId="77777777" w:rsidR="001D561A" w:rsidRPr="00CF3FEC" w:rsidRDefault="001D561A" w:rsidP="00121658">
            <w:pPr>
              <w:spacing w:before="0" w:line="240" w:lineRule="auto"/>
              <w:rPr>
                <w:sz w:val="20"/>
                <w:szCs w:val="20"/>
              </w:rPr>
            </w:pPr>
            <w:r w:rsidRPr="00CF3FEC">
              <w:rPr>
                <w:sz w:val="20"/>
                <w:szCs w:val="20"/>
              </w:rPr>
              <w:t>Not eligible for CCBs</w:t>
            </w:r>
          </w:p>
        </w:tc>
        <w:tc>
          <w:tcPr>
            <w:tcW w:w="99" w:type="pct"/>
            <w:tcBorders>
              <w:left w:val="single" w:sz="4" w:space="0" w:color="auto"/>
              <w:right w:val="single" w:sz="4" w:space="0" w:color="auto"/>
            </w:tcBorders>
            <w:vAlign w:val="center"/>
          </w:tcPr>
          <w:p w14:paraId="3CE96F5B" w14:textId="77777777" w:rsidR="001D561A" w:rsidRPr="00CF3FEC" w:rsidRDefault="001D561A" w:rsidP="00121658">
            <w:pPr>
              <w:spacing w:before="0" w:line="240" w:lineRule="auto"/>
              <w:rPr>
                <w:sz w:val="20"/>
                <w:szCs w:val="20"/>
              </w:rPr>
            </w:pPr>
          </w:p>
        </w:tc>
        <w:tc>
          <w:tcPr>
            <w:tcW w:w="546" w:type="pct"/>
            <w:tcBorders>
              <w:top w:val="single" w:sz="4" w:space="0" w:color="auto"/>
              <w:left w:val="single" w:sz="4" w:space="0" w:color="auto"/>
              <w:bottom w:val="single" w:sz="4" w:space="0" w:color="auto"/>
              <w:right w:val="single" w:sz="4" w:space="0" w:color="auto"/>
            </w:tcBorders>
            <w:vAlign w:val="center"/>
          </w:tcPr>
          <w:p w14:paraId="6261C794" w14:textId="77777777" w:rsidR="001D561A" w:rsidRPr="00CF3FEC" w:rsidRDefault="001D561A" w:rsidP="00121658">
            <w:pPr>
              <w:spacing w:before="0" w:line="240" w:lineRule="auto"/>
              <w:rPr>
                <w:sz w:val="20"/>
                <w:szCs w:val="20"/>
              </w:rPr>
            </w:pPr>
            <w:r w:rsidRPr="00CF3FEC">
              <w:rPr>
                <w:sz w:val="20"/>
                <w:szCs w:val="20"/>
              </w:rPr>
              <w:t>Not eligible for CCBs</w:t>
            </w:r>
          </w:p>
        </w:tc>
        <w:tc>
          <w:tcPr>
            <w:tcW w:w="99" w:type="pct"/>
            <w:tcBorders>
              <w:left w:val="single" w:sz="4" w:space="0" w:color="auto"/>
              <w:right w:val="single" w:sz="4" w:space="0" w:color="auto"/>
            </w:tcBorders>
            <w:vAlign w:val="center"/>
          </w:tcPr>
          <w:p w14:paraId="5C326A95" w14:textId="77777777" w:rsidR="001D561A" w:rsidRPr="00CF3FEC" w:rsidRDefault="001D561A" w:rsidP="00121658">
            <w:pPr>
              <w:spacing w:before="0" w:line="240" w:lineRule="auto"/>
              <w:rPr>
                <w:sz w:val="20"/>
                <w:szCs w:val="20"/>
              </w:rPr>
            </w:pPr>
          </w:p>
        </w:tc>
        <w:tc>
          <w:tcPr>
            <w:tcW w:w="546" w:type="pct"/>
            <w:tcBorders>
              <w:top w:val="single" w:sz="4" w:space="0" w:color="auto"/>
              <w:left w:val="single" w:sz="4" w:space="0" w:color="auto"/>
              <w:bottom w:val="single" w:sz="4" w:space="0" w:color="auto"/>
              <w:right w:val="single" w:sz="4" w:space="0" w:color="auto"/>
            </w:tcBorders>
            <w:vAlign w:val="center"/>
          </w:tcPr>
          <w:p w14:paraId="152FAC99" w14:textId="77777777" w:rsidR="001D561A" w:rsidRPr="00CF3FEC" w:rsidRDefault="001D561A" w:rsidP="00121658">
            <w:pPr>
              <w:spacing w:before="0" w:line="240" w:lineRule="auto"/>
              <w:rPr>
                <w:sz w:val="20"/>
                <w:szCs w:val="20"/>
              </w:rPr>
            </w:pPr>
            <w:r w:rsidRPr="00CF3FEC">
              <w:rPr>
                <w:sz w:val="20"/>
                <w:szCs w:val="20"/>
              </w:rPr>
              <w:t>Not eligible for CCBs</w:t>
            </w:r>
          </w:p>
        </w:tc>
        <w:tc>
          <w:tcPr>
            <w:tcW w:w="99" w:type="pct"/>
            <w:tcBorders>
              <w:left w:val="single" w:sz="4" w:space="0" w:color="auto"/>
            </w:tcBorders>
          </w:tcPr>
          <w:p w14:paraId="60FD3495" w14:textId="77777777" w:rsidR="001D561A" w:rsidRPr="00CF3FEC" w:rsidRDefault="001D561A" w:rsidP="00121658">
            <w:pPr>
              <w:spacing w:before="0" w:line="240" w:lineRule="auto"/>
              <w:rPr>
                <w:sz w:val="20"/>
                <w:szCs w:val="20"/>
              </w:rPr>
            </w:pPr>
          </w:p>
        </w:tc>
        <w:tc>
          <w:tcPr>
            <w:tcW w:w="546" w:type="pct"/>
            <w:vAlign w:val="center"/>
          </w:tcPr>
          <w:p w14:paraId="6CD73183" w14:textId="77777777" w:rsidR="001D561A" w:rsidRPr="00CF3FEC" w:rsidRDefault="001D561A" w:rsidP="00121658">
            <w:pPr>
              <w:spacing w:before="0" w:line="240" w:lineRule="auto"/>
              <w:rPr>
                <w:sz w:val="20"/>
                <w:szCs w:val="20"/>
              </w:rPr>
            </w:pPr>
          </w:p>
        </w:tc>
        <w:tc>
          <w:tcPr>
            <w:tcW w:w="99" w:type="pct"/>
          </w:tcPr>
          <w:p w14:paraId="16935252" w14:textId="77777777" w:rsidR="001D561A" w:rsidRPr="00CF3FEC" w:rsidRDefault="001D561A" w:rsidP="00121658">
            <w:pPr>
              <w:spacing w:before="0" w:line="240" w:lineRule="auto"/>
              <w:rPr>
                <w:sz w:val="20"/>
                <w:szCs w:val="20"/>
              </w:rPr>
            </w:pPr>
          </w:p>
        </w:tc>
        <w:tc>
          <w:tcPr>
            <w:tcW w:w="545" w:type="pct"/>
            <w:vAlign w:val="center"/>
          </w:tcPr>
          <w:p w14:paraId="2CC9E4A3" w14:textId="77777777" w:rsidR="001D561A" w:rsidRPr="00CF3FEC" w:rsidRDefault="001D561A" w:rsidP="00121658">
            <w:pPr>
              <w:spacing w:before="0" w:line="240" w:lineRule="auto"/>
              <w:rPr>
                <w:sz w:val="20"/>
                <w:szCs w:val="20"/>
              </w:rPr>
            </w:pPr>
          </w:p>
        </w:tc>
      </w:tr>
      <w:tr w:rsidR="001D561A" w:rsidRPr="00CF3FEC" w14:paraId="66DC3388" w14:textId="77777777" w:rsidTr="002575FC">
        <w:tc>
          <w:tcPr>
            <w:tcW w:w="534" w:type="pct"/>
            <w:vAlign w:val="center"/>
          </w:tcPr>
          <w:p w14:paraId="53ED5A67" w14:textId="77777777" w:rsidR="001D561A" w:rsidRPr="00CF3FEC" w:rsidRDefault="001D561A" w:rsidP="00121658">
            <w:pPr>
              <w:spacing w:before="0" w:line="240" w:lineRule="auto"/>
              <w:rPr>
                <w:sz w:val="20"/>
                <w:szCs w:val="20"/>
              </w:rPr>
            </w:pPr>
          </w:p>
        </w:tc>
        <w:tc>
          <w:tcPr>
            <w:tcW w:w="99" w:type="pct"/>
            <w:vAlign w:val="center"/>
          </w:tcPr>
          <w:p w14:paraId="53B20F69" w14:textId="77777777" w:rsidR="001D561A" w:rsidRPr="00CF3FEC" w:rsidRDefault="001D561A" w:rsidP="00121658">
            <w:pPr>
              <w:spacing w:before="0" w:line="240" w:lineRule="auto"/>
              <w:rPr>
                <w:sz w:val="20"/>
                <w:szCs w:val="20"/>
              </w:rPr>
            </w:pPr>
          </w:p>
        </w:tc>
        <w:tc>
          <w:tcPr>
            <w:tcW w:w="546" w:type="pct"/>
            <w:tcBorders>
              <w:top w:val="single" w:sz="4" w:space="0" w:color="auto"/>
              <w:bottom w:val="single" w:sz="4" w:space="0" w:color="auto"/>
            </w:tcBorders>
            <w:vAlign w:val="center"/>
          </w:tcPr>
          <w:p w14:paraId="710621DB"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vAlign w:val="center"/>
          </w:tcPr>
          <w:p w14:paraId="134DD249" w14:textId="77777777" w:rsidR="001D561A" w:rsidRPr="00CF3FEC" w:rsidRDefault="001D561A" w:rsidP="00121658">
            <w:pPr>
              <w:spacing w:before="0" w:line="240" w:lineRule="auto"/>
              <w:rPr>
                <w:b/>
                <w:sz w:val="20"/>
                <w:szCs w:val="20"/>
              </w:rPr>
            </w:pPr>
          </w:p>
        </w:tc>
        <w:tc>
          <w:tcPr>
            <w:tcW w:w="546" w:type="pct"/>
            <w:tcBorders>
              <w:top w:val="single" w:sz="4" w:space="0" w:color="auto"/>
              <w:bottom w:val="single" w:sz="4" w:space="0" w:color="auto"/>
            </w:tcBorders>
            <w:vAlign w:val="center"/>
          </w:tcPr>
          <w:p w14:paraId="2B88FA96"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1" w:type="pct"/>
            <w:vAlign w:val="center"/>
          </w:tcPr>
          <w:p w14:paraId="41020B95" w14:textId="77777777" w:rsidR="001D561A" w:rsidRPr="00CF3FEC" w:rsidRDefault="001D561A" w:rsidP="00121658">
            <w:pPr>
              <w:spacing w:before="0" w:line="240" w:lineRule="auto"/>
              <w:rPr>
                <w:b/>
                <w:sz w:val="20"/>
                <w:szCs w:val="20"/>
              </w:rPr>
            </w:pPr>
          </w:p>
        </w:tc>
        <w:tc>
          <w:tcPr>
            <w:tcW w:w="506" w:type="pct"/>
            <w:tcBorders>
              <w:top w:val="single" w:sz="4" w:space="0" w:color="auto"/>
              <w:bottom w:val="single" w:sz="4" w:space="0" w:color="auto"/>
            </w:tcBorders>
            <w:vAlign w:val="center"/>
          </w:tcPr>
          <w:p w14:paraId="06832AB9"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vAlign w:val="center"/>
          </w:tcPr>
          <w:p w14:paraId="710ABBA5" w14:textId="77777777" w:rsidR="001D561A" w:rsidRPr="00CF3FEC" w:rsidRDefault="001D561A" w:rsidP="00121658">
            <w:pPr>
              <w:spacing w:before="0" w:line="240" w:lineRule="auto"/>
              <w:rPr>
                <w:b/>
                <w:sz w:val="20"/>
                <w:szCs w:val="20"/>
              </w:rPr>
            </w:pPr>
          </w:p>
        </w:tc>
        <w:tc>
          <w:tcPr>
            <w:tcW w:w="546" w:type="pct"/>
            <w:tcBorders>
              <w:top w:val="single" w:sz="4" w:space="0" w:color="auto"/>
              <w:bottom w:val="single" w:sz="4" w:space="0" w:color="auto"/>
            </w:tcBorders>
            <w:vAlign w:val="center"/>
          </w:tcPr>
          <w:p w14:paraId="43CD8ADF"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vAlign w:val="center"/>
          </w:tcPr>
          <w:p w14:paraId="3F557670" w14:textId="77777777" w:rsidR="001D561A" w:rsidRPr="00CF3FEC" w:rsidRDefault="001D561A" w:rsidP="00121658">
            <w:pPr>
              <w:spacing w:before="0" w:line="240" w:lineRule="auto"/>
              <w:rPr>
                <w:b/>
                <w:sz w:val="20"/>
                <w:szCs w:val="20"/>
              </w:rPr>
            </w:pPr>
          </w:p>
        </w:tc>
        <w:tc>
          <w:tcPr>
            <w:tcW w:w="546" w:type="pct"/>
            <w:tcBorders>
              <w:top w:val="single" w:sz="4" w:space="0" w:color="auto"/>
              <w:bottom w:val="single" w:sz="4" w:space="0" w:color="auto"/>
            </w:tcBorders>
            <w:vAlign w:val="center"/>
          </w:tcPr>
          <w:p w14:paraId="4CAD6FF8"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tcPr>
          <w:p w14:paraId="34AD494C" w14:textId="77777777" w:rsidR="001D561A" w:rsidRPr="00CF3FEC" w:rsidRDefault="001D561A" w:rsidP="00121658">
            <w:pPr>
              <w:spacing w:before="0" w:line="240" w:lineRule="auto"/>
              <w:rPr>
                <w:sz w:val="20"/>
                <w:szCs w:val="20"/>
              </w:rPr>
            </w:pPr>
          </w:p>
        </w:tc>
        <w:tc>
          <w:tcPr>
            <w:tcW w:w="546" w:type="pct"/>
            <w:tcBorders>
              <w:bottom w:val="single" w:sz="4" w:space="0" w:color="auto"/>
            </w:tcBorders>
            <w:vAlign w:val="center"/>
          </w:tcPr>
          <w:p w14:paraId="76E1B808"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tcPr>
          <w:p w14:paraId="4C5DF96D" w14:textId="77777777" w:rsidR="001D561A" w:rsidRPr="00CF3FEC" w:rsidRDefault="001D561A" w:rsidP="00121658">
            <w:pPr>
              <w:spacing w:before="0" w:line="240" w:lineRule="auto"/>
              <w:rPr>
                <w:b/>
                <w:sz w:val="20"/>
                <w:szCs w:val="20"/>
              </w:rPr>
            </w:pPr>
          </w:p>
        </w:tc>
        <w:tc>
          <w:tcPr>
            <w:tcW w:w="545" w:type="pct"/>
            <w:tcBorders>
              <w:bottom w:val="single" w:sz="4" w:space="0" w:color="auto"/>
            </w:tcBorders>
          </w:tcPr>
          <w:p w14:paraId="4C36A170" w14:textId="77777777" w:rsidR="001D561A" w:rsidRPr="00CF3FEC" w:rsidRDefault="001D561A" w:rsidP="00121658">
            <w:pPr>
              <w:spacing w:before="0" w:line="240" w:lineRule="auto"/>
              <w:rPr>
                <w:b/>
                <w:sz w:val="20"/>
                <w:szCs w:val="20"/>
              </w:rPr>
            </w:pPr>
            <w:r w:rsidRPr="00CF3FEC">
              <w:rPr>
                <w:b/>
                <w:sz w:val="20"/>
                <w:szCs w:val="20"/>
              </w:rPr>
              <w:sym w:font="Wingdings" w:char="F0E2"/>
            </w:r>
          </w:p>
        </w:tc>
      </w:tr>
      <w:tr w:rsidR="006C614A" w:rsidRPr="00CF3FEC" w14:paraId="5D758B9B" w14:textId="77777777" w:rsidTr="002575FC">
        <w:tblPrEx>
          <w:tblCellMar>
            <w:top w:w="11" w:type="dxa"/>
            <w:bottom w:w="11" w:type="dxa"/>
          </w:tblCellMar>
        </w:tblPrEx>
        <w:tc>
          <w:tcPr>
            <w:tcW w:w="534" w:type="pct"/>
            <w:vAlign w:val="center"/>
          </w:tcPr>
          <w:p w14:paraId="28B1CD30" w14:textId="77777777" w:rsidR="001D561A" w:rsidRPr="00CF3FEC" w:rsidRDefault="001D561A" w:rsidP="00121658">
            <w:pPr>
              <w:spacing w:before="0" w:line="240" w:lineRule="auto"/>
              <w:rPr>
                <w:sz w:val="20"/>
                <w:szCs w:val="20"/>
              </w:rPr>
            </w:pPr>
          </w:p>
        </w:tc>
        <w:tc>
          <w:tcPr>
            <w:tcW w:w="99" w:type="pct"/>
            <w:tcBorders>
              <w:right w:val="single" w:sz="2" w:space="0" w:color="auto"/>
            </w:tcBorders>
            <w:vAlign w:val="center"/>
          </w:tcPr>
          <w:p w14:paraId="481969AD" w14:textId="77777777" w:rsidR="001D561A" w:rsidRPr="00CF3FEC" w:rsidRDefault="001D561A" w:rsidP="00121658">
            <w:pPr>
              <w:spacing w:before="0" w:line="240" w:lineRule="auto"/>
              <w:rPr>
                <w:sz w:val="20"/>
                <w:szCs w:val="20"/>
              </w:rPr>
            </w:pPr>
          </w:p>
        </w:tc>
        <w:tc>
          <w:tcPr>
            <w:tcW w:w="546" w:type="pct"/>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11F7F761" w14:textId="77777777" w:rsidR="001D561A" w:rsidRPr="00CF3FEC" w:rsidRDefault="001D561A" w:rsidP="00121658">
            <w:pPr>
              <w:spacing w:before="0" w:line="240" w:lineRule="auto"/>
              <w:rPr>
                <w:sz w:val="20"/>
                <w:szCs w:val="20"/>
              </w:rPr>
            </w:pPr>
            <w:r w:rsidRPr="00CF3FEC">
              <w:rPr>
                <w:sz w:val="20"/>
                <w:szCs w:val="20"/>
              </w:rPr>
              <w:t>High dose CCBs</w:t>
            </w:r>
          </w:p>
        </w:tc>
        <w:tc>
          <w:tcPr>
            <w:tcW w:w="99" w:type="pct"/>
            <w:tcBorders>
              <w:left w:val="single" w:sz="2" w:space="0" w:color="auto"/>
              <w:right w:val="single" w:sz="2" w:space="0" w:color="auto"/>
            </w:tcBorders>
            <w:vAlign w:val="center"/>
          </w:tcPr>
          <w:p w14:paraId="70D9FC6F" w14:textId="77777777" w:rsidR="001D561A" w:rsidRPr="00CF3FEC" w:rsidRDefault="001D561A" w:rsidP="00121658">
            <w:pPr>
              <w:spacing w:before="0" w:line="240" w:lineRule="auto"/>
              <w:rPr>
                <w:sz w:val="20"/>
                <w:szCs w:val="20"/>
              </w:rPr>
            </w:pPr>
          </w:p>
        </w:tc>
        <w:tc>
          <w:tcPr>
            <w:tcW w:w="546" w:type="pct"/>
            <w:tcBorders>
              <w:top w:val="single" w:sz="2" w:space="0" w:color="auto"/>
              <w:left w:val="single" w:sz="2" w:space="0" w:color="auto"/>
              <w:bottom w:val="single" w:sz="2" w:space="0" w:color="auto"/>
              <w:right w:val="single" w:sz="2" w:space="0" w:color="auto"/>
            </w:tcBorders>
            <w:shd w:val="clear" w:color="auto" w:fill="EAF1DD" w:themeFill="accent3" w:themeFillTint="33"/>
            <w:vAlign w:val="center"/>
          </w:tcPr>
          <w:p w14:paraId="75B61100" w14:textId="77777777" w:rsidR="001D561A" w:rsidRPr="00CF3FEC" w:rsidRDefault="001D561A" w:rsidP="00121658">
            <w:pPr>
              <w:spacing w:before="0" w:line="240" w:lineRule="auto"/>
              <w:rPr>
                <w:sz w:val="20"/>
                <w:szCs w:val="20"/>
              </w:rPr>
            </w:pPr>
            <w:r w:rsidRPr="00CF3FEC">
              <w:rPr>
                <w:sz w:val="20"/>
                <w:szCs w:val="20"/>
              </w:rPr>
              <w:t>High dose CCBs</w:t>
            </w:r>
          </w:p>
        </w:tc>
        <w:tc>
          <w:tcPr>
            <w:tcW w:w="91" w:type="pct"/>
            <w:tcBorders>
              <w:left w:val="single" w:sz="2" w:space="0" w:color="auto"/>
              <w:right w:val="single" w:sz="2" w:space="0" w:color="auto"/>
            </w:tcBorders>
            <w:vAlign w:val="center"/>
          </w:tcPr>
          <w:p w14:paraId="64B735BE" w14:textId="77777777" w:rsidR="001D561A" w:rsidRPr="00CF3FEC" w:rsidRDefault="001D561A" w:rsidP="00121658">
            <w:pPr>
              <w:spacing w:before="0" w:line="240" w:lineRule="auto"/>
              <w:rPr>
                <w:sz w:val="20"/>
                <w:szCs w:val="20"/>
              </w:rPr>
            </w:pPr>
          </w:p>
        </w:tc>
        <w:tc>
          <w:tcPr>
            <w:tcW w:w="506" w:type="pct"/>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6395A6E4" w14:textId="77777777" w:rsidR="001D561A" w:rsidRPr="00CF3FEC" w:rsidRDefault="001D561A" w:rsidP="00121658">
            <w:pPr>
              <w:spacing w:before="0" w:line="240" w:lineRule="auto"/>
              <w:rPr>
                <w:sz w:val="20"/>
                <w:szCs w:val="20"/>
              </w:rPr>
            </w:pPr>
            <w:r w:rsidRPr="00CF3FEC">
              <w:rPr>
                <w:sz w:val="20"/>
                <w:szCs w:val="20"/>
              </w:rPr>
              <w:t>Monotherapy:</w:t>
            </w:r>
            <w:r w:rsidRPr="00CF3FEC">
              <w:rPr>
                <w:sz w:val="20"/>
                <w:szCs w:val="20"/>
              </w:rPr>
              <w:br/>
              <w:t xml:space="preserve">oral PAH </w:t>
            </w:r>
            <w:r w:rsidR="00517C17">
              <w:rPr>
                <w:sz w:val="20"/>
                <w:szCs w:val="20"/>
              </w:rPr>
              <w:t>medicine</w:t>
            </w:r>
            <w:r>
              <w:rPr>
                <w:sz w:val="20"/>
                <w:szCs w:val="20"/>
              </w:rPr>
              <w:t>*</w:t>
            </w:r>
          </w:p>
        </w:tc>
        <w:tc>
          <w:tcPr>
            <w:tcW w:w="99" w:type="pct"/>
            <w:tcBorders>
              <w:left w:val="single" w:sz="2" w:space="0" w:color="auto"/>
              <w:right w:val="single" w:sz="2" w:space="0" w:color="auto"/>
            </w:tcBorders>
            <w:vAlign w:val="center"/>
          </w:tcPr>
          <w:p w14:paraId="7F30761B" w14:textId="77777777" w:rsidR="001D561A" w:rsidRPr="00CF3FEC" w:rsidRDefault="001D561A" w:rsidP="00121658">
            <w:pPr>
              <w:spacing w:before="0" w:line="240" w:lineRule="auto"/>
              <w:rPr>
                <w:sz w:val="20"/>
                <w:szCs w:val="20"/>
              </w:rPr>
            </w:pPr>
          </w:p>
        </w:tc>
        <w:tc>
          <w:tcPr>
            <w:tcW w:w="546" w:type="pct"/>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012FDEA0" w14:textId="77777777" w:rsidR="001D561A" w:rsidRPr="00CF3FEC" w:rsidRDefault="001D561A" w:rsidP="00121658">
            <w:pPr>
              <w:spacing w:before="0" w:line="240" w:lineRule="auto"/>
              <w:rPr>
                <w:sz w:val="20"/>
                <w:szCs w:val="20"/>
              </w:rPr>
            </w:pPr>
            <w:r w:rsidRPr="00CF3FEC">
              <w:rPr>
                <w:sz w:val="20"/>
                <w:szCs w:val="20"/>
              </w:rPr>
              <w:t xml:space="preserve">Monotherapy: oral PAH </w:t>
            </w:r>
            <w:r w:rsidR="00517C17">
              <w:rPr>
                <w:sz w:val="20"/>
                <w:szCs w:val="20"/>
              </w:rPr>
              <w:t>medicine</w:t>
            </w:r>
            <w:r>
              <w:rPr>
                <w:sz w:val="20"/>
                <w:szCs w:val="20"/>
              </w:rPr>
              <w:t>*</w:t>
            </w:r>
          </w:p>
        </w:tc>
        <w:tc>
          <w:tcPr>
            <w:tcW w:w="99" w:type="pct"/>
            <w:tcBorders>
              <w:right w:val="single" w:sz="2" w:space="0" w:color="auto"/>
            </w:tcBorders>
            <w:vAlign w:val="center"/>
          </w:tcPr>
          <w:p w14:paraId="247C5A7F" w14:textId="77777777" w:rsidR="001D561A" w:rsidRPr="00CF3FEC" w:rsidRDefault="001D561A" w:rsidP="00121658">
            <w:pPr>
              <w:spacing w:before="0" w:line="240" w:lineRule="auto"/>
              <w:rPr>
                <w:sz w:val="20"/>
                <w:szCs w:val="20"/>
              </w:rPr>
            </w:pPr>
          </w:p>
        </w:tc>
        <w:tc>
          <w:tcPr>
            <w:tcW w:w="546" w:type="pct"/>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51A880B8" w14:textId="77777777" w:rsidR="001D561A" w:rsidRPr="00CF3FEC" w:rsidRDefault="001D561A" w:rsidP="00121658">
            <w:pPr>
              <w:spacing w:before="0" w:line="240" w:lineRule="auto"/>
              <w:rPr>
                <w:sz w:val="20"/>
                <w:szCs w:val="20"/>
              </w:rPr>
            </w:pPr>
            <w:r w:rsidRPr="00CF3FEC">
              <w:rPr>
                <w:sz w:val="20"/>
                <w:szCs w:val="20"/>
              </w:rPr>
              <w:t xml:space="preserve">Monotherapy: oral PAH </w:t>
            </w:r>
            <w:r w:rsidR="00517C17">
              <w:rPr>
                <w:sz w:val="20"/>
                <w:szCs w:val="20"/>
              </w:rPr>
              <w:t>medicine</w:t>
            </w:r>
            <w:r>
              <w:rPr>
                <w:sz w:val="20"/>
                <w:szCs w:val="20"/>
              </w:rPr>
              <w:t>*</w:t>
            </w:r>
          </w:p>
        </w:tc>
        <w:tc>
          <w:tcPr>
            <w:tcW w:w="99" w:type="pct"/>
            <w:tcBorders>
              <w:left w:val="single" w:sz="2" w:space="0" w:color="auto"/>
              <w:right w:val="single" w:sz="2" w:space="0" w:color="auto"/>
            </w:tcBorders>
          </w:tcPr>
          <w:p w14:paraId="485EFC3B" w14:textId="77777777" w:rsidR="001D561A" w:rsidRPr="00CF3FEC" w:rsidRDefault="001D561A" w:rsidP="00121658">
            <w:pPr>
              <w:spacing w:before="0" w:line="240" w:lineRule="auto"/>
              <w:rPr>
                <w:sz w:val="20"/>
                <w:szCs w:val="20"/>
              </w:rPr>
            </w:pPr>
          </w:p>
        </w:tc>
        <w:tc>
          <w:tcPr>
            <w:tcW w:w="546"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FF3C72" w14:textId="77777777" w:rsidR="001D561A" w:rsidRPr="00CF3FEC" w:rsidRDefault="001D561A" w:rsidP="00121658">
            <w:pPr>
              <w:spacing w:before="0" w:line="240" w:lineRule="auto"/>
              <w:rPr>
                <w:sz w:val="20"/>
                <w:szCs w:val="20"/>
              </w:rPr>
            </w:pPr>
            <w:r w:rsidRPr="00CF3FEC">
              <w:rPr>
                <w:sz w:val="20"/>
                <w:szCs w:val="20"/>
              </w:rPr>
              <w:t>Monotherapy: prostanoid</w:t>
            </w:r>
          </w:p>
        </w:tc>
        <w:tc>
          <w:tcPr>
            <w:tcW w:w="99" w:type="pct"/>
            <w:tcBorders>
              <w:left w:val="single" w:sz="2" w:space="0" w:color="auto"/>
              <w:right w:val="single" w:sz="2" w:space="0" w:color="auto"/>
            </w:tcBorders>
          </w:tcPr>
          <w:p w14:paraId="20BED987" w14:textId="77777777" w:rsidR="001D561A" w:rsidRPr="00CF3FEC" w:rsidRDefault="001D561A" w:rsidP="00121658">
            <w:pPr>
              <w:spacing w:before="0" w:line="240" w:lineRule="auto"/>
              <w:rPr>
                <w:sz w:val="20"/>
                <w:szCs w:val="20"/>
              </w:rPr>
            </w:pPr>
          </w:p>
        </w:tc>
        <w:tc>
          <w:tcPr>
            <w:tcW w:w="545" w:type="pc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ABCA1D" w14:textId="77777777" w:rsidR="001D561A" w:rsidRPr="00CF3FEC" w:rsidRDefault="001D561A" w:rsidP="00121658">
            <w:pPr>
              <w:spacing w:before="0" w:line="240" w:lineRule="auto"/>
              <w:rPr>
                <w:sz w:val="20"/>
                <w:szCs w:val="20"/>
              </w:rPr>
            </w:pPr>
            <w:r w:rsidRPr="00CF3FEC">
              <w:rPr>
                <w:sz w:val="20"/>
                <w:szCs w:val="20"/>
              </w:rPr>
              <w:t>Monotherapy: epoprostenol</w:t>
            </w:r>
          </w:p>
        </w:tc>
      </w:tr>
      <w:tr w:rsidR="001D561A" w:rsidRPr="00CF3FEC" w14:paraId="31A8B05D" w14:textId="77777777" w:rsidTr="002575FC">
        <w:tc>
          <w:tcPr>
            <w:tcW w:w="534" w:type="pct"/>
            <w:vAlign w:val="center"/>
          </w:tcPr>
          <w:p w14:paraId="0179A7AF" w14:textId="77777777" w:rsidR="001D561A" w:rsidRPr="00CF3FEC" w:rsidRDefault="001D561A" w:rsidP="00121658">
            <w:pPr>
              <w:spacing w:before="0" w:line="240" w:lineRule="auto"/>
              <w:rPr>
                <w:sz w:val="20"/>
                <w:szCs w:val="20"/>
              </w:rPr>
            </w:pPr>
          </w:p>
        </w:tc>
        <w:tc>
          <w:tcPr>
            <w:tcW w:w="99" w:type="pct"/>
            <w:vAlign w:val="center"/>
          </w:tcPr>
          <w:p w14:paraId="3322870B" w14:textId="77777777" w:rsidR="001D561A" w:rsidRPr="00CF3FEC" w:rsidRDefault="001D561A" w:rsidP="00121658">
            <w:pPr>
              <w:spacing w:before="0" w:line="240" w:lineRule="auto"/>
              <w:rPr>
                <w:sz w:val="20"/>
                <w:szCs w:val="20"/>
              </w:rPr>
            </w:pPr>
          </w:p>
        </w:tc>
        <w:tc>
          <w:tcPr>
            <w:tcW w:w="546" w:type="pct"/>
            <w:tcBorders>
              <w:top w:val="single" w:sz="4" w:space="0" w:color="auto"/>
              <w:bottom w:val="single" w:sz="24" w:space="0" w:color="FFFF00"/>
            </w:tcBorders>
            <w:vAlign w:val="center"/>
          </w:tcPr>
          <w:p w14:paraId="4EA379C1"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9" w:type="pct"/>
            <w:vAlign w:val="center"/>
          </w:tcPr>
          <w:p w14:paraId="7082AE66" w14:textId="77777777" w:rsidR="001D561A" w:rsidRPr="00CF3FEC" w:rsidRDefault="001D561A" w:rsidP="00121658">
            <w:pPr>
              <w:spacing w:before="0" w:line="240" w:lineRule="auto"/>
              <w:rPr>
                <w:b/>
                <w:sz w:val="20"/>
                <w:szCs w:val="20"/>
              </w:rPr>
            </w:pPr>
          </w:p>
        </w:tc>
        <w:tc>
          <w:tcPr>
            <w:tcW w:w="546" w:type="pct"/>
            <w:tcBorders>
              <w:top w:val="single" w:sz="4" w:space="0" w:color="auto"/>
              <w:bottom w:val="single" w:sz="24" w:space="0" w:color="FFC000"/>
            </w:tcBorders>
            <w:vAlign w:val="center"/>
          </w:tcPr>
          <w:p w14:paraId="606979EF" w14:textId="77777777" w:rsidR="001D561A" w:rsidRPr="00CF3FEC" w:rsidRDefault="001D561A" w:rsidP="00121658">
            <w:pPr>
              <w:spacing w:before="0" w:line="240" w:lineRule="auto"/>
              <w:rPr>
                <w:b/>
                <w:sz w:val="20"/>
                <w:szCs w:val="20"/>
              </w:rPr>
            </w:pPr>
            <w:r w:rsidRPr="00CF3FEC">
              <w:rPr>
                <w:b/>
                <w:sz w:val="20"/>
                <w:szCs w:val="20"/>
              </w:rPr>
              <w:sym w:font="Wingdings" w:char="F0E2"/>
            </w:r>
          </w:p>
        </w:tc>
        <w:tc>
          <w:tcPr>
            <w:tcW w:w="91" w:type="pct"/>
            <w:vAlign w:val="center"/>
          </w:tcPr>
          <w:p w14:paraId="4977C1D5" w14:textId="77777777" w:rsidR="001D561A" w:rsidRPr="00CF3FEC" w:rsidRDefault="001D561A" w:rsidP="00121658">
            <w:pPr>
              <w:spacing w:before="0" w:line="240" w:lineRule="auto"/>
              <w:rPr>
                <w:b/>
                <w:sz w:val="20"/>
                <w:szCs w:val="20"/>
              </w:rPr>
            </w:pPr>
          </w:p>
        </w:tc>
        <w:tc>
          <w:tcPr>
            <w:tcW w:w="506" w:type="pct"/>
            <w:tcBorders>
              <w:top w:val="single" w:sz="4" w:space="0" w:color="auto"/>
            </w:tcBorders>
            <w:vAlign w:val="center"/>
          </w:tcPr>
          <w:p w14:paraId="1253D376" w14:textId="77777777" w:rsidR="001D561A" w:rsidRPr="00CF3FEC" w:rsidRDefault="001D561A" w:rsidP="00121658">
            <w:pPr>
              <w:spacing w:before="0" w:line="240" w:lineRule="auto"/>
              <w:rPr>
                <w:b/>
                <w:sz w:val="20"/>
                <w:szCs w:val="20"/>
              </w:rPr>
            </w:pPr>
            <w:r w:rsidRPr="00CF3FEC">
              <w:rPr>
                <w:b/>
                <w:color w:val="FF0000"/>
                <w:sz w:val="20"/>
                <w:szCs w:val="20"/>
              </w:rPr>
              <w:sym w:font="Wingdings" w:char="F0E1"/>
            </w:r>
          </w:p>
        </w:tc>
        <w:tc>
          <w:tcPr>
            <w:tcW w:w="99" w:type="pct"/>
            <w:vAlign w:val="center"/>
          </w:tcPr>
          <w:p w14:paraId="34E4097E" w14:textId="77777777" w:rsidR="001D561A" w:rsidRPr="00CF3FEC" w:rsidRDefault="001D561A" w:rsidP="00121658">
            <w:pPr>
              <w:spacing w:before="0" w:line="240" w:lineRule="auto"/>
              <w:rPr>
                <w:sz w:val="20"/>
                <w:szCs w:val="20"/>
              </w:rPr>
            </w:pPr>
          </w:p>
        </w:tc>
        <w:tc>
          <w:tcPr>
            <w:tcW w:w="546" w:type="pct"/>
            <w:tcBorders>
              <w:top w:val="single" w:sz="4" w:space="0" w:color="auto"/>
            </w:tcBorders>
            <w:vAlign w:val="center"/>
          </w:tcPr>
          <w:p w14:paraId="2B4D0662" w14:textId="77777777" w:rsidR="001D561A" w:rsidRPr="00CF3FEC" w:rsidRDefault="001D561A" w:rsidP="00121658">
            <w:pPr>
              <w:spacing w:before="0" w:line="240" w:lineRule="auto"/>
              <w:rPr>
                <w:sz w:val="20"/>
                <w:szCs w:val="20"/>
              </w:rPr>
            </w:pPr>
            <w:r w:rsidRPr="00CF3FEC">
              <w:rPr>
                <w:b/>
                <w:sz w:val="20"/>
                <w:szCs w:val="20"/>
              </w:rPr>
              <w:sym w:font="Wingdings" w:char="F0E2"/>
            </w:r>
          </w:p>
        </w:tc>
        <w:tc>
          <w:tcPr>
            <w:tcW w:w="99" w:type="pct"/>
            <w:vAlign w:val="center"/>
          </w:tcPr>
          <w:p w14:paraId="44FAAEC0" w14:textId="77777777" w:rsidR="001D561A" w:rsidRPr="00CF3FEC" w:rsidRDefault="001D561A" w:rsidP="00121658">
            <w:pPr>
              <w:spacing w:before="0" w:line="240" w:lineRule="auto"/>
              <w:rPr>
                <w:sz w:val="20"/>
                <w:szCs w:val="20"/>
              </w:rPr>
            </w:pPr>
          </w:p>
        </w:tc>
        <w:tc>
          <w:tcPr>
            <w:tcW w:w="546" w:type="pct"/>
            <w:tcBorders>
              <w:top w:val="single" w:sz="4" w:space="0" w:color="auto"/>
            </w:tcBorders>
            <w:vAlign w:val="center"/>
          </w:tcPr>
          <w:p w14:paraId="600ECAB9" w14:textId="77777777" w:rsidR="001D561A" w:rsidRPr="00CF3FEC" w:rsidRDefault="001D561A" w:rsidP="00121658">
            <w:pPr>
              <w:spacing w:before="0" w:line="240" w:lineRule="auto"/>
              <w:rPr>
                <w:sz w:val="20"/>
                <w:szCs w:val="20"/>
              </w:rPr>
            </w:pPr>
            <w:r w:rsidRPr="00CF3FEC">
              <w:rPr>
                <w:b/>
                <w:sz w:val="20"/>
                <w:szCs w:val="20"/>
              </w:rPr>
              <w:sym w:font="Wingdings" w:char="F0E2"/>
            </w:r>
          </w:p>
        </w:tc>
        <w:tc>
          <w:tcPr>
            <w:tcW w:w="99" w:type="pct"/>
          </w:tcPr>
          <w:p w14:paraId="32840648" w14:textId="77777777" w:rsidR="001D561A" w:rsidRPr="00CF3FEC" w:rsidRDefault="001D561A" w:rsidP="00121658">
            <w:pPr>
              <w:spacing w:before="0" w:line="240" w:lineRule="auto"/>
              <w:rPr>
                <w:sz w:val="20"/>
                <w:szCs w:val="20"/>
              </w:rPr>
            </w:pPr>
          </w:p>
        </w:tc>
        <w:tc>
          <w:tcPr>
            <w:tcW w:w="546" w:type="pct"/>
            <w:tcBorders>
              <w:top w:val="single" w:sz="4" w:space="0" w:color="auto"/>
              <w:bottom w:val="single" w:sz="4" w:space="0" w:color="auto"/>
            </w:tcBorders>
            <w:vAlign w:val="center"/>
          </w:tcPr>
          <w:p w14:paraId="0DF1C14A" w14:textId="77777777" w:rsidR="001D561A" w:rsidRPr="00CF3FEC" w:rsidRDefault="001D561A" w:rsidP="00121658">
            <w:pPr>
              <w:spacing w:before="0" w:line="240" w:lineRule="auto"/>
              <w:rPr>
                <w:b/>
                <w:sz w:val="20"/>
                <w:szCs w:val="20"/>
              </w:rPr>
            </w:pPr>
            <w:r w:rsidRPr="00CF3FEC">
              <w:rPr>
                <w:b/>
                <w:sz w:val="20"/>
                <w:szCs w:val="20"/>
              </w:rPr>
              <w:t>OR</w:t>
            </w:r>
          </w:p>
        </w:tc>
        <w:tc>
          <w:tcPr>
            <w:tcW w:w="99" w:type="pct"/>
          </w:tcPr>
          <w:p w14:paraId="0E90F227" w14:textId="77777777" w:rsidR="001D561A" w:rsidRPr="00CF3FEC" w:rsidRDefault="001D561A" w:rsidP="00121658">
            <w:pPr>
              <w:spacing w:before="0" w:line="240" w:lineRule="auto"/>
              <w:rPr>
                <w:sz w:val="20"/>
                <w:szCs w:val="20"/>
              </w:rPr>
            </w:pPr>
          </w:p>
        </w:tc>
        <w:tc>
          <w:tcPr>
            <w:tcW w:w="545" w:type="pct"/>
            <w:tcBorders>
              <w:top w:val="single" w:sz="4" w:space="0" w:color="auto"/>
            </w:tcBorders>
            <w:vAlign w:val="center"/>
          </w:tcPr>
          <w:p w14:paraId="69A67378" w14:textId="77777777" w:rsidR="001D561A" w:rsidRPr="00CF3FEC" w:rsidRDefault="001D561A" w:rsidP="00121658">
            <w:pPr>
              <w:spacing w:before="0" w:line="240" w:lineRule="auto"/>
              <w:rPr>
                <w:sz w:val="20"/>
                <w:szCs w:val="20"/>
              </w:rPr>
            </w:pPr>
            <w:r w:rsidRPr="00CF3FEC">
              <w:rPr>
                <w:b/>
                <w:sz w:val="20"/>
                <w:szCs w:val="20"/>
              </w:rPr>
              <w:sym w:font="Wingdings" w:char="F0E2"/>
            </w:r>
          </w:p>
        </w:tc>
      </w:tr>
      <w:tr w:rsidR="001D561A" w:rsidRPr="00CF3FEC" w14:paraId="22A43BE5" w14:textId="77777777" w:rsidTr="002575FC">
        <w:tc>
          <w:tcPr>
            <w:tcW w:w="534" w:type="pct"/>
            <w:vAlign w:val="center"/>
          </w:tcPr>
          <w:p w14:paraId="2F82BD99" w14:textId="77777777" w:rsidR="001D561A" w:rsidRPr="00CF3FEC" w:rsidRDefault="001D561A" w:rsidP="00121658">
            <w:pPr>
              <w:spacing w:before="0" w:line="240" w:lineRule="auto"/>
              <w:rPr>
                <w:sz w:val="20"/>
                <w:szCs w:val="20"/>
              </w:rPr>
            </w:pPr>
          </w:p>
        </w:tc>
        <w:tc>
          <w:tcPr>
            <w:tcW w:w="99" w:type="pct"/>
            <w:tcBorders>
              <w:right w:val="single" w:sz="24" w:space="0" w:color="FFFF00"/>
            </w:tcBorders>
            <w:vAlign w:val="center"/>
          </w:tcPr>
          <w:p w14:paraId="45B059F1" w14:textId="77777777" w:rsidR="001D561A" w:rsidRPr="00CF3FEC" w:rsidRDefault="001D561A" w:rsidP="00121658">
            <w:pPr>
              <w:spacing w:before="0" w:line="240" w:lineRule="auto"/>
              <w:rPr>
                <w:sz w:val="20"/>
                <w:szCs w:val="20"/>
              </w:rPr>
            </w:pPr>
          </w:p>
        </w:tc>
        <w:tc>
          <w:tcPr>
            <w:tcW w:w="546" w:type="pct"/>
            <w:tcBorders>
              <w:top w:val="single" w:sz="24" w:space="0" w:color="FFFF00"/>
              <w:left w:val="single" w:sz="24" w:space="0" w:color="FFFF00"/>
              <w:bottom w:val="single" w:sz="24" w:space="0" w:color="FFFF00"/>
              <w:right w:val="single" w:sz="24" w:space="0" w:color="FFFF00"/>
            </w:tcBorders>
            <w:vAlign w:val="center"/>
          </w:tcPr>
          <w:p w14:paraId="197757B5" w14:textId="77777777" w:rsidR="001D561A" w:rsidRPr="00CF3FEC" w:rsidRDefault="001D561A" w:rsidP="00121658">
            <w:pPr>
              <w:spacing w:before="0" w:line="240" w:lineRule="auto"/>
              <w:rPr>
                <w:sz w:val="20"/>
                <w:szCs w:val="20"/>
              </w:rPr>
            </w:pPr>
            <w:r w:rsidRPr="00CF3FEC">
              <w:rPr>
                <w:sz w:val="20"/>
                <w:szCs w:val="20"/>
              </w:rPr>
              <w:t>Therapy goals unmet or clinical worsening on CCB therapy</w:t>
            </w:r>
          </w:p>
        </w:tc>
        <w:tc>
          <w:tcPr>
            <w:tcW w:w="99" w:type="pct"/>
            <w:tcBorders>
              <w:left w:val="single" w:sz="24" w:space="0" w:color="FFFF00"/>
              <w:right w:val="single" w:sz="24" w:space="0" w:color="FFC000"/>
            </w:tcBorders>
            <w:vAlign w:val="center"/>
          </w:tcPr>
          <w:p w14:paraId="126C767A" w14:textId="77777777" w:rsidR="001D561A" w:rsidRPr="00CF3FEC" w:rsidRDefault="001D561A" w:rsidP="00121658">
            <w:pPr>
              <w:spacing w:before="0" w:line="240" w:lineRule="auto"/>
              <w:rPr>
                <w:sz w:val="20"/>
                <w:szCs w:val="20"/>
              </w:rPr>
            </w:pPr>
            <w:r w:rsidRPr="00CF3FEC">
              <w:rPr>
                <w:b/>
                <w:color w:val="FF0000"/>
                <w:sz w:val="20"/>
                <w:szCs w:val="20"/>
              </w:rPr>
              <w:sym w:font="Wingdings" w:char="F0E0"/>
            </w:r>
          </w:p>
        </w:tc>
        <w:tc>
          <w:tcPr>
            <w:tcW w:w="546" w:type="pct"/>
            <w:tcBorders>
              <w:top w:val="single" w:sz="24" w:space="0" w:color="FFC000"/>
              <w:left w:val="single" w:sz="24" w:space="0" w:color="FFC000"/>
              <w:bottom w:val="single" w:sz="24" w:space="0" w:color="FFC000"/>
              <w:right w:val="single" w:sz="24" w:space="0" w:color="FFC000"/>
            </w:tcBorders>
            <w:vAlign w:val="center"/>
          </w:tcPr>
          <w:p w14:paraId="6609D0E1" w14:textId="77777777" w:rsidR="001D561A" w:rsidRPr="00CF3FEC" w:rsidRDefault="001D561A" w:rsidP="00121658">
            <w:pPr>
              <w:spacing w:before="0" w:line="240" w:lineRule="auto"/>
              <w:rPr>
                <w:sz w:val="20"/>
                <w:szCs w:val="20"/>
              </w:rPr>
            </w:pPr>
            <w:r w:rsidRPr="00CF3FEC">
              <w:rPr>
                <w:sz w:val="20"/>
                <w:szCs w:val="20"/>
              </w:rPr>
              <w:t>Therapy goals unmet or clinical worsening on CCB therapy</w:t>
            </w:r>
          </w:p>
        </w:tc>
        <w:tc>
          <w:tcPr>
            <w:tcW w:w="91" w:type="pct"/>
            <w:tcBorders>
              <w:left w:val="single" w:sz="24" w:space="0" w:color="FFC000"/>
            </w:tcBorders>
            <w:vAlign w:val="center"/>
          </w:tcPr>
          <w:p w14:paraId="219F282C" w14:textId="77777777" w:rsidR="001D561A" w:rsidRPr="00CF3FEC" w:rsidRDefault="001D561A" w:rsidP="00121658">
            <w:pPr>
              <w:spacing w:before="0" w:line="240" w:lineRule="auto"/>
              <w:rPr>
                <w:b/>
                <w:sz w:val="20"/>
                <w:szCs w:val="20"/>
              </w:rPr>
            </w:pPr>
            <w:r w:rsidRPr="00CF3FEC">
              <w:rPr>
                <w:b/>
                <w:color w:val="FF0000"/>
                <w:sz w:val="20"/>
                <w:szCs w:val="20"/>
              </w:rPr>
              <w:sym w:font="Wingdings" w:char="F0E0"/>
            </w:r>
          </w:p>
        </w:tc>
        <w:tc>
          <w:tcPr>
            <w:tcW w:w="506" w:type="pct"/>
            <w:vAlign w:val="center"/>
          </w:tcPr>
          <w:p w14:paraId="71D4F10E" w14:textId="77777777" w:rsidR="001D561A" w:rsidRPr="00CF3FEC" w:rsidRDefault="001D561A" w:rsidP="00121658">
            <w:pPr>
              <w:spacing w:before="0" w:line="240" w:lineRule="auto"/>
              <w:rPr>
                <w:b/>
                <w:sz w:val="20"/>
                <w:szCs w:val="20"/>
              </w:rPr>
            </w:pPr>
            <w:r w:rsidRPr="00CF3FEC">
              <w:rPr>
                <w:b/>
                <w:color w:val="FF0000"/>
                <w:sz w:val="20"/>
                <w:szCs w:val="20"/>
              </w:rPr>
              <w:sym w:font="Wingdings" w:char="F0E4"/>
            </w:r>
          </w:p>
        </w:tc>
        <w:tc>
          <w:tcPr>
            <w:tcW w:w="99" w:type="pct"/>
            <w:vAlign w:val="center"/>
          </w:tcPr>
          <w:p w14:paraId="11309475" w14:textId="77777777" w:rsidR="001D561A" w:rsidRPr="00CF3FEC" w:rsidRDefault="001D561A" w:rsidP="00121658">
            <w:pPr>
              <w:spacing w:before="0" w:line="240" w:lineRule="auto"/>
              <w:rPr>
                <w:sz w:val="20"/>
                <w:szCs w:val="20"/>
              </w:rPr>
            </w:pPr>
          </w:p>
        </w:tc>
        <w:tc>
          <w:tcPr>
            <w:tcW w:w="546" w:type="pct"/>
            <w:vAlign w:val="center"/>
          </w:tcPr>
          <w:p w14:paraId="0FBC156A" w14:textId="77777777" w:rsidR="001D561A" w:rsidRPr="00CF3FEC" w:rsidRDefault="001D561A" w:rsidP="00121658">
            <w:pPr>
              <w:spacing w:before="0" w:line="240" w:lineRule="auto"/>
              <w:rPr>
                <w:sz w:val="20"/>
                <w:szCs w:val="20"/>
              </w:rPr>
            </w:pPr>
          </w:p>
        </w:tc>
        <w:tc>
          <w:tcPr>
            <w:tcW w:w="99" w:type="pct"/>
            <w:vAlign w:val="center"/>
          </w:tcPr>
          <w:p w14:paraId="3D8E2CDE" w14:textId="77777777" w:rsidR="001D561A" w:rsidRPr="00CF3FEC" w:rsidRDefault="001D561A" w:rsidP="00121658">
            <w:pPr>
              <w:spacing w:before="0" w:line="240" w:lineRule="auto"/>
              <w:rPr>
                <w:sz w:val="20"/>
                <w:szCs w:val="20"/>
              </w:rPr>
            </w:pPr>
          </w:p>
        </w:tc>
        <w:tc>
          <w:tcPr>
            <w:tcW w:w="546" w:type="pct"/>
            <w:vAlign w:val="center"/>
          </w:tcPr>
          <w:p w14:paraId="125C24AE" w14:textId="77777777" w:rsidR="001D561A" w:rsidRPr="00CF3FEC" w:rsidRDefault="001D561A" w:rsidP="00121658">
            <w:pPr>
              <w:spacing w:before="0" w:line="240" w:lineRule="auto"/>
              <w:rPr>
                <w:sz w:val="20"/>
                <w:szCs w:val="20"/>
              </w:rPr>
            </w:pPr>
          </w:p>
        </w:tc>
        <w:tc>
          <w:tcPr>
            <w:tcW w:w="99" w:type="pct"/>
            <w:tcBorders>
              <w:right w:val="single" w:sz="4" w:space="0" w:color="auto"/>
            </w:tcBorders>
          </w:tcPr>
          <w:p w14:paraId="73F7ED7E" w14:textId="77777777" w:rsidR="001D561A" w:rsidRPr="00CF3FEC" w:rsidRDefault="001D561A" w:rsidP="00121658">
            <w:pPr>
              <w:spacing w:before="0" w:line="240" w:lineRule="auto"/>
              <w:rPr>
                <w:sz w:val="20"/>
                <w:szCs w:val="20"/>
              </w:rPr>
            </w:pPr>
          </w:p>
        </w:tc>
        <w:tc>
          <w:tcPr>
            <w:tcW w:w="546" w:type="pct"/>
            <w:tcBorders>
              <w:top w:val="single" w:sz="4" w:space="0" w:color="auto"/>
              <w:left w:val="single" w:sz="4" w:space="0" w:color="auto"/>
              <w:bottom w:val="single" w:sz="4" w:space="0" w:color="auto"/>
              <w:right w:val="single" w:sz="4" w:space="0" w:color="auto"/>
            </w:tcBorders>
            <w:vAlign w:val="center"/>
          </w:tcPr>
          <w:p w14:paraId="095EE327" w14:textId="77777777" w:rsidR="001D561A" w:rsidRPr="00CF3FEC" w:rsidRDefault="001D561A" w:rsidP="00121658">
            <w:pPr>
              <w:spacing w:before="0" w:line="240" w:lineRule="auto"/>
              <w:rPr>
                <w:sz w:val="20"/>
                <w:szCs w:val="20"/>
              </w:rPr>
            </w:pPr>
            <w:r w:rsidRPr="00CF3FEC">
              <w:rPr>
                <w:sz w:val="20"/>
                <w:szCs w:val="20"/>
              </w:rPr>
              <w:t xml:space="preserve">See </w:t>
            </w:r>
            <w:r w:rsidR="00505D99" w:rsidRPr="00011758">
              <w:rPr>
                <w:sz w:val="20"/>
                <w:szCs w:val="20"/>
              </w:rPr>
              <w:t xml:space="preserve">Table 1.6 </w:t>
            </w:r>
            <w:r w:rsidR="00505D99" w:rsidRPr="00011758">
              <w:rPr>
                <w:sz w:val="20"/>
                <w:szCs w:val="20"/>
              </w:rPr>
              <w:tab/>
              <w:t>PAH pharmacotherapy – patient groups receiving combination therapy</w:t>
            </w:r>
          </w:p>
        </w:tc>
        <w:tc>
          <w:tcPr>
            <w:tcW w:w="99" w:type="pct"/>
            <w:tcBorders>
              <w:left w:val="single" w:sz="4" w:space="0" w:color="auto"/>
            </w:tcBorders>
          </w:tcPr>
          <w:p w14:paraId="183D03B2" w14:textId="77777777" w:rsidR="001D561A" w:rsidRPr="00CF3FEC" w:rsidRDefault="001D561A" w:rsidP="00121658">
            <w:pPr>
              <w:spacing w:before="0" w:line="240" w:lineRule="auto"/>
              <w:rPr>
                <w:sz w:val="20"/>
                <w:szCs w:val="20"/>
              </w:rPr>
            </w:pPr>
          </w:p>
        </w:tc>
        <w:tc>
          <w:tcPr>
            <w:tcW w:w="545" w:type="pct"/>
            <w:vAlign w:val="center"/>
          </w:tcPr>
          <w:p w14:paraId="77C383CD" w14:textId="77777777" w:rsidR="001D561A" w:rsidRPr="00CF3FEC" w:rsidRDefault="001D561A" w:rsidP="00121658">
            <w:pPr>
              <w:spacing w:before="0" w:line="240" w:lineRule="auto"/>
              <w:rPr>
                <w:sz w:val="20"/>
                <w:szCs w:val="20"/>
              </w:rPr>
            </w:pPr>
          </w:p>
        </w:tc>
      </w:tr>
      <w:tr w:rsidR="001D561A" w:rsidRPr="00CF3FEC" w14:paraId="27BAB519" w14:textId="77777777" w:rsidTr="002575FC">
        <w:tc>
          <w:tcPr>
            <w:tcW w:w="534" w:type="pct"/>
            <w:vAlign w:val="center"/>
          </w:tcPr>
          <w:p w14:paraId="119A93BD" w14:textId="77777777" w:rsidR="001D561A" w:rsidRPr="00CF3FEC" w:rsidRDefault="001D561A" w:rsidP="00121658">
            <w:pPr>
              <w:spacing w:before="0" w:line="240" w:lineRule="auto"/>
              <w:rPr>
                <w:sz w:val="20"/>
                <w:szCs w:val="20"/>
              </w:rPr>
            </w:pPr>
          </w:p>
        </w:tc>
        <w:tc>
          <w:tcPr>
            <w:tcW w:w="99" w:type="pct"/>
            <w:vAlign w:val="center"/>
          </w:tcPr>
          <w:p w14:paraId="72228170" w14:textId="77777777" w:rsidR="001D561A" w:rsidRPr="00CF3FEC" w:rsidRDefault="001D561A" w:rsidP="00121658">
            <w:pPr>
              <w:spacing w:before="0" w:line="240" w:lineRule="auto"/>
              <w:rPr>
                <w:sz w:val="20"/>
                <w:szCs w:val="20"/>
              </w:rPr>
            </w:pPr>
          </w:p>
        </w:tc>
        <w:tc>
          <w:tcPr>
            <w:tcW w:w="546" w:type="pct"/>
            <w:tcBorders>
              <w:top w:val="single" w:sz="24" w:space="0" w:color="FFFF00"/>
            </w:tcBorders>
            <w:vAlign w:val="center"/>
          </w:tcPr>
          <w:p w14:paraId="30CCA657" w14:textId="77777777" w:rsidR="001D561A" w:rsidRPr="00CF3FEC" w:rsidRDefault="001D561A" w:rsidP="00121658">
            <w:pPr>
              <w:spacing w:before="0" w:line="240" w:lineRule="auto"/>
              <w:rPr>
                <w:sz w:val="20"/>
                <w:szCs w:val="20"/>
              </w:rPr>
            </w:pPr>
          </w:p>
        </w:tc>
        <w:tc>
          <w:tcPr>
            <w:tcW w:w="99" w:type="pct"/>
            <w:vAlign w:val="center"/>
          </w:tcPr>
          <w:p w14:paraId="36162CCD" w14:textId="77777777" w:rsidR="001D561A" w:rsidRPr="00CF3FEC" w:rsidRDefault="001D561A" w:rsidP="00121658">
            <w:pPr>
              <w:spacing w:before="0" w:line="240" w:lineRule="auto"/>
              <w:rPr>
                <w:sz w:val="20"/>
                <w:szCs w:val="20"/>
              </w:rPr>
            </w:pPr>
          </w:p>
        </w:tc>
        <w:tc>
          <w:tcPr>
            <w:tcW w:w="546" w:type="pct"/>
            <w:tcBorders>
              <w:top w:val="single" w:sz="24" w:space="0" w:color="FFC000"/>
            </w:tcBorders>
            <w:vAlign w:val="center"/>
          </w:tcPr>
          <w:p w14:paraId="0BC17C1C" w14:textId="77777777" w:rsidR="001D561A" w:rsidRPr="00CF3FEC" w:rsidRDefault="001D561A" w:rsidP="00121658">
            <w:pPr>
              <w:spacing w:before="0" w:line="240" w:lineRule="auto"/>
              <w:rPr>
                <w:sz w:val="20"/>
                <w:szCs w:val="20"/>
              </w:rPr>
            </w:pPr>
          </w:p>
        </w:tc>
        <w:tc>
          <w:tcPr>
            <w:tcW w:w="91" w:type="pct"/>
            <w:vAlign w:val="center"/>
          </w:tcPr>
          <w:p w14:paraId="18C2E42A" w14:textId="77777777" w:rsidR="001D561A" w:rsidRPr="00CF3FEC" w:rsidRDefault="001D561A" w:rsidP="00121658">
            <w:pPr>
              <w:spacing w:before="0" w:line="240" w:lineRule="auto"/>
              <w:rPr>
                <w:sz w:val="20"/>
                <w:szCs w:val="20"/>
              </w:rPr>
            </w:pPr>
          </w:p>
        </w:tc>
        <w:tc>
          <w:tcPr>
            <w:tcW w:w="506" w:type="pct"/>
            <w:tcBorders>
              <w:bottom w:val="single" w:sz="4" w:space="0" w:color="auto"/>
            </w:tcBorders>
            <w:vAlign w:val="center"/>
          </w:tcPr>
          <w:p w14:paraId="07B7D642" w14:textId="77777777" w:rsidR="001D561A" w:rsidRPr="00CF3FEC" w:rsidRDefault="001D561A" w:rsidP="00121658">
            <w:pPr>
              <w:spacing w:before="0" w:line="240" w:lineRule="auto"/>
              <w:rPr>
                <w:sz w:val="20"/>
                <w:szCs w:val="20"/>
              </w:rPr>
            </w:pPr>
            <w:r w:rsidRPr="00CF3FEC">
              <w:rPr>
                <w:b/>
                <w:sz w:val="20"/>
                <w:szCs w:val="20"/>
              </w:rPr>
              <w:sym w:font="Wingdings" w:char="F0E2"/>
            </w:r>
          </w:p>
        </w:tc>
        <w:tc>
          <w:tcPr>
            <w:tcW w:w="99" w:type="pct"/>
            <w:tcBorders>
              <w:bottom w:val="single" w:sz="4" w:space="0" w:color="auto"/>
            </w:tcBorders>
            <w:vAlign w:val="center"/>
          </w:tcPr>
          <w:p w14:paraId="32A361E4" w14:textId="77777777" w:rsidR="001D561A" w:rsidRPr="00CF3FEC" w:rsidRDefault="001D561A" w:rsidP="00121658">
            <w:pPr>
              <w:spacing w:before="0" w:line="240" w:lineRule="auto"/>
              <w:rPr>
                <w:sz w:val="20"/>
                <w:szCs w:val="20"/>
              </w:rPr>
            </w:pPr>
          </w:p>
        </w:tc>
        <w:tc>
          <w:tcPr>
            <w:tcW w:w="546" w:type="pct"/>
            <w:tcBorders>
              <w:bottom w:val="single" w:sz="4" w:space="0" w:color="auto"/>
            </w:tcBorders>
            <w:vAlign w:val="center"/>
          </w:tcPr>
          <w:p w14:paraId="40EF3F58" w14:textId="77777777" w:rsidR="001D561A" w:rsidRPr="00CF3FEC" w:rsidRDefault="001D561A" w:rsidP="00121658">
            <w:pPr>
              <w:spacing w:before="0" w:line="240" w:lineRule="auto"/>
              <w:rPr>
                <w:sz w:val="20"/>
                <w:szCs w:val="20"/>
              </w:rPr>
            </w:pPr>
            <w:r w:rsidRPr="00CF3FEC">
              <w:rPr>
                <w:b/>
                <w:sz w:val="20"/>
                <w:szCs w:val="20"/>
              </w:rPr>
              <w:sym w:font="Wingdings" w:char="F0E2"/>
            </w:r>
          </w:p>
        </w:tc>
        <w:tc>
          <w:tcPr>
            <w:tcW w:w="99" w:type="pct"/>
            <w:tcBorders>
              <w:bottom w:val="single" w:sz="4" w:space="0" w:color="auto"/>
            </w:tcBorders>
            <w:vAlign w:val="center"/>
          </w:tcPr>
          <w:p w14:paraId="355DF2CE" w14:textId="77777777" w:rsidR="001D561A" w:rsidRPr="00CF3FEC" w:rsidRDefault="001D561A" w:rsidP="00121658">
            <w:pPr>
              <w:spacing w:before="0" w:line="240" w:lineRule="auto"/>
              <w:rPr>
                <w:sz w:val="20"/>
                <w:szCs w:val="20"/>
              </w:rPr>
            </w:pPr>
          </w:p>
        </w:tc>
        <w:tc>
          <w:tcPr>
            <w:tcW w:w="546" w:type="pct"/>
            <w:tcBorders>
              <w:bottom w:val="single" w:sz="4" w:space="0" w:color="auto"/>
            </w:tcBorders>
            <w:vAlign w:val="center"/>
          </w:tcPr>
          <w:p w14:paraId="70388886" w14:textId="77777777" w:rsidR="001D561A" w:rsidRPr="00CF3FEC" w:rsidRDefault="001D561A" w:rsidP="00121658">
            <w:pPr>
              <w:spacing w:before="0" w:line="240" w:lineRule="auto"/>
              <w:rPr>
                <w:sz w:val="20"/>
                <w:szCs w:val="20"/>
              </w:rPr>
            </w:pPr>
            <w:r w:rsidRPr="00CF3FEC">
              <w:rPr>
                <w:b/>
                <w:sz w:val="20"/>
                <w:szCs w:val="20"/>
              </w:rPr>
              <w:sym w:font="Wingdings" w:char="F0E2"/>
            </w:r>
          </w:p>
        </w:tc>
        <w:tc>
          <w:tcPr>
            <w:tcW w:w="99" w:type="pct"/>
          </w:tcPr>
          <w:p w14:paraId="43DA65A8" w14:textId="77777777" w:rsidR="001D561A" w:rsidRPr="00CF3FEC" w:rsidRDefault="001D561A" w:rsidP="00121658">
            <w:pPr>
              <w:spacing w:before="0" w:line="240" w:lineRule="auto"/>
              <w:rPr>
                <w:sz w:val="20"/>
                <w:szCs w:val="20"/>
              </w:rPr>
            </w:pPr>
          </w:p>
        </w:tc>
        <w:tc>
          <w:tcPr>
            <w:tcW w:w="546" w:type="pct"/>
            <w:tcBorders>
              <w:top w:val="single" w:sz="4" w:space="0" w:color="auto"/>
              <w:bottom w:val="single" w:sz="4" w:space="0" w:color="auto"/>
            </w:tcBorders>
            <w:vAlign w:val="center"/>
          </w:tcPr>
          <w:p w14:paraId="2C7AA3F1" w14:textId="77777777" w:rsidR="001D561A" w:rsidRPr="00CF3FEC" w:rsidRDefault="001D561A" w:rsidP="00121658">
            <w:pPr>
              <w:spacing w:before="0" w:line="240" w:lineRule="auto"/>
              <w:rPr>
                <w:sz w:val="20"/>
                <w:szCs w:val="20"/>
              </w:rPr>
            </w:pPr>
            <w:r w:rsidRPr="00CF3FEC">
              <w:rPr>
                <w:b/>
                <w:sz w:val="20"/>
                <w:szCs w:val="20"/>
              </w:rPr>
              <w:sym w:font="Wingdings" w:char="F0E2"/>
            </w:r>
          </w:p>
        </w:tc>
        <w:tc>
          <w:tcPr>
            <w:tcW w:w="99" w:type="pct"/>
            <w:tcBorders>
              <w:bottom w:val="single" w:sz="4" w:space="0" w:color="auto"/>
            </w:tcBorders>
          </w:tcPr>
          <w:p w14:paraId="77F01A15" w14:textId="77777777" w:rsidR="001D561A" w:rsidRPr="00CF3FEC" w:rsidRDefault="001D561A" w:rsidP="00121658">
            <w:pPr>
              <w:spacing w:before="0" w:line="240" w:lineRule="auto"/>
              <w:rPr>
                <w:sz w:val="20"/>
                <w:szCs w:val="20"/>
              </w:rPr>
            </w:pPr>
          </w:p>
        </w:tc>
        <w:tc>
          <w:tcPr>
            <w:tcW w:w="545" w:type="pct"/>
            <w:tcBorders>
              <w:bottom w:val="single" w:sz="4" w:space="0" w:color="auto"/>
            </w:tcBorders>
          </w:tcPr>
          <w:p w14:paraId="5125870C" w14:textId="77777777" w:rsidR="001D561A" w:rsidRPr="00CF3FEC" w:rsidRDefault="001D561A" w:rsidP="00121658">
            <w:pPr>
              <w:spacing w:before="0" w:line="240" w:lineRule="auto"/>
              <w:rPr>
                <w:sz w:val="20"/>
                <w:szCs w:val="20"/>
              </w:rPr>
            </w:pPr>
            <w:r w:rsidRPr="00CF3FEC">
              <w:rPr>
                <w:b/>
                <w:sz w:val="20"/>
                <w:szCs w:val="20"/>
              </w:rPr>
              <w:sym w:font="Wingdings" w:char="F0E2"/>
            </w:r>
          </w:p>
        </w:tc>
      </w:tr>
      <w:tr w:rsidR="001D561A" w:rsidRPr="00CF3FEC" w14:paraId="001F7614" w14:textId="77777777" w:rsidTr="002575FC">
        <w:tc>
          <w:tcPr>
            <w:tcW w:w="534" w:type="pct"/>
            <w:vAlign w:val="center"/>
          </w:tcPr>
          <w:p w14:paraId="40C23C79" w14:textId="77777777" w:rsidR="001D561A" w:rsidRPr="00CF3FEC" w:rsidRDefault="001D561A" w:rsidP="00121658">
            <w:pPr>
              <w:spacing w:before="0" w:line="240" w:lineRule="auto"/>
              <w:rPr>
                <w:sz w:val="20"/>
                <w:szCs w:val="20"/>
              </w:rPr>
            </w:pPr>
          </w:p>
        </w:tc>
        <w:tc>
          <w:tcPr>
            <w:tcW w:w="99" w:type="pct"/>
            <w:vAlign w:val="center"/>
          </w:tcPr>
          <w:p w14:paraId="7696D73A" w14:textId="77777777" w:rsidR="001D561A" w:rsidRPr="00CF3FEC" w:rsidRDefault="001D561A" w:rsidP="00121658">
            <w:pPr>
              <w:spacing w:before="0" w:line="240" w:lineRule="auto"/>
              <w:rPr>
                <w:sz w:val="20"/>
                <w:szCs w:val="20"/>
              </w:rPr>
            </w:pPr>
          </w:p>
        </w:tc>
        <w:tc>
          <w:tcPr>
            <w:tcW w:w="546" w:type="pct"/>
            <w:vAlign w:val="center"/>
          </w:tcPr>
          <w:p w14:paraId="13CBD425" w14:textId="77777777" w:rsidR="001D561A" w:rsidRPr="00CF3FEC" w:rsidRDefault="001D561A" w:rsidP="00121658">
            <w:pPr>
              <w:spacing w:before="0" w:line="240" w:lineRule="auto"/>
              <w:rPr>
                <w:sz w:val="20"/>
                <w:szCs w:val="20"/>
              </w:rPr>
            </w:pPr>
          </w:p>
        </w:tc>
        <w:tc>
          <w:tcPr>
            <w:tcW w:w="99" w:type="pct"/>
            <w:vAlign w:val="center"/>
          </w:tcPr>
          <w:p w14:paraId="0D963D87" w14:textId="77777777" w:rsidR="001D561A" w:rsidRPr="00CF3FEC" w:rsidRDefault="001D561A" w:rsidP="00121658">
            <w:pPr>
              <w:spacing w:before="0" w:line="240" w:lineRule="auto"/>
              <w:rPr>
                <w:sz w:val="20"/>
                <w:szCs w:val="20"/>
              </w:rPr>
            </w:pPr>
          </w:p>
        </w:tc>
        <w:tc>
          <w:tcPr>
            <w:tcW w:w="546" w:type="pct"/>
            <w:vAlign w:val="center"/>
          </w:tcPr>
          <w:p w14:paraId="57C30C5A" w14:textId="77777777" w:rsidR="001D561A" w:rsidRPr="00CF3FEC" w:rsidRDefault="001D561A" w:rsidP="00121658">
            <w:pPr>
              <w:spacing w:before="0" w:line="240" w:lineRule="auto"/>
              <w:rPr>
                <w:sz w:val="20"/>
                <w:szCs w:val="20"/>
              </w:rPr>
            </w:pPr>
          </w:p>
        </w:tc>
        <w:tc>
          <w:tcPr>
            <w:tcW w:w="91" w:type="pct"/>
            <w:tcBorders>
              <w:right w:val="single" w:sz="4" w:space="0" w:color="auto"/>
            </w:tcBorders>
            <w:vAlign w:val="center"/>
          </w:tcPr>
          <w:p w14:paraId="70BDCE41" w14:textId="77777777" w:rsidR="001D561A" w:rsidRPr="00CF3FEC" w:rsidRDefault="001D561A" w:rsidP="00121658">
            <w:pPr>
              <w:spacing w:before="0" w:line="240" w:lineRule="auto"/>
              <w:rPr>
                <w:sz w:val="20"/>
                <w:szCs w:val="20"/>
              </w:rPr>
            </w:pPr>
          </w:p>
        </w:tc>
        <w:tc>
          <w:tcPr>
            <w:tcW w:w="1796" w:type="pct"/>
            <w:gridSpan w:val="5"/>
            <w:tcBorders>
              <w:top w:val="single" w:sz="4" w:space="0" w:color="auto"/>
              <w:left w:val="single" w:sz="4" w:space="0" w:color="auto"/>
              <w:bottom w:val="single" w:sz="4" w:space="0" w:color="auto"/>
              <w:right w:val="single" w:sz="4" w:space="0" w:color="auto"/>
            </w:tcBorders>
            <w:vAlign w:val="center"/>
          </w:tcPr>
          <w:p w14:paraId="3C9E9397" w14:textId="77777777" w:rsidR="001D561A" w:rsidRPr="00011758" w:rsidRDefault="001D561A" w:rsidP="00121658">
            <w:pPr>
              <w:spacing w:before="0" w:line="240" w:lineRule="auto"/>
              <w:rPr>
                <w:sz w:val="20"/>
                <w:szCs w:val="20"/>
              </w:rPr>
            </w:pPr>
            <w:r w:rsidRPr="00011758">
              <w:rPr>
                <w:sz w:val="20"/>
                <w:szCs w:val="20"/>
              </w:rPr>
              <w:t>Therapy goals unmet or clinical worsening on oral monotherapy</w:t>
            </w:r>
            <w:r w:rsidRPr="00011758">
              <w:rPr>
                <w:sz w:val="20"/>
                <w:szCs w:val="20"/>
              </w:rPr>
              <w:br/>
              <w:t xml:space="preserve"> – See </w:t>
            </w:r>
            <w:r w:rsidR="00505D99" w:rsidRPr="00011758">
              <w:rPr>
                <w:sz w:val="20"/>
                <w:szCs w:val="20"/>
              </w:rPr>
              <w:t xml:space="preserve">Table 1.6 </w:t>
            </w:r>
            <w:r w:rsidR="00505D99" w:rsidRPr="00011758">
              <w:rPr>
                <w:sz w:val="20"/>
                <w:szCs w:val="20"/>
              </w:rPr>
              <w:tab/>
              <w:t>PAH pharmacotherapy – patient groups receiving combination therapy</w:t>
            </w:r>
          </w:p>
        </w:tc>
        <w:tc>
          <w:tcPr>
            <w:tcW w:w="99" w:type="pct"/>
            <w:tcBorders>
              <w:left w:val="single" w:sz="4" w:space="0" w:color="auto"/>
              <w:right w:val="single" w:sz="4" w:space="0" w:color="auto"/>
            </w:tcBorders>
          </w:tcPr>
          <w:p w14:paraId="2A90EAFD" w14:textId="77777777" w:rsidR="001D561A" w:rsidRPr="00011758" w:rsidRDefault="001D561A" w:rsidP="00121658">
            <w:pPr>
              <w:spacing w:before="0" w:line="240" w:lineRule="auto"/>
              <w:rPr>
                <w:sz w:val="20"/>
                <w:szCs w:val="20"/>
              </w:rPr>
            </w:pPr>
          </w:p>
        </w:tc>
        <w:tc>
          <w:tcPr>
            <w:tcW w:w="1190" w:type="pct"/>
            <w:gridSpan w:val="3"/>
            <w:tcBorders>
              <w:top w:val="single" w:sz="4" w:space="0" w:color="auto"/>
              <w:left w:val="single" w:sz="4" w:space="0" w:color="auto"/>
              <w:bottom w:val="single" w:sz="4" w:space="0" w:color="auto"/>
              <w:right w:val="single" w:sz="4" w:space="0" w:color="auto"/>
            </w:tcBorders>
            <w:vAlign w:val="center"/>
          </w:tcPr>
          <w:p w14:paraId="1493AB4D" w14:textId="77777777" w:rsidR="001D561A" w:rsidRPr="00011758" w:rsidRDefault="001D561A" w:rsidP="00121658">
            <w:pPr>
              <w:spacing w:before="0" w:line="240" w:lineRule="auto"/>
              <w:rPr>
                <w:sz w:val="20"/>
                <w:szCs w:val="20"/>
              </w:rPr>
            </w:pPr>
            <w:r w:rsidRPr="00011758">
              <w:rPr>
                <w:sz w:val="20"/>
                <w:szCs w:val="20"/>
              </w:rPr>
              <w:t xml:space="preserve">Therapy goals unmet or clinical worsening on prostanoid monotherapy – See </w:t>
            </w:r>
            <w:r w:rsidR="00505D99" w:rsidRPr="00011758">
              <w:rPr>
                <w:sz w:val="20"/>
                <w:szCs w:val="20"/>
              </w:rPr>
              <w:t xml:space="preserve">Table 1.6 </w:t>
            </w:r>
            <w:r w:rsidR="00505D99" w:rsidRPr="00011758">
              <w:rPr>
                <w:sz w:val="20"/>
                <w:szCs w:val="20"/>
              </w:rPr>
              <w:tab/>
              <w:t>PAH pharmacotherapy – patient groups receiving combination therapy</w:t>
            </w:r>
          </w:p>
        </w:tc>
      </w:tr>
    </w:tbl>
    <w:p w14:paraId="52018D38" w14:textId="6C29474C" w:rsidR="001D561A" w:rsidRDefault="001D561A" w:rsidP="00121658">
      <w:pPr>
        <w:pStyle w:val="Tablenote"/>
        <w:spacing w:before="60"/>
        <w:rPr>
          <w:rFonts w:ascii="Arial Narrow" w:hAnsi="Arial Narrow"/>
        </w:rPr>
      </w:pPr>
      <w:r>
        <w:rPr>
          <w:rFonts w:ascii="Arial Narrow" w:hAnsi="Arial Narrow"/>
        </w:rPr>
        <w:t>*If on ambrisentan 5</w:t>
      </w:r>
      <w:r w:rsidR="00067504">
        <w:rPr>
          <w:rFonts w:ascii="Arial Narrow" w:hAnsi="Arial Narrow"/>
        </w:rPr>
        <w:t xml:space="preserve"> mg</w:t>
      </w:r>
      <w:r>
        <w:rPr>
          <w:rFonts w:ascii="Arial Narrow" w:hAnsi="Arial Narrow"/>
        </w:rPr>
        <w:t xml:space="preserve"> with unmet therapy goals only, first increase to 10</w:t>
      </w:r>
      <w:r w:rsidR="00067504">
        <w:rPr>
          <w:rFonts w:ascii="Arial Narrow" w:hAnsi="Arial Narrow"/>
        </w:rPr>
        <w:t xml:space="preserve"> mg</w:t>
      </w:r>
    </w:p>
    <w:p w14:paraId="209380C7" w14:textId="77777777" w:rsidR="001D561A" w:rsidRPr="00CF3FEC" w:rsidRDefault="001D561A" w:rsidP="00121658">
      <w:pPr>
        <w:pStyle w:val="Tablenote"/>
        <w:rPr>
          <w:rFonts w:ascii="Arial Narrow" w:hAnsi="Arial Narrow"/>
        </w:rPr>
      </w:pPr>
      <w:r w:rsidRPr="00CF3FEC">
        <w:rPr>
          <w:rFonts w:ascii="Arial Narrow" w:hAnsi="Arial Narrow"/>
        </w:rPr>
        <w:t xml:space="preserve">Note: Medicines not available in Australia are not included here, thus oral </w:t>
      </w:r>
      <w:r w:rsidR="00517C17">
        <w:rPr>
          <w:rFonts w:ascii="Arial Narrow" w:hAnsi="Arial Narrow"/>
        </w:rPr>
        <w:t>medicine</w:t>
      </w:r>
      <w:r w:rsidRPr="00CF3FEC">
        <w:rPr>
          <w:rFonts w:ascii="Arial Narrow" w:hAnsi="Arial Narrow"/>
        </w:rPr>
        <w:t xml:space="preserve"> only includes ERAs, </w:t>
      </w:r>
      <w:r w:rsidR="00AF191D">
        <w:rPr>
          <w:rFonts w:ascii="Arial Narrow" w:hAnsi="Arial Narrow"/>
        </w:rPr>
        <w:t>PDE</w:t>
      </w:r>
      <w:r w:rsidR="00AF191D">
        <w:rPr>
          <w:rFonts w:ascii="Arial Narrow" w:hAnsi="Arial Narrow"/>
        </w:rPr>
        <w:noBreakHyphen/>
        <w:t>5</w:t>
      </w:r>
      <w:r w:rsidRPr="00CF3FEC">
        <w:rPr>
          <w:rFonts w:ascii="Arial Narrow" w:hAnsi="Arial Narrow"/>
        </w:rPr>
        <w:t xml:space="preserve"> inhibitors and riociguat; prostanoid only includes epoprostenol and iloprost</w:t>
      </w:r>
      <w:r>
        <w:rPr>
          <w:rFonts w:ascii="Arial Narrow" w:hAnsi="Arial Narrow"/>
        </w:rPr>
        <w:t xml:space="preserve">. </w:t>
      </w:r>
    </w:p>
    <w:p w14:paraId="55C01594" w14:textId="77777777" w:rsidR="001D561A" w:rsidRPr="00311927" w:rsidRDefault="001D561A" w:rsidP="00121658">
      <w:pPr>
        <w:pStyle w:val="Tablenote"/>
        <w:spacing w:after="0"/>
        <w:rPr>
          <w:rFonts w:ascii="Arial Narrow" w:hAnsi="Arial Narrow"/>
        </w:rPr>
      </w:pPr>
      <w:r w:rsidRPr="00CF3FEC">
        <w:rPr>
          <w:rFonts w:ascii="Arial Narrow" w:hAnsi="Arial Narrow"/>
        </w:rPr>
        <w:t xml:space="preserve">Source: Guideline </w:t>
      </w:r>
      <w:r w:rsidR="00901B9B">
        <w:rPr>
          <w:rFonts w:ascii="Arial Narrow" w:hAnsi="Arial Narrow"/>
        </w:rPr>
        <w:t>recommendations from sources in Table 1.1.</w:t>
      </w:r>
      <w:r>
        <w:rPr>
          <w:rFonts w:ascii="Arial Narrow" w:hAnsi="Arial Narrow"/>
        </w:rPr>
        <w:t xml:space="preserve"> </w:t>
      </w:r>
      <w:r>
        <w:rPr>
          <w:sz w:val="8"/>
          <w:szCs w:val="16"/>
        </w:rPr>
        <w:br w:type="page"/>
      </w:r>
    </w:p>
    <w:p w14:paraId="4508ACF3" w14:textId="77777777" w:rsidR="001D561A" w:rsidRDefault="00250EDE" w:rsidP="00250EDE">
      <w:pPr>
        <w:pStyle w:val="Caption"/>
        <w:jc w:val="left"/>
      </w:pPr>
      <w:bookmarkStart w:id="154" w:name="_Ref510794857"/>
      <w:bookmarkStart w:id="155" w:name="_Ref508896232"/>
      <w:bookmarkStart w:id="156" w:name="_Toc29377252"/>
      <w:r>
        <w:lastRenderedPageBreak/>
        <w:t>Table 1.</w:t>
      </w:r>
      <w:r w:rsidR="00505D99">
        <w:rPr>
          <w:noProof/>
        </w:rPr>
        <w:t>6</w:t>
      </w:r>
      <w:bookmarkEnd w:id="154"/>
      <w:r w:rsidRPr="00250EDE">
        <w:t xml:space="preserve"> </w:t>
      </w:r>
      <w:r>
        <w:tab/>
        <w:t>PAH pharmacotherapy – patient groups receiving combination therapy</w:t>
      </w:r>
      <w:bookmarkEnd w:id="155"/>
      <w:bookmarkEnd w:id="156"/>
    </w:p>
    <w:tbl>
      <w:tblPr>
        <w:tblStyle w:val="TableGrid"/>
        <w:tblpPr w:leftFromText="72" w:rightFromText="72" w:vertAnchor="text"/>
        <w:tblOverlap w:val="never"/>
        <w:tblW w:w="491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 w:type="dxa"/>
          <w:bottom w:w="11" w:type="dxa"/>
        </w:tblCellMar>
        <w:tblLook w:val="04A0" w:firstRow="1" w:lastRow="0" w:firstColumn="1" w:lastColumn="0" w:noHBand="0" w:noVBand="1"/>
        <w:tblCaption w:val="PAH pharmacotherapy – patient groups receiving combination therapy "/>
      </w:tblPr>
      <w:tblGrid>
        <w:gridCol w:w="1751"/>
        <w:gridCol w:w="283"/>
        <w:gridCol w:w="1701"/>
        <w:gridCol w:w="310"/>
        <w:gridCol w:w="1817"/>
        <w:gridCol w:w="307"/>
        <w:gridCol w:w="1704"/>
        <w:gridCol w:w="283"/>
        <w:gridCol w:w="1534"/>
        <w:gridCol w:w="283"/>
        <w:gridCol w:w="1740"/>
        <w:gridCol w:w="285"/>
        <w:gridCol w:w="1723"/>
      </w:tblGrid>
      <w:tr w:rsidR="006C614A" w:rsidRPr="00CF3FEC" w14:paraId="04E821C9" w14:textId="77777777" w:rsidTr="00103864">
        <w:trPr>
          <w:cnfStyle w:val="100000000000" w:firstRow="1" w:lastRow="0" w:firstColumn="0" w:lastColumn="0" w:oddVBand="0" w:evenVBand="0" w:oddHBand="0" w:evenHBand="0" w:firstRowFirstColumn="0" w:firstRowLastColumn="0" w:lastRowFirstColumn="0" w:lastRowLastColumn="0"/>
        </w:trPr>
        <w:tc>
          <w:tcPr>
            <w:tcW w:w="638" w:type="pct"/>
            <w:tcBorders>
              <w:bottom w:val="single" w:sz="9" w:space="0" w:color="FFC000"/>
            </w:tcBorders>
            <w:shd w:val="clear" w:color="auto" w:fill="FFFFFF" w:themeFill="background1"/>
            <w:vAlign w:val="center"/>
          </w:tcPr>
          <w:p w14:paraId="78DFCC7A" w14:textId="77777777" w:rsidR="002075E2" w:rsidRPr="00CF3FEC" w:rsidRDefault="002075E2" w:rsidP="00121658">
            <w:pPr>
              <w:spacing w:before="0" w:line="240" w:lineRule="auto"/>
              <w:rPr>
                <w:sz w:val="20"/>
                <w:szCs w:val="20"/>
              </w:rPr>
            </w:pPr>
            <w:r w:rsidRPr="00CF3FEC">
              <w:rPr>
                <w:b/>
                <w:color w:val="4F81BD" w:themeColor="accent1"/>
                <w:sz w:val="20"/>
                <w:szCs w:val="20"/>
              </w:rPr>
              <w:t>Treatment naive</w:t>
            </w:r>
          </w:p>
        </w:tc>
        <w:tc>
          <w:tcPr>
            <w:tcW w:w="103" w:type="pct"/>
            <w:shd w:val="clear" w:color="auto" w:fill="FFFFFF" w:themeFill="background1"/>
          </w:tcPr>
          <w:p w14:paraId="3CB45B3B" w14:textId="77777777" w:rsidR="002075E2" w:rsidRPr="00CF3FEC" w:rsidRDefault="002075E2" w:rsidP="00121658">
            <w:pPr>
              <w:spacing w:before="0" w:line="240" w:lineRule="auto"/>
              <w:rPr>
                <w:sz w:val="20"/>
                <w:szCs w:val="20"/>
              </w:rPr>
            </w:pPr>
          </w:p>
        </w:tc>
        <w:tc>
          <w:tcPr>
            <w:tcW w:w="620" w:type="pct"/>
            <w:tcBorders>
              <w:bottom w:val="single" w:sz="9" w:space="0" w:color="FFC000"/>
            </w:tcBorders>
            <w:shd w:val="clear" w:color="auto" w:fill="FFFFFF" w:themeFill="background1"/>
            <w:vAlign w:val="center"/>
          </w:tcPr>
          <w:p w14:paraId="6E1CCA76" w14:textId="77777777" w:rsidR="002075E2" w:rsidRPr="00B67B27" w:rsidRDefault="002075E2" w:rsidP="00121658">
            <w:pPr>
              <w:spacing w:before="0" w:line="240" w:lineRule="auto"/>
              <w:rPr>
                <w:b/>
                <w:color w:val="E36C0A" w:themeColor="accent6" w:themeShade="BF"/>
                <w:sz w:val="20"/>
                <w:szCs w:val="20"/>
              </w:rPr>
            </w:pPr>
            <w:r w:rsidRPr="00B67B27">
              <w:rPr>
                <w:b/>
                <w:color w:val="E36C0A" w:themeColor="accent6" w:themeShade="BF"/>
                <w:sz w:val="20"/>
                <w:szCs w:val="20"/>
              </w:rPr>
              <w:t>Previously treated</w:t>
            </w:r>
          </w:p>
        </w:tc>
        <w:tc>
          <w:tcPr>
            <w:tcW w:w="113" w:type="pct"/>
            <w:tcBorders>
              <w:bottom w:val="single" w:sz="9" w:space="0" w:color="FFC000"/>
            </w:tcBorders>
            <w:shd w:val="clear" w:color="auto" w:fill="FFFFFF" w:themeFill="background1"/>
          </w:tcPr>
          <w:p w14:paraId="618FFD83" w14:textId="77777777" w:rsidR="002075E2" w:rsidRPr="00CF3FEC" w:rsidRDefault="002075E2" w:rsidP="00121658">
            <w:pPr>
              <w:spacing w:before="0" w:line="240" w:lineRule="auto"/>
              <w:rPr>
                <w:sz w:val="20"/>
                <w:szCs w:val="20"/>
              </w:rPr>
            </w:pPr>
          </w:p>
        </w:tc>
        <w:tc>
          <w:tcPr>
            <w:tcW w:w="662" w:type="pct"/>
            <w:tcBorders>
              <w:bottom w:val="single" w:sz="9" w:space="0" w:color="FFC000"/>
            </w:tcBorders>
            <w:shd w:val="clear" w:color="auto" w:fill="FFFFFF" w:themeFill="background1"/>
            <w:vAlign w:val="center"/>
          </w:tcPr>
          <w:p w14:paraId="6BFD731D" w14:textId="77777777" w:rsidR="002075E2" w:rsidRPr="00CF3FEC" w:rsidRDefault="002075E2" w:rsidP="00121658">
            <w:pPr>
              <w:spacing w:before="0" w:line="240" w:lineRule="auto"/>
              <w:rPr>
                <w:sz w:val="20"/>
                <w:szCs w:val="20"/>
              </w:rPr>
            </w:pPr>
            <w:r w:rsidRPr="00B67B27">
              <w:rPr>
                <w:b/>
                <w:color w:val="E36C0A" w:themeColor="accent6" w:themeShade="BF"/>
                <w:sz w:val="20"/>
                <w:szCs w:val="20"/>
              </w:rPr>
              <w:t>Previously treated</w:t>
            </w:r>
          </w:p>
        </w:tc>
        <w:tc>
          <w:tcPr>
            <w:tcW w:w="112" w:type="pct"/>
            <w:shd w:val="clear" w:color="auto" w:fill="FFFFFF" w:themeFill="background1"/>
            <w:vAlign w:val="center"/>
          </w:tcPr>
          <w:p w14:paraId="75360848" w14:textId="77777777" w:rsidR="002075E2" w:rsidRPr="00CF3FEC" w:rsidRDefault="002075E2" w:rsidP="00121658">
            <w:pPr>
              <w:spacing w:before="0" w:line="240" w:lineRule="auto"/>
              <w:rPr>
                <w:sz w:val="20"/>
                <w:szCs w:val="20"/>
              </w:rPr>
            </w:pPr>
          </w:p>
        </w:tc>
        <w:tc>
          <w:tcPr>
            <w:tcW w:w="621" w:type="pct"/>
            <w:tcBorders>
              <w:bottom w:val="single" w:sz="9" w:space="0" w:color="FFC000"/>
            </w:tcBorders>
            <w:shd w:val="clear" w:color="auto" w:fill="FFFFFF" w:themeFill="background1"/>
            <w:vAlign w:val="center"/>
          </w:tcPr>
          <w:p w14:paraId="34E8AFF6" w14:textId="77777777" w:rsidR="002075E2" w:rsidRPr="00CF3FEC" w:rsidRDefault="002075E2" w:rsidP="00121658">
            <w:pPr>
              <w:spacing w:before="0" w:line="240" w:lineRule="auto"/>
              <w:rPr>
                <w:b/>
                <w:color w:val="4F81BD" w:themeColor="accent1"/>
                <w:sz w:val="20"/>
                <w:szCs w:val="20"/>
              </w:rPr>
            </w:pPr>
            <w:r w:rsidRPr="00B67B27">
              <w:rPr>
                <w:b/>
                <w:color w:val="E36C0A" w:themeColor="accent6" w:themeShade="BF"/>
                <w:sz w:val="20"/>
                <w:szCs w:val="20"/>
              </w:rPr>
              <w:t>Previously treated</w:t>
            </w:r>
          </w:p>
        </w:tc>
        <w:tc>
          <w:tcPr>
            <w:tcW w:w="103" w:type="pct"/>
            <w:shd w:val="clear" w:color="auto" w:fill="FFFFFF" w:themeFill="background1"/>
          </w:tcPr>
          <w:p w14:paraId="5DB3494E" w14:textId="77777777" w:rsidR="002075E2" w:rsidRPr="00CF3FEC" w:rsidRDefault="002075E2" w:rsidP="00121658">
            <w:pPr>
              <w:spacing w:before="0" w:line="240" w:lineRule="auto"/>
              <w:rPr>
                <w:b/>
                <w:color w:val="4F81BD" w:themeColor="accent1"/>
                <w:sz w:val="20"/>
                <w:szCs w:val="20"/>
              </w:rPr>
            </w:pPr>
          </w:p>
        </w:tc>
        <w:tc>
          <w:tcPr>
            <w:tcW w:w="559" w:type="pct"/>
            <w:tcBorders>
              <w:bottom w:val="single" w:sz="9" w:space="0" w:color="C00000"/>
            </w:tcBorders>
            <w:shd w:val="clear" w:color="auto" w:fill="FFFFFF" w:themeFill="background1"/>
            <w:vAlign w:val="center"/>
          </w:tcPr>
          <w:p w14:paraId="4210267A" w14:textId="77777777" w:rsidR="002075E2" w:rsidRPr="00CF3FEC" w:rsidRDefault="002075E2" w:rsidP="00121658">
            <w:pPr>
              <w:spacing w:before="0" w:line="240" w:lineRule="auto"/>
              <w:rPr>
                <w:b/>
                <w:color w:val="4F81BD" w:themeColor="accent1"/>
                <w:sz w:val="20"/>
                <w:szCs w:val="20"/>
              </w:rPr>
            </w:pPr>
            <w:r w:rsidRPr="00CF3FEC">
              <w:rPr>
                <w:b/>
                <w:color w:val="4F81BD" w:themeColor="accent1"/>
                <w:sz w:val="20"/>
                <w:szCs w:val="20"/>
              </w:rPr>
              <w:t>Treatment naive</w:t>
            </w:r>
          </w:p>
        </w:tc>
        <w:tc>
          <w:tcPr>
            <w:tcW w:w="103" w:type="pct"/>
            <w:shd w:val="clear" w:color="auto" w:fill="FFFFFF" w:themeFill="background1"/>
            <w:vAlign w:val="center"/>
          </w:tcPr>
          <w:p w14:paraId="00A0FACE" w14:textId="77777777" w:rsidR="002075E2" w:rsidRPr="00CF3FEC" w:rsidRDefault="002075E2" w:rsidP="00121658">
            <w:pPr>
              <w:spacing w:before="0" w:line="240" w:lineRule="auto"/>
              <w:rPr>
                <w:sz w:val="20"/>
                <w:szCs w:val="20"/>
              </w:rPr>
            </w:pPr>
          </w:p>
        </w:tc>
        <w:tc>
          <w:tcPr>
            <w:tcW w:w="634" w:type="pct"/>
            <w:tcBorders>
              <w:bottom w:val="single" w:sz="9" w:space="0" w:color="C00000"/>
            </w:tcBorders>
            <w:shd w:val="clear" w:color="auto" w:fill="FFFFFF" w:themeFill="background1"/>
            <w:vAlign w:val="center"/>
          </w:tcPr>
          <w:p w14:paraId="3AC25434" w14:textId="77777777" w:rsidR="002075E2" w:rsidRPr="00CF3FEC" w:rsidRDefault="002075E2" w:rsidP="00121658">
            <w:pPr>
              <w:spacing w:before="0" w:line="240" w:lineRule="auto"/>
              <w:rPr>
                <w:sz w:val="20"/>
                <w:szCs w:val="20"/>
              </w:rPr>
            </w:pPr>
            <w:r w:rsidRPr="00B67B27">
              <w:rPr>
                <w:b/>
                <w:color w:val="E36C0A" w:themeColor="accent6" w:themeShade="BF"/>
                <w:sz w:val="20"/>
                <w:szCs w:val="20"/>
              </w:rPr>
              <w:t>Previously treated</w:t>
            </w:r>
          </w:p>
        </w:tc>
        <w:tc>
          <w:tcPr>
            <w:tcW w:w="104" w:type="pct"/>
            <w:shd w:val="clear" w:color="auto" w:fill="FFFFFF" w:themeFill="background1"/>
            <w:vAlign w:val="center"/>
          </w:tcPr>
          <w:p w14:paraId="4C251E8A" w14:textId="77777777" w:rsidR="002075E2" w:rsidRPr="00CF3FEC" w:rsidRDefault="002075E2" w:rsidP="00121658">
            <w:pPr>
              <w:spacing w:before="0" w:line="240" w:lineRule="auto"/>
              <w:rPr>
                <w:sz w:val="20"/>
                <w:szCs w:val="20"/>
              </w:rPr>
            </w:pPr>
          </w:p>
        </w:tc>
        <w:tc>
          <w:tcPr>
            <w:tcW w:w="630" w:type="pct"/>
            <w:tcBorders>
              <w:bottom w:val="single" w:sz="9" w:space="0" w:color="C00000"/>
            </w:tcBorders>
            <w:shd w:val="clear" w:color="auto" w:fill="FFFFFF" w:themeFill="background1"/>
            <w:vAlign w:val="center"/>
          </w:tcPr>
          <w:p w14:paraId="47117CA8" w14:textId="77777777" w:rsidR="002075E2" w:rsidRPr="00CF3FEC" w:rsidRDefault="002075E2" w:rsidP="00121658">
            <w:pPr>
              <w:spacing w:before="0" w:line="240" w:lineRule="auto"/>
              <w:rPr>
                <w:b/>
                <w:color w:val="4F81BD" w:themeColor="accent1"/>
                <w:sz w:val="20"/>
                <w:szCs w:val="20"/>
              </w:rPr>
            </w:pPr>
            <w:r w:rsidRPr="00CF3FEC">
              <w:rPr>
                <w:b/>
                <w:color w:val="4F81BD" w:themeColor="accent1"/>
                <w:sz w:val="20"/>
                <w:szCs w:val="20"/>
              </w:rPr>
              <w:t>Treatment naive</w:t>
            </w:r>
          </w:p>
        </w:tc>
      </w:tr>
    </w:tbl>
    <w:tbl>
      <w:tblPr>
        <w:tblStyle w:val="TableGrid"/>
        <w:tblpPr w:leftFromText="180" w:rightFromText="180" w:vertAnchor="text" w:tblpY="1"/>
        <w:tblOverlap w:val="never"/>
        <w:tblW w:w="491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PAH pharmacotherapy – patient groups receiving combination therapy "/>
      </w:tblPr>
      <w:tblGrid>
        <w:gridCol w:w="1744"/>
        <w:gridCol w:w="282"/>
        <w:gridCol w:w="1694"/>
        <w:gridCol w:w="309"/>
        <w:gridCol w:w="1809"/>
        <w:gridCol w:w="306"/>
        <w:gridCol w:w="1697"/>
        <w:gridCol w:w="281"/>
        <w:gridCol w:w="1527"/>
        <w:gridCol w:w="281"/>
        <w:gridCol w:w="1732"/>
        <w:gridCol w:w="284"/>
        <w:gridCol w:w="1689"/>
        <w:gridCol w:w="27"/>
      </w:tblGrid>
      <w:tr w:rsidR="006C614A" w:rsidRPr="00CF3FEC" w14:paraId="0AD9C485" w14:textId="77777777" w:rsidTr="00103864">
        <w:trPr>
          <w:cnfStyle w:val="100000000000" w:firstRow="1" w:lastRow="0" w:firstColumn="0" w:lastColumn="0" w:oddVBand="0" w:evenVBand="0" w:oddHBand="0" w:evenHBand="0" w:firstRowFirstColumn="0" w:firstRowLastColumn="0" w:lastRowFirstColumn="0" w:lastRowLastColumn="0"/>
        </w:trPr>
        <w:tc>
          <w:tcPr>
            <w:tcW w:w="638" w:type="pct"/>
            <w:tcBorders>
              <w:top w:val="single" w:sz="24" w:space="0" w:color="FFC000"/>
              <w:left w:val="single" w:sz="24" w:space="0" w:color="FFC000"/>
              <w:bottom w:val="single" w:sz="24" w:space="0" w:color="FFC000"/>
              <w:right w:val="single" w:sz="24" w:space="0" w:color="FFC000"/>
            </w:tcBorders>
            <w:vAlign w:val="center"/>
          </w:tcPr>
          <w:p w14:paraId="5864CCF2" w14:textId="77777777" w:rsidR="002075E2" w:rsidRPr="00CF3FEC" w:rsidRDefault="002075E2" w:rsidP="00121658">
            <w:pPr>
              <w:spacing w:before="0" w:line="240" w:lineRule="auto"/>
              <w:rPr>
                <w:sz w:val="20"/>
                <w:szCs w:val="20"/>
              </w:rPr>
            </w:pPr>
            <w:r w:rsidRPr="00CF3FEC">
              <w:rPr>
                <w:sz w:val="20"/>
                <w:szCs w:val="20"/>
              </w:rPr>
              <w:t>WHO FC III; intermediate - high risk</w:t>
            </w:r>
          </w:p>
        </w:tc>
        <w:tc>
          <w:tcPr>
            <w:tcW w:w="103" w:type="pct"/>
            <w:tcBorders>
              <w:left w:val="single" w:sz="24" w:space="0" w:color="FFC000"/>
              <w:right w:val="single" w:sz="24" w:space="0" w:color="FFC000"/>
            </w:tcBorders>
          </w:tcPr>
          <w:p w14:paraId="2E175135" w14:textId="77777777" w:rsidR="002075E2" w:rsidRPr="00CF3FEC" w:rsidRDefault="002075E2" w:rsidP="00121658">
            <w:pPr>
              <w:spacing w:before="0" w:line="240" w:lineRule="auto"/>
              <w:rPr>
                <w:sz w:val="20"/>
                <w:szCs w:val="20"/>
              </w:rPr>
            </w:pPr>
          </w:p>
        </w:tc>
        <w:tc>
          <w:tcPr>
            <w:tcW w:w="620" w:type="pct"/>
            <w:tcBorders>
              <w:top w:val="single" w:sz="24" w:space="0" w:color="FFC000"/>
              <w:left w:val="single" w:sz="24" w:space="0" w:color="FFC000"/>
              <w:bottom w:val="single" w:sz="24" w:space="0" w:color="FFC000"/>
            </w:tcBorders>
            <w:vAlign w:val="center"/>
          </w:tcPr>
          <w:p w14:paraId="4F932A4E" w14:textId="77777777" w:rsidR="002075E2" w:rsidRPr="00CF3FEC" w:rsidRDefault="002075E2" w:rsidP="00121658">
            <w:pPr>
              <w:spacing w:before="0" w:line="240" w:lineRule="auto"/>
              <w:rPr>
                <w:sz w:val="20"/>
                <w:szCs w:val="20"/>
              </w:rPr>
            </w:pPr>
            <w:r w:rsidRPr="00CF3FEC">
              <w:rPr>
                <w:sz w:val="20"/>
                <w:szCs w:val="20"/>
              </w:rPr>
              <w:t>WHO FC III</w:t>
            </w:r>
          </w:p>
        </w:tc>
        <w:tc>
          <w:tcPr>
            <w:tcW w:w="113" w:type="pct"/>
            <w:tcBorders>
              <w:top w:val="single" w:sz="24" w:space="0" w:color="FFC000"/>
              <w:bottom w:val="single" w:sz="24" w:space="0" w:color="FFC000"/>
              <w:right w:val="nil"/>
            </w:tcBorders>
          </w:tcPr>
          <w:p w14:paraId="5BCADA2F" w14:textId="77777777" w:rsidR="002075E2" w:rsidRPr="00CF3FEC" w:rsidRDefault="002075E2" w:rsidP="00121658">
            <w:pPr>
              <w:spacing w:before="0" w:line="240" w:lineRule="auto"/>
              <w:rPr>
                <w:sz w:val="20"/>
                <w:szCs w:val="20"/>
              </w:rPr>
            </w:pPr>
          </w:p>
        </w:tc>
        <w:tc>
          <w:tcPr>
            <w:tcW w:w="662" w:type="pct"/>
            <w:tcBorders>
              <w:top w:val="single" w:sz="24" w:space="0" w:color="FFC000"/>
              <w:left w:val="nil"/>
              <w:bottom w:val="single" w:sz="24" w:space="0" w:color="FFC000"/>
              <w:right w:val="single" w:sz="24" w:space="0" w:color="FFC000"/>
            </w:tcBorders>
            <w:vAlign w:val="center"/>
          </w:tcPr>
          <w:p w14:paraId="102133D7" w14:textId="77777777" w:rsidR="002075E2" w:rsidRPr="00CF3FEC" w:rsidRDefault="002075E2" w:rsidP="00121658">
            <w:pPr>
              <w:spacing w:before="0" w:line="240" w:lineRule="auto"/>
              <w:rPr>
                <w:sz w:val="20"/>
                <w:szCs w:val="20"/>
              </w:rPr>
            </w:pPr>
            <w:r w:rsidRPr="00CF3FEC">
              <w:rPr>
                <w:sz w:val="20"/>
                <w:szCs w:val="20"/>
              </w:rPr>
              <w:t>WHO FC III</w:t>
            </w:r>
          </w:p>
        </w:tc>
        <w:tc>
          <w:tcPr>
            <w:tcW w:w="112" w:type="pct"/>
            <w:tcBorders>
              <w:left w:val="single" w:sz="24" w:space="0" w:color="FFC000"/>
              <w:right w:val="single" w:sz="24" w:space="0" w:color="FFC000"/>
            </w:tcBorders>
            <w:vAlign w:val="center"/>
          </w:tcPr>
          <w:p w14:paraId="64CE6EC2" w14:textId="77777777" w:rsidR="002075E2" w:rsidRPr="00CF3FEC" w:rsidRDefault="002075E2" w:rsidP="00121658">
            <w:pPr>
              <w:spacing w:before="0" w:line="240" w:lineRule="auto"/>
              <w:rPr>
                <w:sz w:val="20"/>
                <w:szCs w:val="20"/>
              </w:rPr>
            </w:pPr>
          </w:p>
        </w:tc>
        <w:tc>
          <w:tcPr>
            <w:tcW w:w="621" w:type="pct"/>
            <w:tcBorders>
              <w:top w:val="single" w:sz="24" w:space="0" w:color="FFC000"/>
              <w:left w:val="single" w:sz="24" w:space="0" w:color="FFC000"/>
              <w:bottom w:val="single" w:sz="24" w:space="0" w:color="C00000"/>
              <w:right w:val="single" w:sz="24" w:space="0" w:color="C00000"/>
            </w:tcBorders>
            <w:vAlign w:val="center"/>
          </w:tcPr>
          <w:p w14:paraId="5E7BF665" w14:textId="77777777" w:rsidR="002075E2" w:rsidRPr="00CF3FEC" w:rsidRDefault="002075E2" w:rsidP="00121658">
            <w:pPr>
              <w:spacing w:before="0" w:line="240" w:lineRule="auto"/>
              <w:rPr>
                <w:sz w:val="20"/>
                <w:szCs w:val="20"/>
              </w:rPr>
            </w:pPr>
            <w:r>
              <w:rPr>
                <w:sz w:val="20"/>
                <w:szCs w:val="20"/>
              </w:rPr>
              <w:t>WHO FC III/IV</w:t>
            </w:r>
          </w:p>
        </w:tc>
        <w:tc>
          <w:tcPr>
            <w:tcW w:w="103" w:type="pct"/>
            <w:tcBorders>
              <w:left w:val="single" w:sz="24" w:space="0" w:color="C00000"/>
              <w:right w:val="single" w:sz="24" w:space="0" w:color="C00000"/>
            </w:tcBorders>
          </w:tcPr>
          <w:p w14:paraId="54A86C70" w14:textId="77777777" w:rsidR="002075E2" w:rsidRPr="00CF3FEC" w:rsidRDefault="002075E2" w:rsidP="00121658">
            <w:pPr>
              <w:spacing w:before="0" w:line="240" w:lineRule="auto"/>
              <w:rPr>
                <w:sz w:val="20"/>
                <w:szCs w:val="20"/>
              </w:rPr>
            </w:pPr>
          </w:p>
        </w:tc>
        <w:tc>
          <w:tcPr>
            <w:tcW w:w="559" w:type="pct"/>
            <w:tcBorders>
              <w:top w:val="single" w:sz="24" w:space="0" w:color="C00000"/>
              <w:left w:val="single" w:sz="24" w:space="0" w:color="C00000"/>
              <w:bottom w:val="single" w:sz="24" w:space="0" w:color="C00000"/>
              <w:right w:val="single" w:sz="24" w:space="0" w:color="C00000"/>
            </w:tcBorders>
            <w:vAlign w:val="center"/>
          </w:tcPr>
          <w:p w14:paraId="5C54E62B" w14:textId="77777777" w:rsidR="002075E2" w:rsidRPr="00CF3FEC" w:rsidRDefault="002075E2" w:rsidP="00121658">
            <w:pPr>
              <w:spacing w:before="0" w:line="240" w:lineRule="auto"/>
              <w:rPr>
                <w:sz w:val="20"/>
                <w:szCs w:val="20"/>
              </w:rPr>
            </w:pPr>
            <w:r w:rsidRPr="00CF3FEC">
              <w:rPr>
                <w:sz w:val="20"/>
                <w:szCs w:val="20"/>
              </w:rPr>
              <w:t>WHO FC IV</w:t>
            </w:r>
          </w:p>
        </w:tc>
        <w:tc>
          <w:tcPr>
            <w:tcW w:w="103" w:type="pct"/>
            <w:tcBorders>
              <w:left w:val="single" w:sz="24" w:space="0" w:color="C00000"/>
              <w:right w:val="single" w:sz="24" w:space="0" w:color="C00000"/>
            </w:tcBorders>
            <w:vAlign w:val="center"/>
          </w:tcPr>
          <w:p w14:paraId="400EE586" w14:textId="77777777" w:rsidR="002075E2" w:rsidRPr="00CF3FEC" w:rsidRDefault="002075E2" w:rsidP="00121658">
            <w:pPr>
              <w:spacing w:before="0" w:line="240" w:lineRule="auto"/>
              <w:rPr>
                <w:sz w:val="20"/>
                <w:szCs w:val="20"/>
              </w:rPr>
            </w:pPr>
          </w:p>
        </w:tc>
        <w:tc>
          <w:tcPr>
            <w:tcW w:w="634" w:type="pct"/>
            <w:tcBorders>
              <w:top w:val="single" w:sz="24" w:space="0" w:color="C00000"/>
              <w:left w:val="single" w:sz="24" w:space="0" w:color="C00000"/>
              <w:bottom w:val="single" w:sz="24" w:space="0" w:color="C00000"/>
              <w:right w:val="single" w:sz="24" w:space="0" w:color="C00000"/>
            </w:tcBorders>
            <w:vAlign w:val="center"/>
          </w:tcPr>
          <w:p w14:paraId="168820B8" w14:textId="77777777" w:rsidR="002075E2" w:rsidRPr="00CF3FEC" w:rsidRDefault="002075E2" w:rsidP="00121658">
            <w:pPr>
              <w:spacing w:before="0" w:line="240" w:lineRule="auto"/>
              <w:rPr>
                <w:sz w:val="20"/>
                <w:szCs w:val="20"/>
              </w:rPr>
            </w:pPr>
            <w:r w:rsidRPr="00CF3FEC">
              <w:rPr>
                <w:sz w:val="20"/>
                <w:szCs w:val="20"/>
              </w:rPr>
              <w:t>WHO FC IV</w:t>
            </w:r>
          </w:p>
        </w:tc>
        <w:tc>
          <w:tcPr>
            <w:tcW w:w="104" w:type="pct"/>
            <w:tcBorders>
              <w:left w:val="single" w:sz="24" w:space="0" w:color="C00000"/>
              <w:right w:val="single" w:sz="24" w:space="0" w:color="C00000"/>
            </w:tcBorders>
            <w:vAlign w:val="center"/>
          </w:tcPr>
          <w:p w14:paraId="7F5C00EA" w14:textId="77777777" w:rsidR="002075E2" w:rsidRPr="00CF3FEC" w:rsidRDefault="002075E2" w:rsidP="00121658">
            <w:pPr>
              <w:spacing w:before="0" w:line="240" w:lineRule="auto"/>
              <w:rPr>
                <w:sz w:val="20"/>
                <w:szCs w:val="20"/>
              </w:rPr>
            </w:pPr>
          </w:p>
        </w:tc>
        <w:tc>
          <w:tcPr>
            <w:tcW w:w="630" w:type="pct"/>
            <w:gridSpan w:val="2"/>
            <w:tcBorders>
              <w:top w:val="single" w:sz="24" w:space="0" w:color="C00000"/>
              <w:left w:val="single" w:sz="24" w:space="0" w:color="C00000"/>
              <w:bottom w:val="single" w:sz="24" w:space="0" w:color="C00000"/>
              <w:right w:val="single" w:sz="24" w:space="0" w:color="C00000"/>
            </w:tcBorders>
            <w:vAlign w:val="center"/>
          </w:tcPr>
          <w:p w14:paraId="079C1B8E" w14:textId="77777777" w:rsidR="002075E2" w:rsidRPr="00CF3FEC" w:rsidRDefault="002075E2" w:rsidP="00121658">
            <w:pPr>
              <w:spacing w:before="0" w:line="240" w:lineRule="auto"/>
              <w:rPr>
                <w:sz w:val="20"/>
                <w:szCs w:val="20"/>
              </w:rPr>
            </w:pPr>
            <w:r w:rsidRPr="00CF3FEC">
              <w:rPr>
                <w:sz w:val="20"/>
                <w:szCs w:val="20"/>
              </w:rPr>
              <w:t>WHO FC IV; high risk</w:t>
            </w:r>
          </w:p>
        </w:tc>
      </w:tr>
      <w:tr w:rsidR="002075E2" w:rsidRPr="00CF3FEC" w14:paraId="5E6793E4" w14:textId="77777777" w:rsidTr="002075E2">
        <w:tc>
          <w:tcPr>
            <w:tcW w:w="638" w:type="pct"/>
            <w:tcBorders>
              <w:top w:val="single" w:sz="24" w:space="0" w:color="FFC000"/>
            </w:tcBorders>
          </w:tcPr>
          <w:p w14:paraId="5F54E30E" w14:textId="77777777" w:rsidR="002075E2" w:rsidRPr="00CF3FEC" w:rsidRDefault="002075E2" w:rsidP="00121658">
            <w:pPr>
              <w:spacing w:before="0" w:line="240" w:lineRule="auto"/>
              <w:rPr>
                <w:b/>
                <w:sz w:val="20"/>
                <w:szCs w:val="20"/>
              </w:rPr>
            </w:pPr>
            <w:r w:rsidRPr="00CF3FEC">
              <w:rPr>
                <w:b/>
                <w:sz w:val="20"/>
                <w:szCs w:val="20"/>
              </w:rPr>
              <w:sym w:font="Wingdings" w:char="F0E2"/>
            </w:r>
          </w:p>
        </w:tc>
        <w:tc>
          <w:tcPr>
            <w:tcW w:w="103" w:type="pct"/>
          </w:tcPr>
          <w:p w14:paraId="56976787" w14:textId="77777777" w:rsidR="002075E2" w:rsidRPr="00CF3FEC" w:rsidRDefault="002075E2" w:rsidP="00121658">
            <w:pPr>
              <w:spacing w:before="0" w:line="240" w:lineRule="auto"/>
              <w:rPr>
                <w:b/>
                <w:sz w:val="20"/>
                <w:szCs w:val="20"/>
              </w:rPr>
            </w:pPr>
          </w:p>
        </w:tc>
        <w:tc>
          <w:tcPr>
            <w:tcW w:w="620" w:type="pct"/>
            <w:tcBorders>
              <w:top w:val="single" w:sz="24" w:space="0" w:color="FFC000"/>
              <w:bottom w:val="single" w:sz="4" w:space="0" w:color="auto"/>
            </w:tcBorders>
            <w:vAlign w:val="center"/>
          </w:tcPr>
          <w:p w14:paraId="096B7EE9" w14:textId="77777777" w:rsidR="002075E2" w:rsidRPr="00CF3FEC" w:rsidRDefault="002075E2" w:rsidP="00121658">
            <w:pPr>
              <w:spacing w:before="0" w:line="240" w:lineRule="auto"/>
              <w:rPr>
                <w:b/>
                <w:sz w:val="20"/>
                <w:szCs w:val="20"/>
              </w:rPr>
            </w:pPr>
            <w:r w:rsidRPr="00CF3FEC">
              <w:rPr>
                <w:b/>
                <w:sz w:val="20"/>
                <w:szCs w:val="20"/>
              </w:rPr>
              <w:sym w:font="Wingdings" w:char="F0E2"/>
            </w:r>
          </w:p>
        </w:tc>
        <w:tc>
          <w:tcPr>
            <w:tcW w:w="113" w:type="pct"/>
            <w:tcBorders>
              <w:top w:val="single" w:sz="24" w:space="0" w:color="FFC000"/>
            </w:tcBorders>
          </w:tcPr>
          <w:p w14:paraId="7BF07474" w14:textId="77777777" w:rsidR="002075E2" w:rsidRPr="00CF3FEC" w:rsidRDefault="002075E2" w:rsidP="00121658">
            <w:pPr>
              <w:spacing w:before="0" w:line="240" w:lineRule="auto"/>
              <w:rPr>
                <w:b/>
                <w:sz w:val="20"/>
                <w:szCs w:val="20"/>
              </w:rPr>
            </w:pPr>
          </w:p>
        </w:tc>
        <w:tc>
          <w:tcPr>
            <w:tcW w:w="662" w:type="pct"/>
            <w:tcBorders>
              <w:top w:val="single" w:sz="24" w:space="0" w:color="FFC000"/>
              <w:bottom w:val="single" w:sz="4" w:space="0" w:color="auto"/>
            </w:tcBorders>
            <w:vAlign w:val="center"/>
          </w:tcPr>
          <w:p w14:paraId="52B06EBD" w14:textId="77777777" w:rsidR="002075E2" w:rsidRPr="00CF3FEC" w:rsidRDefault="002075E2" w:rsidP="00121658">
            <w:pPr>
              <w:spacing w:before="0" w:line="240" w:lineRule="auto"/>
              <w:rPr>
                <w:b/>
                <w:sz w:val="20"/>
                <w:szCs w:val="20"/>
              </w:rPr>
            </w:pPr>
            <w:r w:rsidRPr="00CF3FEC">
              <w:rPr>
                <w:b/>
                <w:sz w:val="20"/>
                <w:szCs w:val="20"/>
              </w:rPr>
              <w:sym w:font="Wingdings" w:char="F0E2"/>
            </w:r>
          </w:p>
        </w:tc>
        <w:tc>
          <w:tcPr>
            <w:tcW w:w="112" w:type="pct"/>
            <w:vAlign w:val="center"/>
          </w:tcPr>
          <w:p w14:paraId="55953861" w14:textId="77777777" w:rsidR="002075E2" w:rsidRPr="00CF3FEC" w:rsidRDefault="002075E2" w:rsidP="00121658">
            <w:pPr>
              <w:spacing w:before="0" w:line="240" w:lineRule="auto"/>
              <w:rPr>
                <w:b/>
                <w:sz w:val="20"/>
                <w:szCs w:val="20"/>
              </w:rPr>
            </w:pPr>
          </w:p>
        </w:tc>
        <w:tc>
          <w:tcPr>
            <w:tcW w:w="621" w:type="pct"/>
            <w:tcBorders>
              <w:top w:val="single" w:sz="24" w:space="0" w:color="C00000"/>
              <w:bottom w:val="single" w:sz="4" w:space="0" w:color="auto"/>
            </w:tcBorders>
          </w:tcPr>
          <w:p w14:paraId="58A0B468" w14:textId="77777777" w:rsidR="002075E2" w:rsidRPr="00CF3FEC" w:rsidRDefault="002075E2" w:rsidP="00121658">
            <w:pPr>
              <w:spacing w:before="0" w:line="240" w:lineRule="auto"/>
              <w:rPr>
                <w:b/>
                <w:sz w:val="20"/>
                <w:szCs w:val="20"/>
              </w:rPr>
            </w:pPr>
          </w:p>
        </w:tc>
        <w:tc>
          <w:tcPr>
            <w:tcW w:w="103" w:type="pct"/>
          </w:tcPr>
          <w:p w14:paraId="2835EB73" w14:textId="77777777" w:rsidR="002075E2" w:rsidRPr="00CF3FEC" w:rsidRDefault="002075E2" w:rsidP="00121658">
            <w:pPr>
              <w:spacing w:before="0" w:line="240" w:lineRule="auto"/>
              <w:rPr>
                <w:b/>
                <w:sz w:val="20"/>
                <w:szCs w:val="20"/>
              </w:rPr>
            </w:pPr>
          </w:p>
        </w:tc>
        <w:tc>
          <w:tcPr>
            <w:tcW w:w="559" w:type="pct"/>
            <w:tcBorders>
              <w:top w:val="single" w:sz="24" w:space="0" w:color="C00000"/>
              <w:bottom w:val="single" w:sz="4" w:space="0" w:color="auto"/>
            </w:tcBorders>
          </w:tcPr>
          <w:p w14:paraId="3796634F" w14:textId="77777777" w:rsidR="002075E2" w:rsidRPr="00CF3FEC" w:rsidRDefault="002075E2" w:rsidP="00121658">
            <w:pPr>
              <w:spacing w:before="0" w:line="240" w:lineRule="auto"/>
              <w:rPr>
                <w:b/>
                <w:sz w:val="20"/>
                <w:szCs w:val="20"/>
              </w:rPr>
            </w:pPr>
            <w:r w:rsidRPr="00CF3FEC">
              <w:rPr>
                <w:b/>
                <w:sz w:val="20"/>
                <w:szCs w:val="20"/>
              </w:rPr>
              <w:sym w:font="Wingdings" w:char="F0E2"/>
            </w:r>
          </w:p>
        </w:tc>
        <w:tc>
          <w:tcPr>
            <w:tcW w:w="103" w:type="pct"/>
            <w:vAlign w:val="center"/>
          </w:tcPr>
          <w:p w14:paraId="1F6CA0F2" w14:textId="77777777" w:rsidR="002075E2" w:rsidRPr="00CF3FEC" w:rsidRDefault="002075E2" w:rsidP="00121658">
            <w:pPr>
              <w:spacing w:before="0" w:line="240" w:lineRule="auto"/>
              <w:rPr>
                <w:b/>
                <w:sz w:val="20"/>
                <w:szCs w:val="20"/>
              </w:rPr>
            </w:pPr>
          </w:p>
        </w:tc>
        <w:tc>
          <w:tcPr>
            <w:tcW w:w="634" w:type="pct"/>
            <w:tcBorders>
              <w:top w:val="single" w:sz="24" w:space="0" w:color="C00000"/>
              <w:bottom w:val="single" w:sz="4" w:space="0" w:color="auto"/>
            </w:tcBorders>
            <w:vAlign w:val="center"/>
          </w:tcPr>
          <w:p w14:paraId="25673630" w14:textId="77777777" w:rsidR="002075E2" w:rsidRPr="00CF3FEC" w:rsidRDefault="002075E2" w:rsidP="00121658">
            <w:pPr>
              <w:spacing w:before="0" w:line="240" w:lineRule="auto"/>
              <w:rPr>
                <w:b/>
                <w:sz w:val="20"/>
                <w:szCs w:val="20"/>
              </w:rPr>
            </w:pPr>
            <w:r w:rsidRPr="00CF3FEC">
              <w:rPr>
                <w:b/>
                <w:sz w:val="20"/>
                <w:szCs w:val="20"/>
              </w:rPr>
              <w:sym w:font="Wingdings" w:char="F0E2"/>
            </w:r>
          </w:p>
        </w:tc>
        <w:tc>
          <w:tcPr>
            <w:tcW w:w="104" w:type="pct"/>
            <w:vAlign w:val="center"/>
          </w:tcPr>
          <w:p w14:paraId="039693DA" w14:textId="77777777" w:rsidR="002075E2" w:rsidRPr="00CF3FEC" w:rsidRDefault="002075E2" w:rsidP="00121658">
            <w:pPr>
              <w:spacing w:before="0" w:line="240" w:lineRule="auto"/>
              <w:rPr>
                <w:b/>
                <w:sz w:val="20"/>
                <w:szCs w:val="20"/>
              </w:rPr>
            </w:pPr>
          </w:p>
        </w:tc>
        <w:tc>
          <w:tcPr>
            <w:tcW w:w="630" w:type="pct"/>
            <w:gridSpan w:val="2"/>
            <w:tcBorders>
              <w:top w:val="single" w:sz="24" w:space="0" w:color="C00000"/>
              <w:bottom w:val="single" w:sz="4" w:space="0" w:color="auto"/>
            </w:tcBorders>
            <w:vAlign w:val="center"/>
          </w:tcPr>
          <w:p w14:paraId="42B2BF74" w14:textId="77777777" w:rsidR="002075E2" w:rsidRPr="00CF3FEC" w:rsidRDefault="002075E2" w:rsidP="00121658">
            <w:pPr>
              <w:spacing w:before="0" w:line="240" w:lineRule="auto"/>
              <w:rPr>
                <w:b/>
                <w:sz w:val="20"/>
                <w:szCs w:val="20"/>
              </w:rPr>
            </w:pPr>
            <w:r w:rsidRPr="00CF3FEC">
              <w:rPr>
                <w:b/>
                <w:sz w:val="20"/>
                <w:szCs w:val="20"/>
              </w:rPr>
              <w:sym w:font="Wingdings" w:char="F0E2"/>
            </w:r>
          </w:p>
        </w:tc>
      </w:tr>
      <w:tr w:rsidR="002075E2" w:rsidRPr="00CF3FEC" w14:paraId="3A6A5184" w14:textId="77777777" w:rsidTr="002075E2">
        <w:tc>
          <w:tcPr>
            <w:tcW w:w="638" w:type="pct"/>
            <w:vAlign w:val="center"/>
          </w:tcPr>
          <w:p w14:paraId="46A167FF" w14:textId="77777777" w:rsidR="002075E2" w:rsidRPr="00CF3FEC" w:rsidRDefault="002075E2" w:rsidP="00121658">
            <w:pPr>
              <w:spacing w:before="0" w:line="240" w:lineRule="auto"/>
              <w:rPr>
                <w:sz w:val="20"/>
                <w:szCs w:val="20"/>
              </w:rPr>
            </w:pPr>
            <w:r w:rsidRPr="00CF3FEC">
              <w:rPr>
                <w:b/>
                <w:sz w:val="20"/>
                <w:szCs w:val="20"/>
              </w:rPr>
              <w:sym w:font="Wingdings" w:char="F0E2"/>
            </w:r>
          </w:p>
        </w:tc>
        <w:tc>
          <w:tcPr>
            <w:tcW w:w="103" w:type="pct"/>
            <w:tcBorders>
              <w:right w:val="single" w:sz="4" w:space="0" w:color="auto"/>
            </w:tcBorders>
          </w:tcPr>
          <w:p w14:paraId="391F7721" w14:textId="77777777" w:rsidR="002075E2" w:rsidRPr="00CF3FEC" w:rsidRDefault="002075E2" w:rsidP="00121658">
            <w:pPr>
              <w:spacing w:before="0" w:line="240" w:lineRule="auto"/>
              <w:rPr>
                <w:sz w:val="20"/>
                <w:szCs w:val="20"/>
              </w:rPr>
            </w:pPr>
          </w:p>
        </w:tc>
        <w:tc>
          <w:tcPr>
            <w:tcW w:w="620" w:type="pct"/>
            <w:tcBorders>
              <w:top w:val="single" w:sz="4" w:space="0" w:color="auto"/>
              <w:left w:val="single" w:sz="4" w:space="0" w:color="auto"/>
              <w:bottom w:val="single" w:sz="4" w:space="0" w:color="auto"/>
              <w:right w:val="single" w:sz="4" w:space="0" w:color="auto"/>
            </w:tcBorders>
            <w:vAlign w:val="center"/>
          </w:tcPr>
          <w:p w14:paraId="072A107F" w14:textId="77777777" w:rsidR="002075E2" w:rsidRPr="00CF3FEC" w:rsidRDefault="002075E2" w:rsidP="00121658">
            <w:pPr>
              <w:spacing w:before="0" w:line="240" w:lineRule="auto"/>
              <w:rPr>
                <w:sz w:val="20"/>
                <w:szCs w:val="20"/>
              </w:rPr>
            </w:pPr>
            <w:r w:rsidRPr="00CF3FEC">
              <w:rPr>
                <w:sz w:val="20"/>
                <w:szCs w:val="20"/>
              </w:rPr>
              <w:t xml:space="preserve">Patients stable on oral monotherapy but with unmet therapy goals </w:t>
            </w:r>
          </w:p>
        </w:tc>
        <w:tc>
          <w:tcPr>
            <w:tcW w:w="113" w:type="pct"/>
            <w:tcBorders>
              <w:left w:val="single" w:sz="4" w:space="0" w:color="auto"/>
              <w:right w:val="single" w:sz="4" w:space="0" w:color="auto"/>
            </w:tcBorders>
          </w:tcPr>
          <w:p w14:paraId="73C79400" w14:textId="77777777" w:rsidR="002075E2" w:rsidRPr="00CF3FEC" w:rsidRDefault="002075E2" w:rsidP="00121658">
            <w:pPr>
              <w:spacing w:before="0" w:line="240" w:lineRule="auto"/>
              <w:rPr>
                <w:sz w:val="20"/>
                <w:szCs w:val="20"/>
              </w:rPr>
            </w:pPr>
          </w:p>
        </w:tc>
        <w:tc>
          <w:tcPr>
            <w:tcW w:w="662" w:type="pct"/>
            <w:tcBorders>
              <w:top w:val="single" w:sz="4" w:space="0" w:color="auto"/>
              <w:left w:val="single" w:sz="4" w:space="0" w:color="auto"/>
              <w:bottom w:val="single" w:sz="4" w:space="0" w:color="auto"/>
              <w:right w:val="single" w:sz="4" w:space="0" w:color="auto"/>
            </w:tcBorders>
            <w:vAlign w:val="center"/>
          </w:tcPr>
          <w:p w14:paraId="4A85C939" w14:textId="77777777" w:rsidR="002075E2" w:rsidRPr="00CF3FEC" w:rsidRDefault="002075E2" w:rsidP="00121658">
            <w:pPr>
              <w:spacing w:before="0" w:line="240" w:lineRule="auto"/>
              <w:rPr>
                <w:sz w:val="20"/>
                <w:szCs w:val="20"/>
              </w:rPr>
            </w:pPr>
            <w:r w:rsidRPr="00CF3FEC">
              <w:rPr>
                <w:sz w:val="20"/>
                <w:szCs w:val="20"/>
              </w:rPr>
              <w:t xml:space="preserve">Patients with </w:t>
            </w:r>
            <w:r>
              <w:rPr>
                <w:sz w:val="20"/>
                <w:szCs w:val="20"/>
              </w:rPr>
              <w:t xml:space="preserve">worsening / </w:t>
            </w:r>
            <w:r w:rsidRPr="00CF3FEC">
              <w:rPr>
                <w:sz w:val="20"/>
                <w:szCs w:val="20"/>
              </w:rPr>
              <w:t>progression on oral monotherapy</w:t>
            </w:r>
          </w:p>
        </w:tc>
        <w:tc>
          <w:tcPr>
            <w:tcW w:w="112" w:type="pct"/>
            <w:tcBorders>
              <w:left w:val="single" w:sz="4" w:space="0" w:color="auto"/>
              <w:right w:val="single" w:sz="4" w:space="0" w:color="auto"/>
            </w:tcBorders>
            <w:vAlign w:val="center"/>
          </w:tcPr>
          <w:p w14:paraId="0985680D" w14:textId="77777777" w:rsidR="002075E2" w:rsidRPr="00CF3FEC" w:rsidRDefault="002075E2" w:rsidP="00121658">
            <w:pPr>
              <w:spacing w:before="0" w:line="240" w:lineRule="auto"/>
              <w:rPr>
                <w:sz w:val="20"/>
                <w:szCs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5DF5741E" w14:textId="77777777" w:rsidR="002075E2" w:rsidRPr="00CF3FEC" w:rsidRDefault="002075E2" w:rsidP="00121658">
            <w:pPr>
              <w:spacing w:before="0" w:line="240" w:lineRule="auto"/>
              <w:rPr>
                <w:sz w:val="20"/>
                <w:szCs w:val="20"/>
              </w:rPr>
            </w:pPr>
            <w:r>
              <w:rPr>
                <w:sz w:val="20"/>
                <w:szCs w:val="20"/>
              </w:rPr>
              <w:t>Patients with progression on prostanoid monotherapy</w:t>
            </w:r>
          </w:p>
        </w:tc>
        <w:tc>
          <w:tcPr>
            <w:tcW w:w="103" w:type="pct"/>
            <w:tcBorders>
              <w:left w:val="single" w:sz="4" w:space="0" w:color="auto"/>
              <w:right w:val="single" w:sz="4" w:space="0" w:color="auto"/>
            </w:tcBorders>
          </w:tcPr>
          <w:p w14:paraId="2C7481FC" w14:textId="77777777" w:rsidR="002075E2" w:rsidRPr="00CF3FEC" w:rsidRDefault="002075E2" w:rsidP="00121658">
            <w:pPr>
              <w:spacing w:before="0" w:line="240" w:lineRule="auto"/>
              <w:rPr>
                <w:sz w:val="20"/>
                <w:szCs w:val="20"/>
              </w:rPr>
            </w:pPr>
          </w:p>
        </w:tc>
        <w:tc>
          <w:tcPr>
            <w:tcW w:w="559" w:type="pct"/>
            <w:tcBorders>
              <w:top w:val="single" w:sz="4" w:space="0" w:color="auto"/>
              <w:left w:val="single" w:sz="4" w:space="0" w:color="auto"/>
              <w:bottom w:val="single" w:sz="4" w:space="0" w:color="auto"/>
              <w:right w:val="single" w:sz="4" w:space="0" w:color="auto"/>
            </w:tcBorders>
            <w:vAlign w:val="center"/>
          </w:tcPr>
          <w:p w14:paraId="0CAB6748" w14:textId="77777777" w:rsidR="002075E2" w:rsidRPr="00CF3FEC" w:rsidRDefault="002075E2" w:rsidP="00121658">
            <w:pPr>
              <w:spacing w:before="0" w:line="240" w:lineRule="auto"/>
              <w:rPr>
                <w:sz w:val="20"/>
                <w:szCs w:val="20"/>
              </w:rPr>
            </w:pPr>
            <w:r w:rsidRPr="00CF3FEC">
              <w:rPr>
                <w:sz w:val="20"/>
                <w:szCs w:val="20"/>
              </w:rPr>
              <w:t xml:space="preserve">Patient unwilling to take epoprostenol </w:t>
            </w:r>
          </w:p>
        </w:tc>
        <w:tc>
          <w:tcPr>
            <w:tcW w:w="103" w:type="pct"/>
            <w:tcBorders>
              <w:left w:val="single" w:sz="4" w:space="0" w:color="auto"/>
              <w:right w:val="single" w:sz="4" w:space="0" w:color="auto"/>
            </w:tcBorders>
            <w:vAlign w:val="center"/>
          </w:tcPr>
          <w:p w14:paraId="26A5FA9E" w14:textId="77777777" w:rsidR="002075E2" w:rsidRPr="00CF3FEC" w:rsidRDefault="002075E2" w:rsidP="00121658">
            <w:pPr>
              <w:spacing w:before="0" w:line="240" w:lineRule="auto"/>
              <w:rPr>
                <w:sz w:val="20"/>
                <w:szCs w:val="20"/>
              </w:rPr>
            </w:pPr>
          </w:p>
        </w:tc>
        <w:tc>
          <w:tcPr>
            <w:tcW w:w="634" w:type="pct"/>
            <w:tcBorders>
              <w:top w:val="single" w:sz="4" w:space="0" w:color="auto"/>
              <w:left w:val="single" w:sz="4" w:space="0" w:color="auto"/>
              <w:bottom w:val="single" w:sz="4" w:space="0" w:color="auto"/>
              <w:right w:val="single" w:sz="4" w:space="0" w:color="auto"/>
            </w:tcBorders>
            <w:vAlign w:val="center"/>
          </w:tcPr>
          <w:p w14:paraId="488C417C" w14:textId="77777777" w:rsidR="002075E2" w:rsidRPr="00CF3FEC" w:rsidRDefault="002075E2" w:rsidP="00121658">
            <w:pPr>
              <w:spacing w:before="0" w:line="240" w:lineRule="auto"/>
              <w:rPr>
                <w:sz w:val="20"/>
                <w:szCs w:val="20"/>
              </w:rPr>
            </w:pPr>
            <w:r w:rsidRPr="00CF3FEC">
              <w:rPr>
                <w:sz w:val="20"/>
                <w:szCs w:val="20"/>
              </w:rPr>
              <w:t>Patients with progression on dual therapy</w:t>
            </w:r>
          </w:p>
        </w:tc>
        <w:tc>
          <w:tcPr>
            <w:tcW w:w="104" w:type="pct"/>
            <w:tcBorders>
              <w:left w:val="single" w:sz="4" w:space="0" w:color="auto"/>
              <w:right w:val="single" w:sz="4" w:space="0" w:color="auto"/>
            </w:tcBorders>
            <w:vAlign w:val="center"/>
          </w:tcPr>
          <w:p w14:paraId="47B913D4" w14:textId="77777777" w:rsidR="002075E2" w:rsidRPr="00CF3FEC" w:rsidRDefault="002075E2" w:rsidP="00121658">
            <w:pPr>
              <w:spacing w:before="0" w:line="240" w:lineRule="auto"/>
              <w:rPr>
                <w:sz w:val="20"/>
                <w:szCs w:val="20"/>
              </w:rPr>
            </w:pP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223A876E" w14:textId="77777777" w:rsidR="002075E2" w:rsidRPr="00CF3FEC" w:rsidRDefault="002075E2" w:rsidP="00121658">
            <w:pPr>
              <w:spacing w:before="0" w:line="240" w:lineRule="auto"/>
              <w:rPr>
                <w:sz w:val="20"/>
                <w:szCs w:val="20"/>
              </w:rPr>
            </w:pPr>
            <w:r w:rsidRPr="00CF3FEC">
              <w:rPr>
                <w:sz w:val="20"/>
                <w:szCs w:val="20"/>
              </w:rPr>
              <w:t>Features of right heart failure</w:t>
            </w:r>
          </w:p>
        </w:tc>
      </w:tr>
      <w:tr w:rsidR="002075E2" w:rsidRPr="00CF3FEC" w14:paraId="5B3BB6B4" w14:textId="77777777" w:rsidTr="002075E2">
        <w:tc>
          <w:tcPr>
            <w:tcW w:w="638" w:type="pct"/>
            <w:vAlign w:val="center"/>
          </w:tcPr>
          <w:p w14:paraId="1BC60488" w14:textId="77777777" w:rsidR="002075E2" w:rsidRPr="00CF3FEC" w:rsidRDefault="002075E2" w:rsidP="00121658">
            <w:pPr>
              <w:spacing w:before="0" w:line="240" w:lineRule="auto"/>
              <w:rPr>
                <w:b/>
                <w:sz w:val="20"/>
                <w:szCs w:val="20"/>
              </w:rPr>
            </w:pPr>
            <w:r w:rsidRPr="00CF3FEC">
              <w:rPr>
                <w:b/>
                <w:sz w:val="20"/>
                <w:szCs w:val="20"/>
              </w:rPr>
              <w:sym w:font="Wingdings" w:char="F0E2"/>
            </w:r>
          </w:p>
        </w:tc>
        <w:tc>
          <w:tcPr>
            <w:tcW w:w="103" w:type="pct"/>
          </w:tcPr>
          <w:p w14:paraId="16A88523" w14:textId="77777777" w:rsidR="002075E2" w:rsidRPr="00CF3FEC" w:rsidRDefault="002075E2" w:rsidP="00121658">
            <w:pPr>
              <w:spacing w:before="0" w:line="240" w:lineRule="auto"/>
              <w:rPr>
                <w:b/>
                <w:sz w:val="20"/>
                <w:szCs w:val="20"/>
              </w:rPr>
            </w:pPr>
          </w:p>
        </w:tc>
        <w:tc>
          <w:tcPr>
            <w:tcW w:w="620" w:type="pct"/>
            <w:tcBorders>
              <w:top w:val="single" w:sz="4" w:space="0" w:color="auto"/>
            </w:tcBorders>
            <w:vAlign w:val="center"/>
          </w:tcPr>
          <w:p w14:paraId="5A085E3D" w14:textId="77777777" w:rsidR="002075E2" w:rsidRPr="00CF3FEC" w:rsidRDefault="002075E2" w:rsidP="00121658">
            <w:pPr>
              <w:spacing w:before="0" w:line="240" w:lineRule="auto"/>
              <w:rPr>
                <w:b/>
                <w:sz w:val="20"/>
                <w:szCs w:val="20"/>
              </w:rPr>
            </w:pPr>
            <w:r w:rsidRPr="00CF3FEC">
              <w:rPr>
                <w:b/>
                <w:sz w:val="20"/>
                <w:szCs w:val="20"/>
              </w:rPr>
              <w:sym w:font="Wingdings" w:char="F0E2"/>
            </w:r>
          </w:p>
        </w:tc>
        <w:tc>
          <w:tcPr>
            <w:tcW w:w="113" w:type="pct"/>
          </w:tcPr>
          <w:p w14:paraId="0E1431CA" w14:textId="77777777" w:rsidR="002075E2" w:rsidRPr="00CF3FEC" w:rsidRDefault="002075E2" w:rsidP="00121658">
            <w:pPr>
              <w:spacing w:before="0" w:line="240" w:lineRule="auto"/>
              <w:rPr>
                <w:b/>
                <w:sz w:val="20"/>
                <w:szCs w:val="20"/>
              </w:rPr>
            </w:pPr>
          </w:p>
        </w:tc>
        <w:tc>
          <w:tcPr>
            <w:tcW w:w="662" w:type="pct"/>
            <w:tcBorders>
              <w:top w:val="single" w:sz="4" w:space="0" w:color="auto"/>
            </w:tcBorders>
            <w:vAlign w:val="center"/>
          </w:tcPr>
          <w:p w14:paraId="37C6CDE0" w14:textId="77777777" w:rsidR="002075E2" w:rsidRPr="00CF3FEC" w:rsidRDefault="002075E2" w:rsidP="00121658">
            <w:pPr>
              <w:spacing w:before="0" w:line="240" w:lineRule="auto"/>
              <w:rPr>
                <w:b/>
                <w:sz w:val="20"/>
                <w:szCs w:val="20"/>
              </w:rPr>
            </w:pPr>
            <w:r w:rsidRPr="00CF3FEC">
              <w:rPr>
                <w:b/>
                <w:sz w:val="20"/>
                <w:szCs w:val="20"/>
              </w:rPr>
              <w:sym w:font="Wingdings" w:char="F0E2"/>
            </w:r>
          </w:p>
        </w:tc>
        <w:tc>
          <w:tcPr>
            <w:tcW w:w="112" w:type="pct"/>
            <w:vAlign w:val="center"/>
          </w:tcPr>
          <w:p w14:paraId="60D4ECC1" w14:textId="77777777" w:rsidR="002075E2" w:rsidRPr="00CF3FEC" w:rsidRDefault="002075E2" w:rsidP="00121658">
            <w:pPr>
              <w:spacing w:before="0" w:line="240" w:lineRule="auto"/>
              <w:rPr>
                <w:b/>
                <w:sz w:val="20"/>
                <w:szCs w:val="20"/>
              </w:rPr>
            </w:pPr>
          </w:p>
        </w:tc>
        <w:tc>
          <w:tcPr>
            <w:tcW w:w="621" w:type="pct"/>
            <w:tcBorders>
              <w:top w:val="single" w:sz="4" w:space="0" w:color="auto"/>
            </w:tcBorders>
            <w:vAlign w:val="center"/>
          </w:tcPr>
          <w:p w14:paraId="638B94E8" w14:textId="77777777" w:rsidR="002075E2" w:rsidRPr="00CF3FEC" w:rsidRDefault="002075E2" w:rsidP="00121658">
            <w:pPr>
              <w:spacing w:before="0" w:line="240" w:lineRule="auto"/>
              <w:rPr>
                <w:b/>
                <w:sz w:val="20"/>
                <w:szCs w:val="20"/>
              </w:rPr>
            </w:pPr>
            <w:r w:rsidRPr="00CF3FEC">
              <w:rPr>
                <w:b/>
                <w:sz w:val="20"/>
                <w:szCs w:val="20"/>
              </w:rPr>
              <w:sym w:font="Wingdings" w:char="F0E2"/>
            </w:r>
          </w:p>
        </w:tc>
        <w:tc>
          <w:tcPr>
            <w:tcW w:w="103" w:type="pct"/>
          </w:tcPr>
          <w:p w14:paraId="7CDC7E97" w14:textId="77777777" w:rsidR="002075E2" w:rsidRPr="00CF3FEC" w:rsidRDefault="002075E2" w:rsidP="00121658">
            <w:pPr>
              <w:spacing w:before="0" w:line="240" w:lineRule="auto"/>
              <w:rPr>
                <w:b/>
                <w:sz w:val="20"/>
                <w:szCs w:val="20"/>
              </w:rPr>
            </w:pPr>
          </w:p>
        </w:tc>
        <w:tc>
          <w:tcPr>
            <w:tcW w:w="559" w:type="pct"/>
            <w:tcBorders>
              <w:top w:val="single" w:sz="4" w:space="0" w:color="auto"/>
              <w:bottom w:val="single" w:sz="4" w:space="0" w:color="auto"/>
            </w:tcBorders>
          </w:tcPr>
          <w:p w14:paraId="31F15FCA" w14:textId="77777777" w:rsidR="002075E2" w:rsidRPr="00CF3FEC" w:rsidRDefault="002075E2" w:rsidP="00121658">
            <w:pPr>
              <w:spacing w:before="0" w:line="240" w:lineRule="auto"/>
              <w:rPr>
                <w:b/>
                <w:sz w:val="20"/>
                <w:szCs w:val="20"/>
              </w:rPr>
            </w:pPr>
            <w:r w:rsidRPr="00CF3FEC">
              <w:rPr>
                <w:b/>
                <w:sz w:val="20"/>
                <w:szCs w:val="20"/>
              </w:rPr>
              <w:t>OR</w:t>
            </w:r>
          </w:p>
        </w:tc>
        <w:tc>
          <w:tcPr>
            <w:tcW w:w="103" w:type="pct"/>
            <w:vAlign w:val="center"/>
          </w:tcPr>
          <w:p w14:paraId="13F4A8D2" w14:textId="77777777" w:rsidR="002075E2" w:rsidRPr="00CF3FEC" w:rsidRDefault="002075E2" w:rsidP="00121658">
            <w:pPr>
              <w:spacing w:before="0" w:line="240" w:lineRule="auto"/>
              <w:rPr>
                <w:b/>
                <w:sz w:val="20"/>
                <w:szCs w:val="20"/>
              </w:rPr>
            </w:pPr>
          </w:p>
        </w:tc>
        <w:tc>
          <w:tcPr>
            <w:tcW w:w="634" w:type="pct"/>
            <w:tcBorders>
              <w:top w:val="single" w:sz="4" w:space="0" w:color="auto"/>
            </w:tcBorders>
            <w:vAlign w:val="center"/>
          </w:tcPr>
          <w:p w14:paraId="2BFD2B00" w14:textId="77777777" w:rsidR="002075E2" w:rsidRPr="00CF3FEC" w:rsidRDefault="002075E2" w:rsidP="00121658">
            <w:pPr>
              <w:spacing w:before="0" w:line="240" w:lineRule="auto"/>
              <w:rPr>
                <w:b/>
                <w:sz w:val="20"/>
                <w:szCs w:val="20"/>
              </w:rPr>
            </w:pPr>
            <w:r w:rsidRPr="00CF3FEC">
              <w:rPr>
                <w:b/>
                <w:sz w:val="20"/>
                <w:szCs w:val="20"/>
              </w:rPr>
              <w:sym w:font="Wingdings" w:char="F0E2"/>
            </w:r>
          </w:p>
        </w:tc>
        <w:tc>
          <w:tcPr>
            <w:tcW w:w="104" w:type="pct"/>
            <w:vAlign w:val="center"/>
          </w:tcPr>
          <w:p w14:paraId="2A676702" w14:textId="77777777" w:rsidR="002075E2" w:rsidRPr="00CF3FEC" w:rsidRDefault="002075E2" w:rsidP="00121658">
            <w:pPr>
              <w:spacing w:before="0" w:line="240" w:lineRule="auto"/>
              <w:rPr>
                <w:b/>
                <w:sz w:val="20"/>
                <w:szCs w:val="20"/>
              </w:rPr>
            </w:pPr>
          </w:p>
        </w:tc>
        <w:tc>
          <w:tcPr>
            <w:tcW w:w="630" w:type="pct"/>
            <w:gridSpan w:val="2"/>
            <w:tcBorders>
              <w:top w:val="single" w:sz="4" w:space="0" w:color="auto"/>
            </w:tcBorders>
            <w:vAlign w:val="center"/>
          </w:tcPr>
          <w:p w14:paraId="5BE7808E" w14:textId="77777777" w:rsidR="002075E2" w:rsidRPr="00CF3FEC" w:rsidRDefault="002075E2" w:rsidP="00121658">
            <w:pPr>
              <w:spacing w:before="0" w:line="240" w:lineRule="auto"/>
              <w:rPr>
                <w:b/>
                <w:sz w:val="20"/>
                <w:szCs w:val="20"/>
              </w:rPr>
            </w:pPr>
            <w:r w:rsidRPr="00CF3FEC">
              <w:rPr>
                <w:b/>
                <w:sz w:val="20"/>
                <w:szCs w:val="20"/>
              </w:rPr>
              <w:sym w:font="Wingdings" w:char="F0E2"/>
            </w:r>
          </w:p>
        </w:tc>
      </w:tr>
      <w:tr w:rsidR="002075E2" w:rsidRPr="00CF3FEC" w14:paraId="70E19916" w14:textId="77777777" w:rsidTr="002075E2">
        <w:tc>
          <w:tcPr>
            <w:tcW w:w="638" w:type="pct"/>
            <w:vAlign w:val="center"/>
          </w:tcPr>
          <w:p w14:paraId="1CDCFF8B" w14:textId="77777777" w:rsidR="002075E2" w:rsidRPr="00CF3FEC" w:rsidRDefault="002075E2" w:rsidP="00121658">
            <w:pPr>
              <w:spacing w:before="0" w:line="240" w:lineRule="auto"/>
              <w:rPr>
                <w:sz w:val="20"/>
                <w:szCs w:val="20"/>
              </w:rPr>
            </w:pPr>
          </w:p>
        </w:tc>
        <w:tc>
          <w:tcPr>
            <w:tcW w:w="103" w:type="pct"/>
          </w:tcPr>
          <w:p w14:paraId="65443D67" w14:textId="77777777" w:rsidR="002075E2" w:rsidRPr="00CF3FEC" w:rsidRDefault="002075E2" w:rsidP="00121658">
            <w:pPr>
              <w:spacing w:before="0" w:line="240" w:lineRule="auto"/>
              <w:rPr>
                <w:sz w:val="20"/>
                <w:szCs w:val="20"/>
              </w:rPr>
            </w:pPr>
          </w:p>
        </w:tc>
        <w:tc>
          <w:tcPr>
            <w:tcW w:w="620" w:type="pct"/>
            <w:vAlign w:val="center"/>
          </w:tcPr>
          <w:p w14:paraId="05F48452" w14:textId="77777777" w:rsidR="002075E2" w:rsidRPr="00CF3FEC" w:rsidRDefault="002075E2" w:rsidP="00121658">
            <w:pPr>
              <w:spacing w:before="0" w:line="240" w:lineRule="auto"/>
              <w:rPr>
                <w:sz w:val="20"/>
                <w:szCs w:val="20"/>
              </w:rPr>
            </w:pPr>
          </w:p>
        </w:tc>
        <w:tc>
          <w:tcPr>
            <w:tcW w:w="113" w:type="pct"/>
          </w:tcPr>
          <w:p w14:paraId="1084E07C" w14:textId="77777777" w:rsidR="002075E2" w:rsidRPr="00CF3FEC" w:rsidRDefault="002075E2" w:rsidP="00121658">
            <w:pPr>
              <w:spacing w:before="0" w:line="240" w:lineRule="auto"/>
              <w:rPr>
                <w:sz w:val="20"/>
                <w:szCs w:val="20"/>
              </w:rPr>
            </w:pPr>
          </w:p>
        </w:tc>
        <w:tc>
          <w:tcPr>
            <w:tcW w:w="662" w:type="pct"/>
            <w:vAlign w:val="center"/>
          </w:tcPr>
          <w:p w14:paraId="54A4AC58" w14:textId="77777777" w:rsidR="002075E2" w:rsidRPr="00CF3FEC" w:rsidRDefault="002075E2" w:rsidP="00121658">
            <w:pPr>
              <w:spacing w:before="0" w:line="240" w:lineRule="auto"/>
              <w:rPr>
                <w:sz w:val="20"/>
                <w:szCs w:val="20"/>
              </w:rPr>
            </w:pPr>
          </w:p>
        </w:tc>
        <w:tc>
          <w:tcPr>
            <w:tcW w:w="112" w:type="pct"/>
            <w:tcBorders>
              <w:left w:val="nil"/>
            </w:tcBorders>
            <w:vAlign w:val="center"/>
          </w:tcPr>
          <w:p w14:paraId="4C7487C1" w14:textId="77777777" w:rsidR="002075E2" w:rsidRPr="00CF3FEC" w:rsidRDefault="002075E2" w:rsidP="00121658">
            <w:pPr>
              <w:spacing w:before="0" w:line="240" w:lineRule="auto"/>
              <w:rPr>
                <w:sz w:val="20"/>
                <w:szCs w:val="20"/>
              </w:rPr>
            </w:pPr>
          </w:p>
        </w:tc>
        <w:tc>
          <w:tcPr>
            <w:tcW w:w="621" w:type="pct"/>
            <w:vAlign w:val="center"/>
          </w:tcPr>
          <w:p w14:paraId="2D88E483" w14:textId="77777777" w:rsidR="002075E2" w:rsidRPr="00CF3FEC" w:rsidRDefault="002075E2" w:rsidP="00121658">
            <w:pPr>
              <w:spacing w:before="0" w:line="240" w:lineRule="auto"/>
              <w:rPr>
                <w:sz w:val="20"/>
                <w:szCs w:val="20"/>
              </w:rPr>
            </w:pPr>
          </w:p>
        </w:tc>
        <w:tc>
          <w:tcPr>
            <w:tcW w:w="103" w:type="pct"/>
            <w:tcBorders>
              <w:left w:val="nil"/>
              <w:right w:val="single" w:sz="4" w:space="0" w:color="auto"/>
            </w:tcBorders>
          </w:tcPr>
          <w:p w14:paraId="77B3308E" w14:textId="77777777" w:rsidR="002075E2" w:rsidRPr="00CF3FEC" w:rsidRDefault="002075E2" w:rsidP="00121658">
            <w:pPr>
              <w:spacing w:before="0" w:line="240" w:lineRule="auto"/>
              <w:rPr>
                <w:sz w:val="20"/>
                <w:szCs w:val="20"/>
              </w:rPr>
            </w:pPr>
          </w:p>
        </w:tc>
        <w:tc>
          <w:tcPr>
            <w:tcW w:w="559" w:type="pct"/>
            <w:tcBorders>
              <w:top w:val="single" w:sz="4" w:space="0" w:color="auto"/>
              <w:left w:val="single" w:sz="4" w:space="0" w:color="auto"/>
              <w:bottom w:val="single" w:sz="4" w:space="0" w:color="auto"/>
              <w:right w:val="single" w:sz="4" w:space="0" w:color="auto"/>
            </w:tcBorders>
            <w:vAlign w:val="center"/>
          </w:tcPr>
          <w:p w14:paraId="305AB5EB" w14:textId="77777777" w:rsidR="002075E2" w:rsidRPr="00CF3FEC" w:rsidRDefault="002075E2" w:rsidP="00121658">
            <w:pPr>
              <w:spacing w:before="0" w:line="240" w:lineRule="auto"/>
              <w:rPr>
                <w:sz w:val="20"/>
                <w:szCs w:val="20"/>
              </w:rPr>
            </w:pPr>
            <w:r w:rsidRPr="00CF3FEC">
              <w:rPr>
                <w:sz w:val="20"/>
                <w:szCs w:val="20"/>
              </w:rPr>
              <w:t>Patient unsuitable for epoprostenol</w:t>
            </w:r>
          </w:p>
        </w:tc>
        <w:tc>
          <w:tcPr>
            <w:tcW w:w="103" w:type="pct"/>
            <w:tcBorders>
              <w:left w:val="single" w:sz="4" w:space="0" w:color="auto"/>
            </w:tcBorders>
            <w:vAlign w:val="center"/>
          </w:tcPr>
          <w:p w14:paraId="2301B571" w14:textId="77777777" w:rsidR="002075E2" w:rsidRPr="00CF3FEC" w:rsidRDefault="002075E2" w:rsidP="00121658">
            <w:pPr>
              <w:spacing w:before="0" w:line="240" w:lineRule="auto"/>
              <w:rPr>
                <w:sz w:val="20"/>
                <w:szCs w:val="20"/>
              </w:rPr>
            </w:pPr>
          </w:p>
        </w:tc>
        <w:tc>
          <w:tcPr>
            <w:tcW w:w="634" w:type="pct"/>
            <w:vAlign w:val="center"/>
          </w:tcPr>
          <w:p w14:paraId="139A64F4" w14:textId="77777777" w:rsidR="002075E2" w:rsidRPr="00CF3FEC" w:rsidRDefault="002075E2" w:rsidP="00121658">
            <w:pPr>
              <w:spacing w:before="0" w:line="240" w:lineRule="auto"/>
              <w:rPr>
                <w:sz w:val="20"/>
                <w:szCs w:val="20"/>
              </w:rPr>
            </w:pPr>
          </w:p>
        </w:tc>
        <w:tc>
          <w:tcPr>
            <w:tcW w:w="104" w:type="pct"/>
            <w:tcBorders>
              <w:left w:val="nil"/>
            </w:tcBorders>
            <w:vAlign w:val="center"/>
          </w:tcPr>
          <w:p w14:paraId="251FA142" w14:textId="77777777" w:rsidR="002075E2" w:rsidRPr="00CF3FEC" w:rsidRDefault="002075E2" w:rsidP="00121658">
            <w:pPr>
              <w:spacing w:before="0" w:line="240" w:lineRule="auto"/>
              <w:rPr>
                <w:sz w:val="20"/>
                <w:szCs w:val="20"/>
              </w:rPr>
            </w:pPr>
          </w:p>
        </w:tc>
        <w:tc>
          <w:tcPr>
            <w:tcW w:w="630" w:type="pct"/>
            <w:gridSpan w:val="2"/>
            <w:vAlign w:val="center"/>
          </w:tcPr>
          <w:p w14:paraId="497A38CB" w14:textId="77777777" w:rsidR="002075E2" w:rsidRPr="00CF3FEC" w:rsidRDefault="002075E2" w:rsidP="00121658">
            <w:pPr>
              <w:spacing w:before="0" w:line="240" w:lineRule="auto"/>
              <w:rPr>
                <w:sz w:val="20"/>
                <w:szCs w:val="20"/>
              </w:rPr>
            </w:pPr>
          </w:p>
        </w:tc>
      </w:tr>
      <w:tr w:rsidR="002075E2" w:rsidRPr="00CF3FEC" w14:paraId="02E8227D" w14:textId="77777777" w:rsidTr="002075E2">
        <w:tc>
          <w:tcPr>
            <w:tcW w:w="638" w:type="pct"/>
            <w:tcBorders>
              <w:bottom w:val="single" w:sz="4" w:space="0" w:color="auto"/>
            </w:tcBorders>
            <w:vAlign w:val="center"/>
          </w:tcPr>
          <w:p w14:paraId="19BADCED" w14:textId="77777777" w:rsidR="002075E2" w:rsidRPr="00CF3FEC" w:rsidRDefault="002075E2" w:rsidP="00121658">
            <w:pPr>
              <w:spacing w:before="0" w:line="240" w:lineRule="auto"/>
              <w:rPr>
                <w:sz w:val="20"/>
                <w:szCs w:val="20"/>
              </w:rPr>
            </w:pPr>
            <w:r w:rsidRPr="00CF3FEC">
              <w:rPr>
                <w:b/>
                <w:sz w:val="20"/>
                <w:szCs w:val="20"/>
              </w:rPr>
              <w:sym w:font="Wingdings" w:char="F0E2"/>
            </w:r>
          </w:p>
        </w:tc>
        <w:tc>
          <w:tcPr>
            <w:tcW w:w="103" w:type="pct"/>
          </w:tcPr>
          <w:p w14:paraId="30BA345C" w14:textId="77777777" w:rsidR="002075E2" w:rsidRPr="00CF3FEC" w:rsidRDefault="002075E2" w:rsidP="00121658">
            <w:pPr>
              <w:spacing w:before="0" w:line="240" w:lineRule="auto"/>
              <w:rPr>
                <w:sz w:val="20"/>
                <w:szCs w:val="20"/>
              </w:rPr>
            </w:pPr>
          </w:p>
        </w:tc>
        <w:tc>
          <w:tcPr>
            <w:tcW w:w="620" w:type="pct"/>
            <w:tcBorders>
              <w:bottom w:val="single" w:sz="4" w:space="0" w:color="auto"/>
            </w:tcBorders>
            <w:vAlign w:val="center"/>
          </w:tcPr>
          <w:p w14:paraId="7277731A" w14:textId="77777777" w:rsidR="002075E2" w:rsidRPr="00CF3FEC" w:rsidRDefault="002075E2" w:rsidP="00121658">
            <w:pPr>
              <w:spacing w:before="0" w:line="240" w:lineRule="auto"/>
              <w:rPr>
                <w:sz w:val="20"/>
                <w:szCs w:val="20"/>
              </w:rPr>
            </w:pPr>
            <w:r w:rsidRPr="00CF3FEC">
              <w:rPr>
                <w:b/>
                <w:sz w:val="20"/>
                <w:szCs w:val="20"/>
              </w:rPr>
              <w:sym w:font="Wingdings" w:char="F0E2"/>
            </w:r>
          </w:p>
        </w:tc>
        <w:tc>
          <w:tcPr>
            <w:tcW w:w="113" w:type="pct"/>
            <w:vAlign w:val="center"/>
          </w:tcPr>
          <w:p w14:paraId="6B87A9CC" w14:textId="77777777" w:rsidR="002075E2" w:rsidRPr="00CF3FEC" w:rsidRDefault="002075E2" w:rsidP="00121658">
            <w:pPr>
              <w:spacing w:before="0" w:line="240" w:lineRule="auto"/>
              <w:rPr>
                <w:sz w:val="20"/>
                <w:szCs w:val="20"/>
              </w:rPr>
            </w:pPr>
          </w:p>
        </w:tc>
        <w:tc>
          <w:tcPr>
            <w:tcW w:w="662" w:type="pct"/>
            <w:tcBorders>
              <w:bottom w:val="single" w:sz="4" w:space="0" w:color="auto"/>
            </w:tcBorders>
            <w:vAlign w:val="center"/>
          </w:tcPr>
          <w:p w14:paraId="4E89F2F7" w14:textId="77777777" w:rsidR="002075E2" w:rsidRPr="00CF3FEC" w:rsidRDefault="002075E2" w:rsidP="00121658">
            <w:pPr>
              <w:spacing w:before="0" w:line="240" w:lineRule="auto"/>
              <w:rPr>
                <w:sz w:val="20"/>
                <w:szCs w:val="20"/>
              </w:rPr>
            </w:pPr>
            <w:r w:rsidRPr="00CF3FEC">
              <w:rPr>
                <w:b/>
                <w:sz w:val="20"/>
                <w:szCs w:val="20"/>
              </w:rPr>
              <w:sym w:font="Wingdings" w:char="F0E2"/>
            </w:r>
            <w:r w:rsidR="00011758">
              <w:rPr>
                <w:b/>
                <w:sz w:val="20"/>
                <w:szCs w:val="20"/>
              </w:rPr>
              <w:t xml:space="preserve"> </w:t>
            </w:r>
          </w:p>
        </w:tc>
        <w:tc>
          <w:tcPr>
            <w:tcW w:w="112" w:type="pct"/>
            <w:vAlign w:val="center"/>
          </w:tcPr>
          <w:p w14:paraId="1D3AD150" w14:textId="77777777" w:rsidR="002075E2" w:rsidRPr="00CF3FEC" w:rsidRDefault="002075E2" w:rsidP="00121658">
            <w:pPr>
              <w:spacing w:before="0" w:line="240" w:lineRule="auto"/>
              <w:rPr>
                <w:sz w:val="20"/>
                <w:szCs w:val="20"/>
              </w:rPr>
            </w:pPr>
          </w:p>
        </w:tc>
        <w:tc>
          <w:tcPr>
            <w:tcW w:w="621" w:type="pct"/>
            <w:tcBorders>
              <w:bottom w:val="single" w:sz="4" w:space="0" w:color="auto"/>
            </w:tcBorders>
            <w:vAlign w:val="center"/>
          </w:tcPr>
          <w:p w14:paraId="747CACE5" w14:textId="77777777" w:rsidR="002075E2" w:rsidRPr="00CF3FEC" w:rsidRDefault="002075E2" w:rsidP="00121658">
            <w:pPr>
              <w:spacing w:before="0" w:line="240" w:lineRule="auto"/>
              <w:rPr>
                <w:b/>
                <w:sz w:val="20"/>
                <w:szCs w:val="20"/>
              </w:rPr>
            </w:pPr>
            <w:r w:rsidRPr="00CF3FEC">
              <w:rPr>
                <w:b/>
                <w:sz w:val="20"/>
                <w:szCs w:val="20"/>
              </w:rPr>
              <w:sym w:font="Wingdings" w:char="F0E2"/>
            </w:r>
            <w:r w:rsidR="00011758">
              <w:rPr>
                <w:b/>
                <w:sz w:val="20"/>
                <w:szCs w:val="20"/>
              </w:rPr>
              <w:t xml:space="preserve"> </w:t>
            </w:r>
          </w:p>
        </w:tc>
        <w:tc>
          <w:tcPr>
            <w:tcW w:w="103" w:type="pct"/>
          </w:tcPr>
          <w:p w14:paraId="6E01CE4A" w14:textId="77777777" w:rsidR="002075E2" w:rsidRPr="00CF3FEC" w:rsidRDefault="002075E2" w:rsidP="00121658">
            <w:pPr>
              <w:spacing w:before="0" w:line="240" w:lineRule="auto"/>
              <w:rPr>
                <w:b/>
                <w:sz w:val="20"/>
                <w:szCs w:val="20"/>
              </w:rPr>
            </w:pPr>
          </w:p>
        </w:tc>
        <w:tc>
          <w:tcPr>
            <w:tcW w:w="559" w:type="pct"/>
            <w:tcBorders>
              <w:top w:val="single" w:sz="4" w:space="0" w:color="auto"/>
              <w:bottom w:val="single" w:sz="4" w:space="0" w:color="auto"/>
            </w:tcBorders>
          </w:tcPr>
          <w:p w14:paraId="5653EBE3" w14:textId="77777777" w:rsidR="002075E2" w:rsidRPr="00CF3FEC" w:rsidRDefault="002075E2" w:rsidP="00121658">
            <w:pPr>
              <w:spacing w:before="0" w:line="240" w:lineRule="auto"/>
              <w:rPr>
                <w:b/>
                <w:sz w:val="20"/>
                <w:szCs w:val="20"/>
              </w:rPr>
            </w:pPr>
            <w:r w:rsidRPr="00CF3FEC">
              <w:rPr>
                <w:b/>
                <w:sz w:val="20"/>
                <w:szCs w:val="20"/>
              </w:rPr>
              <w:sym w:font="Wingdings" w:char="F0E2"/>
            </w:r>
          </w:p>
        </w:tc>
        <w:tc>
          <w:tcPr>
            <w:tcW w:w="103" w:type="pct"/>
            <w:vAlign w:val="center"/>
          </w:tcPr>
          <w:p w14:paraId="6C8D38CE" w14:textId="77777777" w:rsidR="002075E2" w:rsidRPr="00CF3FEC" w:rsidRDefault="002075E2" w:rsidP="00121658">
            <w:pPr>
              <w:spacing w:before="0" w:line="240" w:lineRule="auto"/>
              <w:rPr>
                <w:b/>
                <w:sz w:val="20"/>
                <w:szCs w:val="20"/>
              </w:rPr>
            </w:pPr>
          </w:p>
        </w:tc>
        <w:tc>
          <w:tcPr>
            <w:tcW w:w="634" w:type="pct"/>
            <w:tcBorders>
              <w:bottom w:val="single" w:sz="4" w:space="0" w:color="auto"/>
            </w:tcBorders>
            <w:vAlign w:val="center"/>
          </w:tcPr>
          <w:p w14:paraId="00C932C6" w14:textId="77777777" w:rsidR="002075E2" w:rsidRPr="00CF3FEC" w:rsidRDefault="002075E2" w:rsidP="00121658">
            <w:pPr>
              <w:spacing w:before="0" w:line="240" w:lineRule="auto"/>
              <w:rPr>
                <w:b/>
                <w:sz w:val="20"/>
                <w:szCs w:val="20"/>
              </w:rPr>
            </w:pPr>
            <w:r w:rsidRPr="00CF3FEC">
              <w:rPr>
                <w:b/>
                <w:sz w:val="20"/>
                <w:szCs w:val="20"/>
              </w:rPr>
              <w:sym w:font="Wingdings" w:char="F0E2"/>
            </w:r>
          </w:p>
        </w:tc>
        <w:tc>
          <w:tcPr>
            <w:tcW w:w="104" w:type="pct"/>
            <w:vAlign w:val="center"/>
          </w:tcPr>
          <w:p w14:paraId="41AD73D4" w14:textId="77777777" w:rsidR="002075E2" w:rsidRPr="00CF3FEC" w:rsidRDefault="002075E2" w:rsidP="00121658">
            <w:pPr>
              <w:spacing w:before="0" w:line="240" w:lineRule="auto"/>
              <w:rPr>
                <w:b/>
                <w:sz w:val="20"/>
                <w:szCs w:val="20"/>
              </w:rPr>
            </w:pPr>
          </w:p>
        </w:tc>
        <w:tc>
          <w:tcPr>
            <w:tcW w:w="630" w:type="pct"/>
            <w:gridSpan w:val="2"/>
            <w:tcBorders>
              <w:bottom w:val="single" w:sz="4" w:space="0" w:color="auto"/>
            </w:tcBorders>
            <w:vAlign w:val="center"/>
          </w:tcPr>
          <w:p w14:paraId="364151B3" w14:textId="77777777" w:rsidR="002075E2" w:rsidRPr="00CF3FEC" w:rsidRDefault="002075E2" w:rsidP="00121658">
            <w:pPr>
              <w:spacing w:before="0" w:line="240" w:lineRule="auto"/>
              <w:rPr>
                <w:b/>
                <w:sz w:val="20"/>
                <w:szCs w:val="20"/>
              </w:rPr>
            </w:pPr>
            <w:r w:rsidRPr="00CF3FEC">
              <w:rPr>
                <w:b/>
                <w:sz w:val="20"/>
                <w:szCs w:val="20"/>
              </w:rPr>
              <w:sym w:font="Wingdings" w:char="F0E2"/>
            </w:r>
            <w:r w:rsidR="00011758">
              <w:rPr>
                <w:b/>
                <w:sz w:val="20"/>
                <w:szCs w:val="20"/>
              </w:rPr>
              <w:t xml:space="preserve"> </w:t>
            </w:r>
          </w:p>
        </w:tc>
      </w:tr>
      <w:tr w:rsidR="006C614A" w:rsidRPr="00CF3FEC" w14:paraId="5A186945" w14:textId="77777777" w:rsidTr="002075E2">
        <w:tc>
          <w:tcPr>
            <w:tcW w:w="638"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14:paraId="1E7FBC73" w14:textId="77777777" w:rsidR="002075E2" w:rsidRPr="00CF3FEC" w:rsidRDefault="002075E2" w:rsidP="00121658">
            <w:pPr>
              <w:spacing w:before="0" w:line="240" w:lineRule="auto"/>
              <w:rPr>
                <w:sz w:val="20"/>
                <w:szCs w:val="20"/>
              </w:rPr>
            </w:pPr>
            <w:r w:rsidRPr="00CF3FEC">
              <w:rPr>
                <w:sz w:val="20"/>
                <w:szCs w:val="20"/>
              </w:rPr>
              <w:t xml:space="preserve">Initial dual agent: ERA + either </w:t>
            </w:r>
            <w:r>
              <w:rPr>
                <w:sz w:val="20"/>
                <w:szCs w:val="20"/>
              </w:rPr>
              <w:t>PDE</w:t>
            </w:r>
            <w:r>
              <w:rPr>
                <w:sz w:val="20"/>
                <w:szCs w:val="20"/>
              </w:rPr>
              <w:noBreakHyphen/>
              <w:t>5</w:t>
            </w:r>
            <w:r w:rsidRPr="00CF3FEC">
              <w:rPr>
                <w:sz w:val="20"/>
                <w:szCs w:val="20"/>
              </w:rPr>
              <w:t xml:space="preserve"> or prostanoid</w:t>
            </w:r>
          </w:p>
        </w:tc>
        <w:tc>
          <w:tcPr>
            <w:tcW w:w="103" w:type="pct"/>
            <w:tcBorders>
              <w:left w:val="single" w:sz="4" w:space="0" w:color="auto"/>
              <w:right w:val="single" w:sz="4" w:space="0" w:color="auto"/>
            </w:tcBorders>
          </w:tcPr>
          <w:p w14:paraId="256D539C" w14:textId="77777777" w:rsidR="002075E2" w:rsidRPr="00CF3FEC" w:rsidRDefault="002075E2" w:rsidP="00121658">
            <w:pPr>
              <w:spacing w:before="0" w:line="240" w:lineRule="auto"/>
              <w:rPr>
                <w:sz w:val="20"/>
                <w:szCs w:val="20"/>
              </w:rPr>
            </w:pPr>
          </w:p>
        </w:tc>
        <w:tc>
          <w:tcPr>
            <w:tcW w:w="620" w:type="pct"/>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tcPr>
          <w:p w14:paraId="6E2D4B41" w14:textId="77777777" w:rsidR="002075E2" w:rsidRPr="00CF3FEC" w:rsidRDefault="002075E2" w:rsidP="00121658">
            <w:pPr>
              <w:spacing w:before="0" w:line="240" w:lineRule="auto"/>
              <w:rPr>
                <w:sz w:val="20"/>
                <w:szCs w:val="20"/>
              </w:rPr>
            </w:pPr>
            <w:r w:rsidRPr="00CF3FEC">
              <w:rPr>
                <w:sz w:val="20"/>
                <w:szCs w:val="20"/>
              </w:rPr>
              <w:t>Add prostanoid (iloprost) to oral agent</w:t>
            </w:r>
          </w:p>
        </w:tc>
        <w:tc>
          <w:tcPr>
            <w:tcW w:w="113" w:type="pct"/>
            <w:tcBorders>
              <w:left w:val="single" w:sz="4" w:space="0" w:color="auto"/>
              <w:right w:val="single" w:sz="4" w:space="0" w:color="auto"/>
            </w:tcBorders>
          </w:tcPr>
          <w:p w14:paraId="5AACF6AC" w14:textId="77777777" w:rsidR="002075E2" w:rsidRPr="00CF3FEC" w:rsidRDefault="002075E2" w:rsidP="00121658">
            <w:pPr>
              <w:spacing w:before="0" w:line="240" w:lineRule="auto"/>
              <w:rPr>
                <w:sz w:val="20"/>
                <w:szCs w:val="20"/>
              </w:rPr>
            </w:pPr>
          </w:p>
        </w:tc>
        <w:tc>
          <w:tcPr>
            <w:tcW w:w="662" w:type="pct"/>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tcPr>
          <w:p w14:paraId="387FFA47" w14:textId="77777777" w:rsidR="002075E2" w:rsidRPr="00CF3FEC" w:rsidRDefault="002075E2" w:rsidP="00121658">
            <w:pPr>
              <w:spacing w:before="0" w:line="240" w:lineRule="auto"/>
              <w:rPr>
                <w:sz w:val="20"/>
                <w:szCs w:val="20"/>
              </w:rPr>
            </w:pPr>
            <w:r w:rsidRPr="00CF3FEC">
              <w:rPr>
                <w:sz w:val="20"/>
                <w:szCs w:val="20"/>
              </w:rPr>
              <w:t>Add prostanoid</w:t>
            </w:r>
            <w:r>
              <w:rPr>
                <w:sz w:val="20"/>
                <w:szCs w:val="20"/>
              </w:rPr>
              <w:t xml:space="preserve"> (epoprostenol) to oral agent</w:t>
            </w:r>
          </w:p>
        </w:tc>
        <w:tc>
          <w:tcPr>
            <w:tcW w:w="112" w:type="pct"/>
            <w:tcBorders>
              <w:left w:val="single" w:sz="4" w:space="0" w:color="auto"/>
              <w:right w:val="single" w:sz="4" w:space="0" w:color="auto"/>
            </w:tcBorders>
            <w:vAlign w:val="center"/>
          </w:tcPr>
          <w:p w14:paraId="20B14ECF" w14:textId="77777777" w:rsidR="002075E2" w:rsidRPr="00CF3FEC" w:rsidRDefault="002075E2" w:rsidP="00121658">
            <w:pPr>
              <w:spacing w:before="0" w:line="240" w:lineRule="auto"/>
              <w:rPr>
                <w:sz w:val="20"/>
                <w:szCs w:val="20"/>
              </w:rPr>
            </w:pPr>
          </w:p>
        </w:tc>
        <w:tc>
          <w:tcPr>
            <w:tcW w:w="621" w:type="pct"/>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tcPr>
          <w:p w14:paraId="4D292CF2" w14:textId="77777777" w:rsidR="002075E2" w:rsidRPr="00CF3FEC" w:rsidRDefault="002075E2" w:rsidP="00121658">
            <w:pPr>
              <w:spacing w:before="0" w:line="240" w:lineRule="auto"/>
              <w:rPr>
                <w:sz w:val="20"/>
                <w:szCs w:val="20"/>
              </w:rPr>
            </w:pPr>
            <w:r>
              <w:rPr>
                <w:sz w:val="20"/>
                <w:szCs w:val="20"/>
              </w:rPr>
              <w:t>Add</w:t>
            </w:r>
            <w:r w:rsidRPr="00CF3FEC">
              <w:rPr>
                <w:sz w:val="20"/>
                <w:szCs w:val="20"/>
              </w:rPr>
              <w:t xml:space="preserve"> ERA</w:t>
            </w:r>
            <w:r>
              <w:rPr>
                <w:sz w:val="20"/>
                <w:szCs w:val="20"/>
              </w:rPr>
              <w:t xml:space="preserve"> </w:t>
            </w:r>
            <w:r>
              <w:rPr>
                <w:sz w:val="20"/>
                <w:szCs w:val="20"/>
              </w:rPr>
              <w:br/>
              <w:t>(or PDE</w:t>
            </w:r>
            <w:r>
              <w:rPr>
                <w:sz w:val="20"/>
                <w:szCs w:val="20"/>
              </w:rPr>
              <w:noBreakHyphen/>
              <w:t xml:space="preserve">5i; or </w:t>
            </w:r>
            <w:proofErr w:type="spellStart"/>
            <w:r>
              <w:rPr>
                <w:sz w:val="20"/>
                <w:szCs w:val="20"/>
              </w:rPr>
              <w:t>sGCs</w:t>
            </w:r>
            <w:proofErr w:type="spellEnd"/>
            <w:r>
              <w:rPr>
                <w:sz w:val="20"/>
                <w:szCs w:val="20"/>
              </w:rPr>
              <w:t>)</w:t>
            </w:r>
          </w:p>
        </w:tc>
        <w:tc>
          <w:tcPr>
            <w:tcW w:w="103" w:type="pct"/>
            <w:tcBorders>
              <w:left w:val="single" w:sz="4" w:space="0" w:color="auto"/>
              <w:right w:val="single" w:sz="4" w:space="0" w:color="auto"/>
            </w:tcBorders>
          </w:tcPr>
          <w:p w14:paraId="3FAE2046" w14:textId="77777777" w:rsidR="002075E2" w:rsidRPr="00CF3FEC" w:rsidRDefault="002075E2" w:rsidP="00121658">
            <w:pPr>
              <w:spacing w:before="0" w:line="240" w:lineRule="auto"/>
              <w:rPr>
                <w:sz w:val="20"/>
                <w:szCs w:val="20"/>
              </w:rPr>
            </w:pPr>
          </w:p>
        </w:tc>
        <w:tc>
          <w:tcPr>
            <w:tcW w:w="559" w:type="pct"/>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tcPr>
          <w:p w14:paraId="1618E789" w14:textId="77777777" w:rsidR="002075E2" w:rsidRPr="00CF3FEC" w:rsidRDefault="002075E2" w:rsidP="00121658">
            <w:pPr>
              <w:spacing w:before="0" w:line="240" w:lineRule="auto"/>
              <w:rPr>
                <w:sz w:val="20"/>
                <w:szCs w:val="20"/>
              </w:rPr>
            </w:pPr>
            <w:r w:rsidRPr="00CF3FEC">
              <w:rPr>
                <w:sz w:val="20"/>
                <w:szCs w:val="20"/>
              </w:rPr>
              <w:t>Iloprost + ERA</w:t>
            </w:r>
          </w:p>
        </w:tc>
        <w:tc>
          <w:tcPr>
            <w:tcW w:w="103" w:type="pct"/>
            <w:tcBorders>
              <w:left w:val="single" w:sz="4" w:space="0" w:color="auto"/>
              <w:right w:val="single" w:sz="4" w:space="0" w:color="auto"/>
            </w:tcBorders>
            <w:vAlign w:val="center"/>
          </w:tcPr>
          <w:p w14:paraId="54773EE5" w14:textId="77777777" w:rsidR="002075E2" w:rsidRPr="00CF3FEC" w:rsidRDefault="002075E2" w:rsidP="00121658">
            <w:pPr>
              <w:spacing w:before="0" w:line="240" w:lineRule="auto"/>
              <w:rPr>
                <w:sz w:val="20"/>
                <w:szCs w:val="20"/>
              </w:rPr>
            </w:pPr>
          </w:p>
        </w:tc>
        <w:tc>
          <w:tcPr>
            <w:tcW w:w="634" w:type="pct"/>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7DB4C602" w14:textId="77777777" w:rsidR="002075E2" w:rsidRPr="00CF3FEC" w:rsidRDefault="002075E2" w:rsidP="00121658">
            <w:pPr>
              <w:spacing w:before="0" w:line="240" w:lineRule="auto"/>
              <w:rPr>
                <w:sz w:val="20"/>
                <w:szCs w:val="20"/>
              </w:rPr>
            </w:pPr>
            <w:r w:rsidRPr="00CF3FEC">
              <w:rPr>
                <w:sz w:val="20"/>
                <w:szCs w:val="20"/>
              </w:rPr>
              <w:t>Add a third class of agent</w:t>
            </w:r>
          </w:p>
        </w:tc>
        <w:tc>
          <w:tcPr>
            <w:tcW w:w="104" w:type="pct"/>
            <w:tcBorders>
              <w:left w:val="single" w:sz="4" w:space="0" w:color="auto"/>
              <w:right w:val="single" w:sz="4" w:space="0" w:color="auto"/>
            </w:tcBorders>
            <w:vAlign w:val="center"/>
          </w:tcPr>
          <w:p w14:paraId="1B1D2D5F" w14:textId="77777777" w:rsidR="002075E2" w:rsidRPr="00CF3FEC" w:rsidRDefault="002075E2" w:rsidP="00121658">
            <w:pPr>
              <w:spacing w:before="0" w:line="240" w:lineRule="auto"/>
              <w:rPr>
                <w:sz w:val="20"/>
                <w:szCs w:val="20"/>
              </w:rPr>
            </w:pPr>
          </w:p>
        </w:tc>
        <w:tc>
          <w:tcPr>
            <w:tcW w:w="630" w:type="pct"/>
            <w:gridSpan w:val="2"/>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14:paraId="496245B1" w14:textId="77777777" w:rsidR="002075E2" w:rsidRPr="00CF3FEC" w:rsidRDefault="002075E2" w:rsidP="00121658">
            <w:pPr>
              <w:spacing w:before="0" w:line="240" w:lineRule="auto"/>
              <w:rPr>
                <w:sz w:val="20"/>
                <w:szCs w:val="20"/>
              </w:rPr>
            </w:pPr>
            <w:r w:rsidRPr="00CF3FEC">
              <w:rPr>
                <w:sz w:val="20"/>
                <w:szCs w:val="20"/>
              </w:rPr>
              <w:t>Aggressive triple agent therapy including epoprostenol</w:t>
            </w:r>
          </w:p>
        </w:tc>
      </w:tr>
      <w:tr w:rsidR="002075E2" w:rsidRPr="00CF3FEC" w14:paraId="461B2732" w14:textId="77777777" w:rsidTr="002075E2">
        <w:tc>
          <w:tcPr>
            <w:tcW w:w="638" w:type="pct"/>
            <w:tcBorders>
              <w:top w:val="single" w:sz="4" w:space="0" w:color="auto"/>
              <w:bottom w:val="single" w:sz="4" w:space="0" w:color="auto"/>
            </w:tcBorders>
            <w:vAlign w:val="center"/>
          </w:tcPr>
          <w:p w14:paraId="758B7154" w14:textId="77777777" w:rsidR="002075E2" w:rsidRPr="00CF3FEC" w:rsidRDefault="002075E2" w:rsidP="00121658">
            <w:pPr>
              <w:spacing w:before="0" w:line="240" w:lineRule="auto"/>
              <w:rPr>
                <w:sz w:val="20"/>
                <w:szCs w:val="20"/>
              </w:rPr>
            </w:pPr>
            <w:r w:rsidRPr="00CF3FEC">
              <w:rPr>
                <w:b/>
                <w:sz w:val="20"/>
                <w:szCs w:val="20"/>
              </w:rPr>
              <w:sym w:font="Wingdings" w:char="F0E2"/>
            </w:r>
          </w:p>
        </w:tc>
        <w:tc>
          <w:tcPr>
            <w:tcW w:w="103" w:type="pct"/>
          </w:tcPr>
          <w:p w14:paraId="018787A0" w14:textId="77777777" w:rsidR="002075E2" w:rsidRPr="00CF3FEC" w:rsidRDefault="002075E2" w:rsidP="00121658">
            <w:pPr>
              <w:spacing w:before="0" w:line="240" w:lineRule="auto"/>
              <w:rPr>
                <w:sz w:val="20"/>
                <w:szCs w:val="20"/>
              </w:rPr>
            </w:pPr>
          </w:p>
        </w:tc>
        <w:tc>
          <w:tcPr>
            <w:tcW w:w="620" w:type="pct"/>
            <w:tcBorders>
              <w:top w:val="single" w:sz="4" w:space="0" w:color="auto"/>
              <w:bottom w:val="single" w:sz="4" w:space="0" w:color="auto"/>
            </w:tcBorders>
            <w:vAlign w:val="center"/>
          </w:tcPr>
          <w:p w14:paraId="476AAC03" w14:textId="77777777" w:rsidR="002075E2" w:rsidRPr="00CF3FEC" w:rsidRDefault="002075E2" w:rsidP="00121658">
            <w:pPr>
              <w:spacing w:before="0" w:line="240" w:lineRule="auto"/>
              <w:rPr>
                <w:sz w:val="20"/>
                <w:szCs w:val="20"/>
              </w:rPr>
            </w:pPr>
            <w:r w:rsidRPr="00CF3FEC">
              <w:rPr>
                <w:b/>
                <w:sz w:val="20"/>
                <w:szCs w:val="20"/>
              </w:rPr>
              <w:sym w:font="Wingdings" w:char="F0E2"/>
            </w:r>
          </w:p>
        </w:tc>
        <w:tc>
          <w:tcPr>
            <w:tcW w:w="113" w:type="pct"/>
            <w:tcBorders>
              <w:bottom w:val="single" w:sz="4" w:space="0" w:color="auto"/>
            </w:tcBorders>
            <w:vAlign w:val="center"/>
          </w:tcPr>
          <w:p w14:paraId="6255D358" w14:textId="77777777" w:rsidR="002075E2" w:rsidRPr="00CF3FEC" w:rsidRDefault="002075E2" w:rsidP="00121658">
            <w:pPr>
              <w:spacing w:before="0" w:line="240" w:lineRule="auto"/>
              <w:rPr>
                <w:sz w:val="20"/>
                <w:szCs w:val="20"/>
              </w:rPr>
            </w:pPr>
          </w:p>
        </w:tc>
        <w:tc>
          <w:tcPr>
            <w:tcW w:w="662" w:type="pct"/>
            <w:tcBorders>
              <w:top w:val="single" w:sz="4" w:space="0" w:color="auto"/>
              <w:bottom w:val="single" w:sz="4" w:space="0" w:color="auto"/>
            </w:tcBorders>
            <w:vAlign w:val="center"/>
          </w:tcPr>
          <w:p w14:paraId="1199BDA0" w14:textId="77777777" w:rsidR="002075E2" w:rsidRPr="00CF3FEC" w:rsidRDefault="002075E2" w:rsidP="00121658">
            <w:pPr>
              <w:spacing w:before="0" w:line="240" w:lineRule="auto"/>
              <w:rPr>
                <w:sz w:val="20"/>
                <w:szCs w:val="20"/>
              </w:rPr>
            </w:pPr>
            <w:r w:rsidRPr="00CF3FEC">
              <w:rPr>
                <w:b/>
                <w:sz w:val="20"/>
                <w:szCs w:val="20"/>
              </w:rPr>
              <w:sym w:font="Wingdings" w:char="F0E2"/>
            </w:r>
            <w:r w:rsidR="00011758">
              <w:rPr>
                <w:b/>
                <w:sz w:val="20"/>
                <w:szCs w:val="20"/>
              </w:rPr>
              <w:t xml:space="preserve"> </w:t>
            </w:r>
          </w:p>
        </w:tc>
        <w:tc>
          <w:tcPr>
            <w:tcW w:w="112" w:type="pct"/>
            <w:vAlign w:val="center"/>
          </w:tcPr>
          <w:p w14:paraId="520C50C1" w14:textId="77777777" w:rsidR="002075E2" w:rsidRPr="00CF3FEC" w:rsidRDefault="002075E2" w:rsidP="00121658">
            <w:pPr>
              <w:spacing w:before="0" w:line="240" w:lineRule="auto"/>
              <w:rPr>
                <w:sz w:val="20"/>
                <w:szCs w:val="20"/>
              </w:rPr>
            </w:pPr>
          </w:p>
        </w:tc>
        <w:tc>
          <w:tcPr>
            <w:tcW w:w="621" w:type="pct"/>
            <w:tcBorders>
              <w:top w:val="single" w:sz="4" w:space="0" w:color="auto"/>
              <w:bottom w:val="single" w:sz="4" w:space="0" w:color="auto"/>
            </w:tcBorders>
          </w:tcPr>
          <w:p w14:paraId="3D82EDB4" w14:textId="77777777" w:rsidR="002075E2" w:rsidRPr="00CF3FEC" w:rsidRDefault="002075E2" w:rsidP="00121658">
            <w:pPr>
              <w:spacing w:before="0" w:line="240" w:lineRule="auto"/>
              <w:rPr>
                <w:b/>
                <w:sz w:val="20"/>
                <w:szCs w:val="20"/>
              </w:rPr>
            </w:pPr>
            <w:r w:rsidRPr="00CF3FEC">
              <w:rPr>
                <w:b/>
                <w:sz w:val="20"/>
                <w:szCs w:val="20"/>
              </w:rPr>
              <w:sym w:font="Wingdings" w:char="F0E2"/>
            </w:r>
          </w:p>
        </w:tc>
        <w:tc>
          <w:tcPr>
            <w:tcW w:w="103" w:type="pct"/>
          </w:tcPr>
          <w:p w14:paraId="62E5FA50" w14:textId="77777777" w:rsidR="002075E2" w:rsidRPr="00CF3FEC" w:rsidRDefault="002075E2" w:rsidP="00121658">
            <w:pPr>
              <w:spacing w:before="0" w:line="240" w:lineRule="auto"/>
              <w:rPr>
                <w:b/>
                <w:sz w:val="20"/>
                <w:szCs w:val="20"/>
              </w:rPr>
            </w:pPr>
          </w:p>
        </w:tc>
        <w:tc>
          <w:tcPr>
            <w:tcW w:w="559" w:type="pct"/>
            <w:tcBorders>
              <w:top w:val="single" w:sz="4" w:space="0" w:color="auto"/>
              <w:bottom w:val="single" w:sz="4" w:space="0" w:color="auto"/>
            </w:tcBorders>
          </w:tcPr>
          <w:p w14:paraId="2BC0CCCB" w14:textId="77777777" w:rsidR="002075E2" w:rsidRPr="00CF3FEC" w:rsidRDefault="002075E2" w:rsidP="00121658">
            <w:pPr>
              <w:spacing w:before="0" w:line="240" w:lineRule="auto"/>
              <w:rPr>
                <w:sz w:val="20"/>
                <w:szCs w:val="20"/>
              </w:rPr>
            </w:pPr>
            <w:r w:rsidRPr="00CF3FEC">
              <w:rPr>
                <w:b/>
                <w:sz w:val="20"/>
                <w:szCs w:val="20"/>
              </w:rPr>
              <w:sym w:font="Wingdings" w:char="F0E2"/>
            </w:r>
          </w:p>
        </w:tc>
        <w:tc>
          <w:tcPr>
            <w:tcW w:w="103" w:type="pct"/>
            <w:vAlign w:val="center"/>
          </w:tcPr>
          <w:p w14:paraId="1E7D59A5" w14:textId="77777777" w:rsidR="002075E2" w:rsidRPr="00CF3FEC" w:rsidRDefault="002075E2" w:rsidP="00121658">
            <w:pPr>
              <w:spacing w:before="0" w:line="240" w:lineRule="auto"/>
              <w:rPr>
                <w:sz w:val="20"/>
                <w:szCs w:val="20"/>
              </w:rPr>
            </w:pPr>
          </w:p>
        </w:tc>
        <w:tc>
          <w:tcPr>
            <w:tcW w:w="634" w:type="pct"/>
            <w:tcBorders>
              <w:top w:val="single" w:sz="4" w:space="0" w:color="auto"/>
              <w:bottom w:val="single" w:sz="4" w:space="0" w:color="auto"/>
            </w:tcBorders>
            <w:vAlign w:val="center"/>
          </w:tcPr>
          <w:p w14:paraId="49E4D6DF" w14:textId="77777777" w:rsidR="002075E2" w:rsidRPr="00CF3FEC" w:rsidRDefault="002075E2" w:rsidP="00121658">
            <w:pPr>
              <w:spacing w:before="0" w:line="240" w:lineRule="auto"/>
              <w:rPr>
                <w:sz w:val="20"/>
                <w:szCs w:val="20"/>
              </w:rPr>
            </w:pPr>
            <w:r w:rsidRPr="00CF3FEC">
              <w:rPr>
                <w:b/>
                <w:sz w:val="20"/>
                <w:szCs w:val="20"/>
              </w:rPr>
              <w:sym w:font="Wingdings" w:char="F0E2"/>
            </w:r>
          </w:p>
        </w:tc>
        <w:tc>
          <w:tcPr>
            <w:tcW w:w="104" w:type="pct"/>
            <w:tcBorders>
              <w:bottom w:val="single" w:sz="4" w:space="0" w:color="auto"/>
            </w:tcBorders>
            <w:vAlign w:val="center"/>
          </w:tcPr>
          <w:p w14:paraId="6B14113C" w14:textId="77777777" w:rsidR="002075E2" w:rsidRPr="00CF3FEC" w:rsidRDefault="002075E2" w:rsidP="00121658">
            <w:pPr>
              <w:spacing w:before="0" w:line="240" w:lineRule="auto"/>
              <w:rPr>
                <w:sz w:val="20"/>
                <w:szCs w:val="20"/>
              </w:rPr>
            </w:pPr>
          </w:p>
        </w:tc>
        <w:tc>
          <w:tcPr>
            <w:tcW w:w="630" w:type="pct"/>
            <w:gridSpan w:val="2"/>
            <w:tcBorders>
              <w:top w:val="single" w:sz="4" w:space="0" w:color="auto"/>
              <w:bottom w:val="single" w:sz="4" w:space="0" w:color="auto"/>
            </w:tcBorders>
            <w:vAlign w:val="center"/>
          </w:tcPr>
          <w:p w14:paraId="7BE61E09" w14:textId="77777777" w:rsidR="002075E2" w:rsidRPr="00CF3FEC" w:rsidRDefault="002075E2" w:rsidP="00121658">
            <w:pPr>
              <w:spacing w:before="0" w:line="240" w:lineRule="auto"/>
              <w:rPr>
                <w:sz w:val="20"/>
                <w:szCs w:val="20"/>
              </w:rPr>
            </w:pPr>
            <w:r w:rsidRPr="00CF3FEC">
              <w:rPr>
                <w:b/>
                <w:sz w:val="20"/>
                <w:szCs w:val="20"/>
              </w:rPr>
              <w:sym w:font="Wingdings" w:char="F0E2"/>
            </w:r>
            <w:r w:rsidR="00011758">
              <w:rPr>
                <w:b/>
                <w:sz w:val="20"/>
                <w:szCs w:val="20"/>
              </w:rPr>
              <w:t xml:space="preserve"> </w:t>
            </w:r>
          </w:p>
        </w:tc>
      </w:tr>
      <w:tr w:rsidR="002075E2" w:rsidRPr="00CF3FEC" w14:paraId="1E9007D7" w14:textId="77777777" w:rsidTr="002075E2">
        <w:tc>
          <w:tcPr>
            <w:tcW w:w="638" w:type="pct"/>
            <w:tcBorders>
              <w:top w:val="single" w:sz="4" w:space="0" w:color="auto"/>
              <w:left w:val="single" w:sz="4" w:space="0" w:color="auto"/>
              <w:bottom w:val="single" w:sz="4" w:space="0" w:color="auto"/>
              <w:right w:val="single" w:sz="4" w:space="0" w:color="auto"/>
            </w:tcBorders>
          </w:tcPr>
          <w:p w14:paraId="1ABB809C" w14:textId="77777777" w:rsidR="002075E2" w:rsidRPr="00CF3FEC" w:rsidRDefault="002075E2" w:rsidP="00121658">
            <w:pPr>
              <w:spacing w:before="0" w:line="240" w:lineRule="auto"/>
              <w:rPr>
                <w:sz w:val="20"/>
                <w:szCs w:val="20"/>
              </w:rPr>
            </w:pPr>
            <w:r w:rsidRPr="00CF3FEC">
              <w:rPr>
                <w:sz w:val="20"/>
                <w:szCs w:val="20"/>
              </w:rPr>
              <w:t>Therapy goals unmet or clinical worsening</w:t>
            </w:r>
            <w:r>
              <w:rPr>
                <w:sz w:val="20"/>
                <w:szCs w:val="20"/>
              </w:rPr>
              <w:t xml:space="preserve"> on initial dual oral therapy</w:t>
            </w:r>
          </w:p>
        </w:tc>
        <w:tc>
          <w:tcPr>
            <w:tcW w:w="103" w:type="pct"/>
            <w:tcBorders>
              <w:left w:val="single" w:sz="4" w:space="0" w:color="auto"/>
              <w:right w:val="single" w:sz="4" w:space="0" w:color="auto"/>
            </w:tcBorders>
          </w:tcPr>
          <w:p w14:paraId="2641932D" w14:textId="77777777" w:rsidR="002075E2" w:rsidRPr="00CF3FEC" w:rsidRDefault="002075E2" w:rsidP="00121658">
            <w:pPr>
              <w:spacing w:before="0" w:line="240" w:lineRule="auto"/>
              <w:rPr>
                <w:sz w:val="20"/>
                <w:szCs w:val="20"/>
              </w:rPr>
            </w:pPr>
          </w:p>
        </w:tc>
        <w:tc>
          <w:tcPr>
            <w:tcW w:w="1395" w:type="pct"/>
            <w:gridSpan w:val="3"/>
            <w:tcBorders>
              <w:top w:val="single" w:sz="4" w:space="0" w:color="auto"/>
              <w:left w:val="single" w:sz="4" w:space="0" w:color="auto"/>
              <w:bottom w:val="single" w:sz="4" w:space="0" w:color="auto"/>
              <w:right w:val="single" w:sz="4" w:space="0" w:color="auto"/>
            </w:tcBorders>
            <w:vAlign w:val="center"/>
          </w:tcPr>
          <w:p w14:paraId="3CB7E929" w14:textId="77777777" w:rsidR="002075E2" w:rsidRPr="00CF3FEC" w:rsidRDefault="002075E2" w:rsidP="00121658">
            <w:pPr>
              <w:spacing w:before="0" w:line="240" w:lineRule="auto"/>
              <w:rPr>
                <w:sz w:val="20"/>
                <w:szCs w:val="20"/>
              </w:rPr>
            </w:pPr>
            <w:r w:rsidRPr="00CF3FEC">
              <w:rPr>
                <w:sz w:val="20"/>
                <w:szCs w:val="20"/>
              </w:rPr>
              <w:t>Therapy goals unmet or clinical worsening</w:t>
            </w:r>
            <w:r>
              <w:rPr>
                <w:sz w:val="20"/>
                <w:szCs w:val="20"/>
              </w:rPr>
              <w:t xml:space="preserve"> on dual oral agent +prostanoid therapy</w:t>
            </w:r>
          </w:p>
        </w:tc>
        <w:tc>
          <w:tcPr>
            <w:tcW w:w="112" w:type="pct"/>
            <w:tcBorders>
              <w:left w:val="single" w:sz="4" w:space="0" w:color="auto"/>
              <w:right w:val="single" w:sz="4" w:space="0" w:color="auto"/>
            </w:tcBorders>
            <w:vAlign w:val="center"/>
          </w:tcPr>
          <w:p w14:paraId="76788C21" w14:textId="77777777" w:rsidR="002075E2" w:rsidRPr="00CF3FEC" w:rsidRDefault="002075E2" w:rsidP="00121658">
            <w:pPr>
              <w:spacing w:before="0" w:line="240" w:lineRule="auto"/>
              <w:rPr>
                <w:sz w:val="20"/>
                <w:szCs w:val="20"/>
              </w:rPr>
            </w:pPr>
          </w:p>
        </w:tc>
        <w:tc>
          <w:tcPr>
            <w:tcW w:w="1283" w:type="pct"/>
            <w:gridSpan w:val="3"/>
            <w:tcBorders>
              <w:top w:val="single" w:sz="4" w:space="0" w:color="auto"/>
              <w:left w:val="single" w:sz="4" w:space="0" w:color="auto"/>
              <w:bottom w:val="single" w:sz="4" w:space="0" w:color="auto"/>
              <w:right w:val="single" w:sz="4" w:space="0" w:color="auto"/>
            </w:tcBorders>
            <w:vAlign w:val="center"/>
          </w:tcPr>
          <w:p w14:paraId="09A4BDB6" w14:textId="77777777" w:rsidR="002075E2" w:rsidRPr="00CF3FEC" w:rsidRDefault="002075E2" w:rsidP="00121658">
            <w:pPr>
              <w:spacing w:before="0" w:line="240" w:lineRule="auto"/>
              <w:rPr>
                <w:sz w:val="20"/>
                <w:szCs w:val="20"/>
              </w:rPr>
            </w:pPr>
            <w:r w:rsidRPr="00CF3FEC">
              <w:rPr>
                <w:sz w:val="20"/>
                <w:szCs w:val="20"/>
              </w:rPr>
              <w:t>Therapy goals unmet or clinical worsening</w:t>
            </w:r>
            <w:r>
              <w:rPr>
                <w:sz w:val="20"/>
                <w:szCs w:val="20"/>
              </w:rPr>
              <w:t xml:space="preserve"> on dual prostanoid therapy + ERA/oral agent </w:t>
            </w:r>
          </w:p>
        </w:tc>
        <w:tc>
          <w:tcPr>
            <w:tcW w:w="103" w:type="pct"/>
            <w:tcBorders>
              <w:left w:val="single" w:sz="4" w:space="0" w:color="auto"/>
              <w:right w:val="single" w:sz="4" w:space="0" w:color="auto"/>
            </w:tcBorders>
            <w:vAlign w:val="center"/>
          </w:tcPr>
          <w:p w14:paraId="100E9C01" w14:textId="77777777" w:rsidR="002075E2" w:rsidRPr="00CF3FEC" w:rsidRDefault="002075E2" w:rsidP="00121658">
            <w:pPr>
              <w:spacing w:before="0" w:line="240" w:lineRule="auto"/>
              <w:rPr>
                <w:sz w:val="20"/>
                <w:szCs w:val="20"/>
              </w:rPr>
            </w:pPr>
          </w:p>
        </w:tc>
        <w:tc>
          <w:tcPr>
            <w:tcW w:w="1367" w:type="pct"/>
            <w:gridSpan w:val="4"/>
            <w:tcBorders>
              <w:top w:val="single" w:sz="4" w:space="0" w:color="auto"/>
              <w:left w:val="single" w:sz="4" w:space="0" w:color="auto"/>
              <w:bottom w:val="single" w:sz="4" w:space="0" w:color="auto"/>
              <w:right w:val="single" w:sz="4" w:space="0" w:color="auto"/>
            </w:tcBorders>
            <w:vAlign w:val="center"/>
          </w:tcPr>
          <w:p w14:paraId="1B837E46" w14:textId="77777777" w:rsidR="002075E2" w:rsidRPr="00CF3FEC" w:rsidRDefault="002075E2" w:rsidP="00121658">
            <w:pPr>
              <w:spacing w:before="0" w:line="240" w:lineRule="auto"/>
              <w:rPr>
                <w:sz w:val="20"/>
                <w:szCs w:val="20"/>
              </w:rPr>
            </w:pPr>
            <w:r w:rsidRPr="00CF3FEC">
              <w:rPr>
                <w:sz w:val="20"/>
                <w:szCs w:val="20"/>
              </w:rPr>
              <w:t>Therapy goals unmet or clinical worsening</w:t>
            </w:r>
            <w:r>
              <w:rPr>
                <w:sz w:val="20"/>
                <w:szCs w:val="20"/>
              </w:rPr>
              <w:t xml:space="preserve"> on triple agent therapy</w:t>
            </w:r>
          </w:p>
        </w:tc>
      </w:tr>
      <w:tr w:rsidR="002075E2" w:rsidRPr="00CF3FEC" w14:paraId="0A0DF863" w14:textId="77777777" w:rsidTr="002075E2">
        <w:trPr>
          <w:gridAfter w:val="1"/>
          <w:wAfter w:w="11" w:type="pct"/>
        </w:trPr>
        <w:tc>
          <w:tcPr>
            <w:tcW w:w="638" w:type="pct"/>
            <w:tcBorders>
              <w:top w:val="single" w:sz="4" w:space="0" w:color="auto"/>
            </w:tcBorders>
            <w:vAlign w:val="center"/>
          </w:tcPr>
          <w:p w14:paraId="168996BA" w14:textId="77777777" w:rsidR="002075E2" w:rsidRPr="00CF3FEC" w:rsidRDefault="002075E2" w:rsidP="00121658">
            <w:pPr>
              <w:spacing w:before="0" w:line="240" w:lineRule="auto"/>
              <w:rPr>
                <w:sz w:val="20"/>
                <w:szCs w:val="20"/>
              </w:rPr>
            </w:pPr>
            <w:r w:rsidRPr="00CF3FEC">
              <w:rPr>
                <w:b/>
                <w:sz w:val="20"/>
                <w:szCs w:val="20"/>
              </w:rPr>
              <w:sym w:font="Wingdings" w:char="F0E2"/>
            </w:r>
          </w:p>
        </w:tc>
        <w:tc>
          <w:tcPr>
            <w:tcW w:w="103" w:type="pct"/>
          </w:tcPr>
          <w:p w14:paraId="37682C52" w14:textId="77777777" w:rsidR="002075E2" w:rsidRPr="00CF3FEC" w:rsidRDefault="002075E2" w:rsidP="00121658">
            <w:pPr>
              <w:spacing w:before="0" w:line="240" w:lineRule="auto"/>
              <w:rPr>
                <w:sz w:val="20"/>
                <w:szCs w:val="20"/>
              </w:rPr>
            </w:pPr>
          </w:p>
        </w:tc>
        <w:tc>
          <w:tcPr>
            <w:tcW w:w="620" w:type="pct"/>
            <w:tcBorders>
              <w:top w:val="single" w:sz="4" w:space="0" w:color="auto"/>
            </w:tcBorders>
            <w:vAlign w:val="center"/>
          </w:tcPr>
          <w:p w14:paraId="32791BF5" w14:textId="77777777" w:rsidR="002075E2" w:rsidRPr="00CF3FEC" w:rsidRDefault="002075E2" w:rsidP="00121658">
            <w:pPr>
              <w:spacing w:before="0" w:line="240" w:lineRule="auto"/>
              <w:rPr>
                <w:sz w:val="20"/>
                <w:szCs w:val="20"/>
              </w:rPr>
            </w:pPr>
            <w:r w:rsidRPr="00CF3FEC">
              <w:rPr>
                <w:b/>
                <w:sz w:val="20"/>
                <w:szCs w:val="20"/>
              </w:rPr>
              <w:sym w:font="Wingdings" w:char="F0E2"/>
            </w:r>
          </w:p>
        </w:tc>
        <w:tc>
          <w:tcPr>
            <w:tcW w:w="113" w:type="pct"/>
            <w:tcBorders>
              <w:top w:val="single" w:sz="4" w:space="0" w:color="auto"/>
            </w:tcBorders>
            <w:vAlign w:val="center"/>
          </w:tcPr>
          <w:p w14:paraId="6B325B7F" w14:textId="77777777" w:rsidR="002075E2" w:rsidRPr="00CF3FEC" w:rsidRDefault="002075E2" w:rsidP="00121658">
            <w:pPr>
              <w:spacing w:before="0" w:line="240" w:lineRule="auto"/>
              <w:rPr>
                <w:sz w:val="20"/>
                <w:szCs w:val="20"/>
              </w:rPr>
            </w:pPr>
          </w:p>
        </w:tc>
        <w:tc>
          <w:tcPr>
            <w:tcW w:w="662" w:type="pct"/>
            <w:tcBorders>
              <w:top w:val="single" w:sz="4" w:space="0" w:color="auto"/>
            </w:tcBorders>
            <w:vAlign w:val="center"/>
          </w:tcPr>
          <w:p w14:paraId="05ECFAA5" w14:textId="77777777" w:rsidR="002075E2" w:rsidRPr="00CF3FEC" w:rsidRDefault="002075E2" w:rsidP="00121658">
            <w:pPr>
              <w:spacing w:before="0" w:line="240" w:lineRule="auto"/>
              <w:rPr>
                <w:sz w:val="20"/>
                <w:szCs w:val="20"/>
              </w:rPr>
            </w:pPr>
            <w:r w:rsidRPr="00CF3FEC">
              <w:rPr>
                <w:b/>
                <w:sz w:val="20"/>
                <w:szCs w:val="20"/>
              </w:rPr>
              <w:sym w:font="Wingdings" w:char="F0E2"/>
            </w:r>
            <w:r w:rsidR="00011758">
              <w:rPr>
                <w:b/>
                <w:sz w:val="20"/>
                <w:szCs w:val="20"/>
              </w:rPr>
              <w:t xml:space="preserve"> </w:t>
            </w:r>
          </w:p>
        </w:tc>
        <w:tc>
          <w:tcPr>
            <w:tcW w:w="112" w:type="pct"/>
            <w:vAlign w:val="center"/>
          </w:tcPr>
          <w:p w14:paraId="6F5847CE" w14:textId="77777777" w:rsidR="002075E2" w:rsidRPr="00CF3FEC" w:rsidRDefault="002075E2" w:rsidP="00121658">
            <w:pPr>
              <w:spacing w:before="0" w:line="240" w:lineRule="auto"/>
              <w:rPr>
                <w:sz w:val="20"/>
                <w:szCs w:val="20"/>
              </w:rPr>
            </w:pPr>
          </w:p>
        </w:tc>
        <w:tc>
          <w:tcPr>
            <w:tcW w:w="621" w:type="pct"/>
            <w:tcBorders>
              <w:top w:val="single" w:sz="4" w:space="0" w:color="auto"/>
            </w:tcBorders>
          </w:tcPr>
          <w:p w14:paraId="28C7AF0F" w14:textId="77777777" w:rsidR="002075E2" w:rsidRPr="00CF3FEC" w:rsidRDefault="002075E2" w:rsidP="00121658">
            <w:pPr>
              <w:spacing w:before="0" w:line="240" w:lineRule="auto"/>
              <w:rPr>
                <w:b/>
                <w:sz w:val="20"/>
                <w:szCs w:val="20"/>
              </w:rPr>
            </w:pPr>
            <w:r w:rsidRPr="00CF3FEC">
              <w:rPr>
                <w:b/>
                <w:sz w:val="20"/>
                <w:szCs w:val="20"/>
              </w:rPr>
              <w:sym w:font="Wingdings" w:char="F0E2"/>
            </w:r>
          </w:p>
        </w:tc>
        <w:tc>
          <w:tcPr>
            <w:tcW w:w="103" w:type="pct"/>
            <w:tcBorders>
              <w:top w:val="single" w:sz="4" w:space="0" w:color="auto"/>
            </w:tcBorders>
          </w:tcPr>
          <w:p w14:paraId="0F93AACB" w14:textId="77777777" w:rsidR="002075E2" w:rsidRPr="00CF3FEC" w:rsidRDefault="002075E2" w:rsidP="00121658">
            <w:pPr>
              <w:spacing w:before="0" w:line="240" w:lineRule="auto"/>
              <w:rPr>
                <w:b/>
                <w:sz w:val="20"/>
                <w:szCs w:val="20"/>
              </w:rPr>
            </w:pPr>
          </w:p>
        </w:tc>
        <w:tc>
          <w:tcPr>
            <w:tcW w:w="559" w:type="pct"/>
            <w:tcBorders>
              <w:top w:val="single" w:sz="4" w:space="0" w:color="auto"/>
            </w:tcBorders>
          </w:tcPr>
          <w:p w14:paraId="2F0BE724" w14:textId="77777777" w:rsidR="002075E2" w:rsidRPr="00CF3FEC" w:rsidRDefault="002075E2" w:rsidP="00121658">
            <w:pPr>
              <w:spacing w:before="0" w:line="240" w:lineRule="auto"/>
              <w:rPr>
                <w:sz w:val="20"/>
                <w:szCs w:val="20"/>
              </w:rPr>
            </w:pPr>
            <w:r w:rsidRPr="00CF3FEC">
              <w:rPr>
                <w:b/>
                <w:sz w:val="20"/>
                <w:szCs w:val="20"/>
              </w:rPr>
              <w:sym w:font="Wingdings" w:char="F0E2"/>
            </w:r>
          </w:p>
        </w:tc>
        <w:tc>
          <w:tcPr>
            <w:tcW w:w="103" w:type="pct"/>
            <w:vAlign w:val="center"/>
          </w:tcPr>
          <w:p w14:paraId="76AF2F29" w14:textId="77777777" w:rsidR="002075E2" w:rsidRPr="00CF3FEC" w:rsidRDefault="002075E2" w:rsidP="00121658">
            <w:pPr>
              <w:spacing w:before="0" w:line="240" w:lineRule="auto"/>
              <w:rPr>
                <w:sz w:val="20"/>
                <w:szCs w:val="20"/>
              </w:rPr>
            </w:pPr>
          </w:p>
        </w:tc>
        <w:tc>
          <w:tcPr>
            <w:tcW w:w="634" w:type="pct"/>
            <w:tcBorders>
              <w:top w:val="single" w:sz="4" w:space="0" w:color="auto"/>
            </w:tcBorders>
            <w:vAlign w:val="center"/>
          </w:tcPr>
          <w:p w14:paraId="39B124FE" w14:textId="77777777" w:rsidR="002075E2" w:rsidRPr="00CF3FEC" w:rsidRDefault="002075E2" w:rsidP="00121658">
            <w:pPr>
              <w:spacing w:before="0" w:line="240" w:lineRule="auto"/>
              <w:rPr>
                <w:sz w:val="20"/>
                <w:szCs w:val="20"/>
              </w:rPr>
            </w:pPr>
            <w:r w:rsidRPr="00CF3FEC">
              <w:rPr>
                <w:b/>
                <w:sz w:val="20"/>
                <w:szCs w:val="20"/>
              </w:rPr>
              <w:sym w:font="Wingdings" w:char="F0E2"/>
            </w:r>
          </w:p>
        </w:tc>
        <w:tc>
          <w:tcPr>
            <w:tcW w:w="104" w:type="pct"/>
            <w:tcBorders>
              <w:top w:val="single" w:sz="4" w:space="0" w:color="auto"/>
            </w:tcBorders>
            <w:vAlign w:val="center"/>
          </w:tcPr>
          <w:p w14:paraId="5BE4E9BB" w14:textId="77777777" w:rsidR="002075E2" w:rsidRPr="00CF3FEC" w:rsidRDefault="002075E2" w:rsidP="00121658">
            <w:pPr>
              <w:spacing w:before="0" w:line="240" w:lineRule="auto"/>
              <w:rPr>
                <w:sz w:val="20"/>
                <w:szCs w:val="20"/>
              </w:rPr>
            </w:pPr>
          </w:p>
        </w:tc>
        <w:tc>
          <w:tcPr>
            <w:tcW w:w="618" w:type="pct"/>
            <w:tcBorders>
              <w:top w:val="single" w:sz="4" w:space="0" w:color="auto"/>
            </w:tcBorders>
            <w:vAlign w:val="center"/>
          </w:tcPr>
          <w:p w14:paraId="77E79361" w14:textId="77777777" w:rsidR="002075E2" w:rsidRPr="00CF3FEC" w:rsidRDefault="002075E2" w:rsidP="00121658">
            <w:pPr>
              <w:spacing w:before="0" w:line="240" w:lineRule="auto"/>
              <w:rPr>
                <w:sz w:val="20"/>
                <w:szCs w:val="20"/>
              </w:rPr>
            </w:pPr>
            <w:r w:rsidRPr="00CF3FEC">
              <w:rPr>
                <w:b/>
                <w:sz w:val="20"/>
                <w:szCs w:val="20"/>
              </w:rPr>
              <w:sym w:font="Wingdings" w:char="F0E2"/>
            </w:r>
            <w:r w:rsidR="00011758">
              <w:rPr>
                <w:b/>
                <w:sz w:val="20"/>
                <w:szCs w:val="20"/>
              </w:rPr>
              <w:t xml:space="preserve"> </w:t>
            </w:r>
          </w:p>
        </w:tc>
      </w:tr>
      <w:tr w:rsidR="002075E2" w:rsidRPr="00CF3FEC" w14:paraId="18283692" w14:textId="77777777" w:rsidTr="002075E2">
        <w:tc>
          <w:tcPr>
            <w:tcW w:w="638" w:type="pct"/>
            <w:vAlign w:val="center"/>
          </w:tcPr>
          <w:p w14:paraId="54FEA317" w14:textId="77777777" w:rsidR="002075E2" w:rsidRPr="00CF3FEC" w:rsidRDefault="002075E2" w:rsidP="00121658">
            <w:pPr>
              <w:spacing w:before="0" w:line="240" w:lineRule="auto"/>
              <w:rPr>
                <w:b/>
                <w:sz w:val="20"/>
                <w:szCs w:val="20"/>
              </w:rPr>
            </w:pPr>
            <w:r>
              <w:rPr>
                <w:b/>
                <w:sz w:val="20"/>
                <w:szCs w:val="20"/>
              </w:rPr>
              <w:t>Go to</w:t>
            </w:r>
          </w:p>
        </w:tc>
        <w:tc>
          <w:tcPr>
            <w:tcW w:w="103" w:type="pct"/>
          </w:tcPr>
          <w:p w14:paraId="47C37AE1" w14:textId="77777777" w:rsidR="002075E2" w:rsidRPr="00CF3FEC" w:rsidRDefault="002075E2" w:rsidP="00121658">
            <w:pPr>
              <w:spacing w:before="0" w:line="240" w:lineRule="auto"/>
              <w:rPr>
                <w:sz w:val="20"/>
                <w:szCs w:val="20"/>
              </w:rPr>
            </w:pPr>
          </w:p>
        </w:tc>
        <w:tc>
          <w:tcPr>
            <w:tcW w:w="620" w:type="pct"/>
          </w:tcPr>
          <w:p w14:paraId="314DD531" w14:textId="77777777" w:rsidR="002075E2" w:rsidRPr="00CF3FEC" w:rsidRDefault="002075E2" w:rsidP="00121658">
            <w:pPr>
              <w:spacing w:before="0" w:line="240" w:lineRule="auto"/>
              <w:rPr>
                <w:b/>
                <w:sz w:val="20"/>
                <w:szCs w:val="20"/>
              </w:rPr>
            </w:pPr>
            <w:r>
              <w:rPr>
                <w:b/>
                <w:sz w:val="20"/>
                <w:szCs w:val="20"/>
              </w:rPr>
              <w:t>As for</w:t>
            </w:r>
          </w:p>
        </w:tc>
        <w:tc>
          <w:tcPr>
            <w:tcW w:w="113" w:type="pct"/>
            <w:vAlign w:val="center"/>
          </w:tcPr>
          <w:p w14:paraId="11F88F45" w14:textId="77777777" w:rsidR="002075E2" w:rsidRPr="00CF3FEC" w:rsidRDefault="002075E2" w:rsidP="00121658">
            <w:pPr>
              <w:spacing w:before="0" w:line="240" w:lineRule="auto"/>
              <w:rPr>
                <w:sz w:val="20"/>
                <w:szCs w:val="20"/>
              </w:rPr>
            </w:pPr>
          </w:p>
        </w:tc>
        <w:tc>
          <w:tcPr>
            <w:tcW w:w="662" w:type="pct"/>
            <w:vAlign w:val="center"/>
          </w:tcPr>
          <w:p w14:paraId="079D1513" w14:textId="77777777" w:rsidR="002075E2" w:rsidRPr="00CF3FEC" w:rsidRDefault="002075E2" w:rsidP="00121658">
            <w:pPr>
              <w:spacing w:before="0" w:line="240" w:lineRule="auto"/>
              <w:rPr>
                <w:b/>
                <w:sz w:val="20"/>
                <w:szCs w:val="20"/>
              </w:rPr>
            </w:pPr>
            <w:r>
              <w:rPr>
                <w:b/>
                <w:sz w:val="20"/>
                <w:szCs w:val="20"/>
              </w:rPr>
              <w:t>As for</w:t>
            </w:r>
          </w:p>
        </w:tc>
        <w:tc>
          <w:tcPr>
            <w:tcW w:w="112" w:type="pct"/>
            <w:vAlign w:val="center"/>
          </w:tcPr>
          <w:p w14:paraId="303E2690" w14:textId="77777777" w:rsidR="002075E2" w:rsidRPr="00CF3FEC" w:rsidRDefault="002075E2" w:rsidP="00121658">
            <w:pPr>
              <w:spacing w:before="0" w:line="240" w:lineRule="auto"/>
              <w:rPr>
                <w:sz w:val="20"/>
                <w:szCs w:val="20"/>
              </w:rPr>
            </w:pPr>
          </w:p>
        </w:tc>
        <w:tc>
          <w:tcPr>
            <w:tcW w:w="621" w:type="pct"/>
          </w:tcPr>
          <w:p w14:paraId="5B5A1FAD" w14:textId="77777777" w:rsidR="002075E2" w:rsidRDefault="002075E2" w:rsidP="00121658">
            <w:pPr>
              <w:spacing w:before="0" w:line="240" w:lineRule="auto"/>
              <w:rPr>
                <w:b/>
                <w:sz w:val="20"/>
                <w:szCs w:val="20"/>
              </w:rPr>
            </w:pPr>
            <w:r>
              <w:rPr>
                <w:b/>
                <w:sz w:val="20"/>
                <w:szCs w:val="20"/>
              </w:rPr>
              <w:t>Go to</w:t>
            </w:r>
          </w:p>
        </w:tc>
        <w:tc>
          <w:tcPr>
            <w:tcW w:w="103" w:type="pct"/>
          </w:tcPr>
          <w:p w14:paraId="2B7E26FC" w14:textId="77777777" w:rsidR="002075E2" w:rsidRDefault="002075E2" w:rsidP="00121658">
            <w:pPr>
              <w:spacing w:before="0" w:line="240" w:lineRule="auto"/>
              <w:rPr>
                <w:b/>
                <w:sz w:val="20"/>
                <w:szCs w:val="20"/>
              </w:rPr>
            </w:pPr>
          </w:p>
        </w:tc>
        <w:tc>
          <w:tcPr>
            <w:tcW w:w="559" w:type="pct"/>
          </w:tcPr>
          <w:p w14:paraId="21AA640C" w14:textId="77777777" w:rsidR="002075E2" w:rsidRPr="00CF3FEC" w:rsidRDefault="002075E2" w:rsidP="00121658">
            <w:pPr>
              <w:spacing w:before="0" w:line="240" w:lineRule="auto"/>
              <w:rPr>
                <w:b/>
                <w:sz w:val="20"/>
                <w:szCs w:val="20"/>
              </w:rPr>
            </w:pPr>
            <w:r>
              <w:rPr>
                <w:b/>
                <w:sz w:val="20"/>
                <w:szCs w:val="20"/>
              </w:rPr>
              <w:t>Go to</w:t>
            </w:r>
          </w:p>
        </w:tc>
        <w:tc>
          <w:tcPr>
            <w:tcW w:w="103" w:type="pct"/>
            <w:vAlign w:val="center"/>
          </w:tcPr>
          <w:p w14:paraId="20CCD350" w14:textId="77777777" w:rsidR="002075E2" w:rsidRPr="00CF3FEC" w:rsidRDefault="002075E2" w:rsidP="00121658">
            <w:pPr>
              <w:spacing w:before="0" w:line="240" w:lineRule="auto"/>
              <w:rPr>
                <w:sz w:val="20"/>
                <w:szCs w:val="20"/>
              </w:rPr>
            </w:pPr>
          </w:p>
        </w:tc>
        <w:tc>
          <w:tcPr>
            <w:tcW w:w="634" w:type="pct"/>
            <w:tcBorders>
              <w:bottom w:val="single" w:sz="4" w:space="0" w:color="auto"/>
            </w:tcBorders>
            <w:vAlign w:val="center"/>
          </w:tcPr>
          <w:p w14:paraId="6CD36B51" w14:textId="77777777" w:rsidR="002075E2" w:rsidRPr="00CF3FEC" w:rsidRDefault="002075E2" w:rsidP="00121658">
            <w:pPr>
              <w:spacing w:before="0" w:line="240" w:lineRule="auto"/>
              <w:rPr>
                <w:b/>
                <w:sz w:val="20"/>
                <w:szCs w:val="20"/>
              </w:rPr>
            </w:pPr>
          </w:p>
        </w:tc>
        <w:tc>
          <w:tcPr>
            <w:tcW w:w="104" w:type="pct"/>
            <w:tcBorders>
              <w:bottom w:val="single" w:sz="4" w:space="0" w:color="auto"/>
            </w:tcBorders>
            <w:vAlign w:val="center"/>
          </w:tcPr>
          <w:p w14:paraId="05C8F8AB" w14:textId="77777777" w:rsidR="002075E2" w:rsidRPr="00CF3FEC" w:rsidRDefault="002075E2" w:rsidP="00121658">
            <w:pPr>
              <w:spacing w:before="0" w:line="240" w:lineRule="auto"/>
              <w:rPr>
                <w:sz w:val="20"/>
                <w:szCs w:val="20"/>
              </w:rPr>
            </w:pPr>
          </w:p>
        </w:tc>
        <w:tc>
          <w:tcPr>
            <w:tcW w:w="630" w:type="pct"/>
            <w:gridSpan w:val="2"/>
            <w:tcBorders>
              <w:bottom w:val="single" w:sz="4" w:space="0" w:color="auto"/>
            </w:tcBorders>
            <w:vAlign w:val="center"/>
          </w:tcPr>
          <w:p w14:paraId="09F85D84" w14:textId="77777777" w:rsidR="002075E2" w:rsidRPr="00CF3FEC" w:rsidRDefault="002075E2" w:rsidP="00121658">
            <w:pPr>
              <w:spacing w:before="0" w:line="240" w:lineRule="auto"/>
              <w:rPr>
                <w:b/>
                <w:sz w:val="20"/>
                <w:szCs w:val="20"/>
              </w:rPr>
            </w:pPr>
          </w:p>
        </w:tc>
      </w:tr>
      <w:tr w:rsidR="002075E2" w:rsidRPr="00CF3FEC" w14:paraId="2BB71629" w14:textId="77777777" w:rsidTr="002075E2">
        <w:tc>
          <w:tcPr>
            <w:tcW w:w="638" w:type="pct"/>
            <w:tcBorders>
              <w:bottom w:val="single" w:sz="24" w:space="0" w:color="FFC000"/>
            </w:tcBorders>
            <w:vAlign w:val="center"/>
          </w:tcPr>
          <w:p w14:paraId="59C2398F" w14:textId="77777777" w:rsidR="002075E2" w:rsidRDefault="002075E2" w:rsidP="00121658">
            <w:pPr>
              <w:spacing w:before="0" w:line="240" w:lineRule="auto"/>
              <w:rPr>
                <w:b/>
                <w:sz w:val="20"/>
                <w:szCs w:val="20"/>
              </w:rPr>
            </w:pPr>
            <w:r w:rsidRPr="00B67B27">
              <w:rPr>
                <w:b/>
                <w:color w:val="E36C0A" w:themeColor="accent6" w:themeShade="BF"/>
                <w:sz w:val="20"/>
                <w:szCs w:val="20"/>
              </w:rPr>
              <w:t>Previously treated</w:t>
            </w:r>
          </w:p>
        </w:tc>
        <w:tc>
          <w:tcPr>
            <w:tcW w:w="103" w:type="pct"/>
          </w:tcPr>
          <w:p w14:paraId="0B26F779" w14:textId="77777777" w:rsidR="002075E2" w:rsidRPr="00CF3FEC" w:rsidRDefault="002075E2" w:rsidP="00121658">
            <w:pPr>
              <w:spacing w:before="0" w:line="240" w:lineRule="auto"/>
              <w:rPr>
                <w:sz w:val="20"/>
                <w:szCs w:val="20"/>
              </w:rPr>
            </w:pPr>
          </w:p>
        </w:tc>
        <w:tc>
          <w:tcPr>
            <w:tcW w:w="620" w:type="pct"/>
            <w:tcBorders>
              <w:bottom w:val="single" w:sz="24" w:space="0" w:color="C00000"/>
            </w:tcBorders>
            <w:vAlign w:val="center"/>
          </w:tcPr>
          <w:p w14:paraId="70F08C3C" w14:textId="77777777" w:rsidR="002075E2" w:rsidRPr="00CF3FEC" w:rsidRDefault="002075E2" w:rsidP="00121658">
            <w:pPr>
              <w:spacing w:before="0" w:line="240" w:lineRule="auto"/>
              <w:rPr>
                <w:b/>
                <w:sz w:val="20"/>
                <w:szCs w:val="20"/>
              </w:rPr>
            </w:pPr>
            <w:r w:rsidRPr="00B67B27">
              <w:rPr>
                <w:b/>
                <w:color w:val="E36C0A" w:themeColor="accent6" w:themeShade="BF"/>
                <w:sz w:val="20"/>
                <w:szCs w:val="20"/>
              </w:rPr>
              <w:t>Previously treated</w:t>
            </w:r>
          </w:p>
        </w:tc>
        <w:tc>
          <w:tcPr>
            <w:tcW w:w="113" w:type="pct"/>
            <w:vAlign w:val="center"/>
          </w:tcPr>
          <w:p w14:paraId="5740CB3D" w14:textId="77777777" w:rsidR="002075E2" w:rsidRPr="00CF3FEC" w:rsidRDefault="002075E2" w:rsidP="00121658">
            <w:pPr>
              <w:spacing w:before="0" w:line="240" w:lineRule="auto"/>
              <w:rPr>
                <w:sz w:val="20"/>
                <w:szCs w:val="20"/>
              </w:rPr>
            </w:pPr>
          </w:p>
        </w:tc>
        <w:tc>
          <w:tcPr>
            <w:tcW w:w="662" w:type="pct"/>
            <w:tcBorders>
              <w:bottom w:val="single" w:sz="24" w:space="0" w:color="C00000"/>
            </w:tcBorders>
            <w:vAlign w:val="center"/>
          </w:tcPr>
          <w:p w14:paraId="6BC1BD4C" w14:textId="77777777" w:rsidR="002075E2" w:rsidRPr="00CF3FEC" w:rsidRDefault="002075E2" w:rsidP="00121658">
            <w:pPr>
              <w:spacing w:before="0" w:line="240" w:lineRule="auto"/>
              <w:rPr>
                <w:b/>
                <w:sz w:val="20"/>
                <w:szCs w:val="20"/>
              </w:rPr>
            </w:pPr>
            <w:r w:rsidRPr="00B67B27">
              <w:rPr>
                <w:b/>
                <w:color w:val="E36C0A" w:themeColor="accent6" w:themeShade="BF"/>
                <w:sz w:val="20"/>
                <w:szCs w:val="20"/>
              </w:rPr>
              <w:t>Previously treated</w:t>
            </w:r>
          </w:p>
        </w:tc>
        <w:tc>
          <w:tcPr>
            <w:tcW w:w="112" w:type="pct"/>
            <w:vAlign w:val="center"/>
          </w:tcPr>
          <w:p w14:paraId="0287FA29" w14:textId="77777777" w:rsidR="002075E2" w:rsidRPr="00CF3FEC" w:rsidRDefault="002075E2" w:rsidP="00121658">
            <w:pPr>
              <w:spacing w:before="0" w:line="240" w:lineRule="auto"/>
              <w:rPr>
                <w:sz w:val="20"/>
                <w:szCs w:val="20"/>
              </w:rPr>
            </w:pPr>
          </w:p>
        </w:tc>
        <w:tc>
          <w:tcPr>
            <w:tcW w:w="621" w:type="pct"/>
            <w:tcBorders>
              <w:bottom w:val="single" w:sz="24" w:space="0" w:color="C00000"/>
            </w:tcBorders>
            <w:vAlign w:val="center"/>
          </w:tcPr>
          <w:p w14:paraId="35949996" w14:textId="77777777" w:rsidR="002075E2" w:rsidRDefault="002075E2" w:rsidP="00121658">
            <w:pPr>
              <w:spacing w:before="0" w:line="240" w:lineRule="auto"/>
              <w:rPr>
                <w:b/>
                <w:sz w:val="20"/>
                <w:szCs w:val="20"/>
              </w:rPr>
            </w:pPr>
            <w:r w:rsidRPr="00B67B27">
              <w:rPr>
                <w:b/>
                <w:color w:val="E36C0A" w:themeColor="accent6" w:themeShade="BF"/>
                <w:sz w:val="20"/>
                <w:szCs w:val="20"/>
              </w:rPr>
              <w:t>Previously treated</w:t>
            </w:r>
          </w:p>
        </w:tc>
        <w:tc>
          <w:tcPr>
            <w:tcW w:w="103" w:type="pct"/>
          </w:tcPr>
          <w:p w14:paraId="20D4ED28" w14:textId="77777777" w:rsidR="002075E2" w:rsidRDefault="002075E2" w:rsidP="00121658">
            <w:pPr>
              <w:spacing w:before="0" w:line="240" w:lineRule="auto"/>
              <w:rPr>
                <w:b/>
                <w:sz w:val="20"/>
                <w:szCs w:val="20"/>
              </w:rPr>
            </w:pPr>
          </w:p>
        </w:tc>
        <w:tc>
          <w:tcPr>
            <w:tcW w:w="559" w:type="pct"/>
            <w:tcBorders>
              <w:bottom w:val="single" w:sz="24" w:space="0" w:color="C00000"/>
            </w:tcBorders>
            <w:vAlign w:val="center"/>
          </w:tcPr>
          <w:p w14:paraId="239AE3F6" w14:textId="77777777" w:rsidR="002075E2" w:rsidRDefault="002075E2" w:rsidP="00121658">
            <w:pPr>
              <w:spacing w:before="0" w:line="240" w:lineRule="auto"/>
              <w:rPr>
                <w:b/>
                <w:sz w:val="20"/>
                <w:szCs w:val="20"/>
              </w:rPr>
            </w:pPr>
            <w:r w:rsidRPr="00B67B27">
              <w:rPr>
                <w:b/>
                <w:color w:val="E36C0A" w:themeColor="accent6" w:themeShade="BF"/>
                <w:sz w:val="20"/>
                <w:szCs w:val="20"/>
              </w:rPr>
              <w:t>Previously treated</w:t>
            </w:r>
          </w:p>
        </w:tc>
        <w:tc>
          <w:tcPr>
            <w:tcW w:w="103" w:type="pct"/>
            <w:tcBorders>
              <w:right w:val="single" w:sz="4" w:space="0" w:color="auto"/>
            </w:tcBorders>
            <w:vAlign w:val="center"/>
          </w:tcPr>
          <w:p w14:paraId="08281256" w14:textId="77777777" w:rsidR="002075E2" w:rsidRPr="00CF3FEC" w:rsidRDefault="002075E2" w:rsidP="00121658">
            <w:pPr>
              <w:spacing w:before="0" w:line="240" w:lineRule="auto"/>
              <w:rPr>
                <w:sz w:val="20"/>
                <w:szCs w:val="20"/>
              </w:rPr>
            </w:pPr>
          </w:p>
        </w:tc>
        <w:tc>
          <w:tcPr>
            <w:tcW w:w="1367" w:type="pct"/>
            <w:gridSpan w:val="4"/>
            <w:vMerge w:val="restart"/>
            <w:tcBorders>
              <w:top w:val="single" w:sz="4" w:space="0" w:color="auto"/>
              <w:left w:val="single" w:sz="4" w:space="0" w:color="auto"/>
              <w:bottom w:val="single" w:sz="4" w:space="0" w:color="auto"/>
              <w:right w:val="single" w:sz="4" w:space="0" w:color="auto"/>
            </w:tcBorders>
            <w:vAlign w:val="center"/>
          </w:tcPr>
          <w:p w14:paraId="0454290A" w14:textId="77777777" w:rsidR="002075E2" w:rsidRPr="00CF3FEC" w:rsidRDefault="002075E2" w:rsidP="00121658">
            <w:pPr>
              <w:spacing w:before="0" w:line="240" w:lineRule="auto"/>
              <w:rPr>
                <w:b/>
                <w:sz w:val="20"/>
                <w:szCs w:val="20"/>
              </w:rPr>
            </w:pPr>
            <w:r>
              <w:rPr>
                <w:b/>
                <w:sz w:val="20"/>
                <w:szCs w:val="20"/>
              </w:rPr>
              <w:t xml:space="preserve">Consider clinical trial eligibility; atrial </w:t>
            </w:r>
            <w:proofErr w:type="spellStart"/>
            <w:r>
              <w:rPr>
                <w:b/>
                <w:sz w:val="20"/>
                <w:szCs w:val="20"/>
              </w:rPr>
              <w:t>septostomy</w:t>
            </w:r>
            <w:proofErr w:type="spellEnd"/>
            <w:r>
              <w:rPr>
                <w:b/>
                <w:sz w:val="20"/>
                <w:szCs w:val="20"/>
              </w:rPr>
              <w:t>; lung transplant</w:t>
            </w:r>
          </w:p>
        </w:tc>
      </w:tr>
      <w:tr w:rsidR="002075E2" w:rsidRPr="00CF3FEC" w14:paraId="0B24CC92" w14:textId="77777777" w:rsidTr="002075E2">
        <w:tc>
          <w:tcPr>
            <w:tcW w:w="638" w:type="pct"/>
            <w:tcBorders>
              <w:top w:val="single" w:sz="24" w:space="0" w:color="FFC000"/>
              <w:left w:val="single" w:sz="24" w:space="0" w:color="FFC000"/>
              <w:bottom w:val="single" w:sz="24" w:space="0" w:color="FFC000"/>
              <w:right w:val="single" w:sz="24" w:space="0" w:color="FFC000"/>
            </w:tcBorders>
            <w:vAlign w:val="center"/>
          </w:tcPr>
          <w:p w14:paraId="29D9FF35" w14:textId="77777777" w:rsidR="002075E2" w:rsidRDefault="002075E2" w:rsidP="00121658">
            <w:pPr>
              <w:spacing w:before="0" w:line="240" w:lineRule="auto"/>
              <w:rPr>
                <w:b/>
                <w:sz w:val="20"/>
                <w:szCs w:val="20"/>
              </w:rPr>
            </w:pPr>
            <w:r w:rsidRPr="00CF3FEC">
              <w:rPr>
                <w:sz w:val="20"/>
                <w:szCs w:val="20"/>
              </w:rPr>
              <w:t>WHO FC III</w:t>
            </w:r>
          </w:p>
        </w:tc>
        <w:tc>
          <w:tcPr>
            <w:tcW w:w="103" w:type="pct"/>
            <w:tcBorders>
              <w:left w:val="single" w:sz="24" w:space="0" w:color="FFC000"/>
              <w:right w:val="single" w:sz="24" w:space="0" w:color="C00000"/>
            </w:tcBorders>
          </w:tcPr>
          <w:p w14:paraId="2B2065B4" w14:textId="77777777" w:rsidR="002075E2" w:rsidRPr="00CF3FEC" w:rsidRDefault="002075E2" w:rsidP="00121658">
            <w:pPr>
              <w:spacing w:before="0" w:line="240" w:lineRule="auto"/>
              <w:rPr>
                <w:sz w:val="20"/>
                <w:szCs w:val="20"/>
              </w:rPr>
            </w:pPr>
          </w:p>
        </w:tc>
        <w:tc>
          <w:tcPr>
            <w:tcW w:w="620" w:type="pct"/>
            <w:tcBorders>
              <w:top w:val="single" w:sz="24" w:space="0" w:color="C00000"/>
              <w:left w:val="single" w:sz="24" w:space="0" w:color="C00000"/>
              <w:bottom w:val="single" w:sz="24" w:space="0" w:color="C00000"/>
              <w:right w:val="single" w:sz="24" w:space="0" w:color="C00000"/>
            </w:tcBorders>
            <w:vAlign w:val="center"/>
          </w:tcPr>
          <w:p w14:paraId="14EA6EE1" w14:textId="77777777" w:rsidR="002075E2" w:rsidRPr="00CF3FEC" w:rsidRDefault="002075E2" w:rsidP="00121658">
            <w:pPr>
              <w:spacing w:before="0" w:line="240" w:lineRule="auto"/>
              <w:rPr>
                <w:b/>
                <w:sz w:val="20"/>
                <w:szCs w:val="20"/>
              </w:rPr>
            </w:pPr>
            <w:r w:rsidRPr="00CF3FEC">
              <w:rPr>
                <w:sz w:val="20"/>
                <w:szCs w:val="20"/>
              </w:rPr>
              <w:t>WHO FC IV</w:t>
            </w:r>
          </w:p>
        </w:tc>
        <w:tc>
          <w:tcPr>
            <w:tcW w:w="113" w:type="pct"/>
            <w:tcBorders>
              <w:left w:val="single" w:sz="24" w:space="0" w:color="C00000"/>
              <w:right w:val="single" w:sz="24" w:space="0" w:color="C00000"/>
            </w:tcBorders>
            <w:vAlign w:val="center"/>
          </w:tcPr>
          <w:p w14:paraId="00AC61F8" w14:textId="77777777" w:rsidR="002075E2" w:rsidRPr="00CF3FEC" w:rsidRDefault="002075E2" w:rsidP="00121658">
            <w:pPr>
              <w:spacing w:before="0" w:line="240" w:lineRule="auto"/>
              <w:rPr>
                <w:sz w:val="20"/>
                <w:szCs w:val="20"/>
              </w:rPr>
            </w:pPr>
          </w:p>
        </w:tc>
        <w:tc>
          <w:tcPr>
            <w:tcW w:w="662" w:type="pct"/>
            <w:tcBorders>
              <w:top w:val="single" w:sz="24" w:space="0" w:color="C00000"/>
              <w:left w:val="single" w:sz="24" w:space="0" w:color="C00000"/>
              <w:bottom w:val="single" w:sz="24" w:space="0" w:color="C00000"/>
              <w:right w:val="single" w:sz="24" w:space="0" w:color="C00000"/>
            </w:tcBorders>
            <w:vAlign w:val="center"/>
          </w:tcPr>
          <w:p w14:paraId="70370B5B" w14:textId="77777777" w:rsidR="002075E2" w:rsidRPr="00CF3FEC" w:rsidRDefault="002075E2" w:rsidP="00121658">
            <w:pPr>
              <w:spacing w:before="0" w:line="240" w:lineRule="auto"/>
              <w:rPr>
                <w:b/>
                <w:sz w:val="20"/>
                <w:szCs w:val="20"/>
              </w:rPr>
            </w:pPr>
            <w:r w:rsidRPr="00CF3FEC">
              <w:rPr>
                <w:sz w:val="20"/>
                <w:szCs w:val="20"/>
              </w:rPr>
              <w:t>WHO FC IV</w:t>
            </w:r>
          </w:p>
        </w:tc>
        <w:tc>
          <w:tcPr>
            <w:tcW w:w="112" w:type="pct"/>
            <w:tcBorders>
              <w:left w:val="single" w:sz="24" w:space="0" w:color="C00000"/>
              <w:right w:val="single" w:sz="24" w:space="0" w:color="C00000"/>
            </w:tcBorders>
            <w:vAlign w:val="center"/>
          </w:tcPr>
          <w:p w14:paraId="0ABB9EF8" w14:textId="77777777" w:rsidR="002075E2" w:rsidRPr="00CF3FEC" w:rsidRDefault="002075E2" w:rsidP="00121658">
            <w:pPr>
              <w:spacing w:before="0" w:line="240" w:lineRule="auto"/>
              <w:rPr>
                <w:sz w:val="20"/>
                <w:szCs w:val="20"/>
              </w:rPr>
            </w:pPr>
          </w:p>
        </w:tc>
        <w:tc>
          <w:tcPr>
            <w:tcW w:w="621" w:type="pct"/>
            <w:tcBorders>
              <w:top w:val="single" w:sz="24" w:space="0" w:color="C00000"/>
              <w:left w:val="single" w:sz="24" w:space="0" w:color="C00000"/>
              <w:bottom w:val="single" w:sz="24" w:space="0" w:color="C00000"/>
              <w:right w:val="single" w:sz="24" w:space="0" w:color="C00000"/>
            </w:tcBorders>
            <w:vAlign w:val="center"/>
          </w:tcPr>
          <w:p w14:paraId="5ACE4751" w14:textId="77777777" w:rsidR="002075E2" w:rsidRDefault="002075E2" w:rsidP="00121658">
            <w:pPr>
              <w:spacing w:before="0" w:line="240" w:lineRule="auto"/>
              <w:rPr>
                <w:b/>
                <w:sz w:val="20"/>
                <w:szCs w:val="20"/>
              </w:rPr>
            </w:pPr>
            <w:r w:rsidRPr="00CF3FEC">
              <w:rPr>
                <w:sz w:val="20"/>
                <w:szCs w:val="20"/>
              </w:rPr>
              <w:t>WHO FC IV</w:t>
            </w:r>
          </w:p>
        </w:tc>
        <w:tc>
          <w:tcPr>
            <w:tcW w:w="103" w:type="pct"/>
            <w:tcBorders>
              <w:left w:val="single" w:sz="24" w:space="0" w:color="C00000"/>
              <w:right w:val="single" w:sz="24" w:space="0" w:color="C00000"/>
            </w:tcBorders>
          </w:tcPr>
          <w:p w14:paraId="3692C33F" w14:textId="77777777" w:rsidR="002075E2" w:rsidRDefault="002075E2" w:rsidP="00121658">
            <w:pPr>
              <w:spacing w:before="0" w:line="240" w:lineRule="auto"/>
              <w:rPr>
                <w:b/>
                <w:sz w:val="20"/>
                <w:szCs w:val="20"/>
              </w:rPr>
            </w:pPr>
          </w:p>
        </w:tc>
        <w:tc>
          <w:tcPr>
            <w:tcW w:w="559" w:type="pct"/>
            <w:tcBorders>
              <w:top w:val="single" w:sz="24" w:space="0" w:color="C00000"/>
              <w:left w:val="single" w:sz="24" w:space="0" w:color="C00000"/>
              <w:bottom w:val="single" w:sz="24" w:space="0" w:color="C00000"/>
              <w:right w:val="single" w:sz="24" w:space="0" w:color="C00000"/>
            </w:tcBorders>
            <w:vAlign w:val="center"/>
          </w:tcPr>
          <w:p w14:paraId="3759130A" w14:textId="77777777" w:rsidR="002075E2" w:rsidRDefault="002075E2" w:rsidP="00121658">
            <w:pPr>
              <w:spacing w:before="0" w:line="240" w:lineRule="auto"/>
              <w:rPr>
                <w:b/>
                <w:sz w:val="20"/>
                <w:szCs w:val="20"/>
              </w:rPr>
            </w:pPr>
            <w:r w:rsidRPr="00CF3FEC">
              <w:rPr>
                <w:sz w:val="20"/>
                <w:szCs w:val="20"/>
              </w:rPr>
              <w:t>WHO FC IV</w:t>
            </w:r>
          </w:p>
        </w:tc>
        <w:tc>
          <w:tcPr>
            <w:tcW w:w="103" w:type="pct"/>
            <w:tcBorders>
              <w:left w:val="single" w:sz="24" w:space="0" w:color="C00000"/>
              <w:right w:val="single" w:sz="4" w:space="0" w:color="auto"/>
            </w:tcBorders>
            <w:vAlign w:val="center"/>
          </w:tcPr>
          <w:p w14:paraId="6F3C4796" w14:textId="77777777" w:rsidR="002075E2" w:rsidRPr="00CF3FEC" w:rsidRDefault="002075E2" w:rsidP="00121658">
            <w:pPr>
              <w:spacing w:before="0" w:line="240" w:lineRule="auto"/>
              <w:rPr>
                <w:sz w:val="20"/>
                <w:szCs w:val="20"/>
              </w:rPr>
            </w:pPr>
          </w:p>
        </w:tc>
        <w:tc>
          <w:tcPr>
            <w:tcW w:w="1367" w:type="pct"/>
            <w:gridSpan w:val="4"/>
            <w:vMerge/>
            <w:tcBorders>
              <w:left w:val="single" w:sz="4" w:space="0" w:color="auto"/>
              <w:bottom w:val="single" w:sz="4" w:space="0" w:color="auto"/>
              <w:right w:val="single" w:sz="4" w:space="0" w:color="auto"/>
            </w:tcBorders>
          </w:tcPr>
          <w:p w14:paraId="76934757" w14:textId="77777777" w:rsidR="002075E2" w:rsidRPr="00CF3FEC" w:rsidRDefault="002075E2" w:rsidP="00121658">
            <w:pPr>
              <w:spacing w:before="0" w:line="240" w:lineRule="auto"/>
              <w:rPr>
                <w:b/>
                <w:sz w:val="20"/>
                <w:szCs w:val="20"/>
              </w:rPr>
            </w:pPr>
          </w:p>
        </w:tc>
      </w:tr>
    </w:tbl>
    <w:p w14:paraId="1DC8A92D" w14:textId="77777777" w:rsidR="001D561A" w:rsidRDefault="001D561A" w:rsidP="00121658">
      <w:pPr>
        <w:pStyle w:val="Tablenote"/>
        <w:spacing w:before="120"/>
        <w:rPr>
          <w:rFonts w:ascii="Arial Narrow" w:hAnsi="Arial Narrow"/>
        </w:rPr>
      </w:pPr>
      <w:r w:rsidRPr="00F04B81">
        <w:rPr>
          <w:rFonts w:ascii="Arial Narrow" w:hAnsi="Arial Narrow"/>
        </w:rPr>
        <w:t>Source: Guideline recommendations</w:t>
      </w:r>
      <w:r w:rsidR="00F04B81" w:rsidRPr="00F04B81">
        <w:rPr>
          <w:rFonts w:ascii="Arial Narrow" w:hAnsi="Arial Narrow"/>
        </w:rPr>
        <w:t xml:space="preserve"> in </w:t>
      </w:r>
      <w:r w:rsidR="00505D99" w:rsidRPr="00505D99">
        <w:rPr>
          <w:rFonts w:ascii="Arial Narrow" w:hAnsi="Arial Narrow"/>
        </w:rPr>
        <w:t>Table 1.7</w:t>
      </w:r>
      <w:r w:rsidR="00505D99" w:rsidRPr="00250EDE">
        <w:t xml:space="preserve"> </w:t>
      </w:r>
      <w:r w:rsidR="00505D99">
        <w:tab/>
        <w:t>Guideline recommendations supporting the therapy pathways</w:t>
      </w:r>
      <w:r w:rsidR="00F04B81">
        <w:rPr>
          <w:rFonts w:ascii="Arial Narrow" w:hAnsi="Arial Narrow"/>
        </w:rPr>
        <w:t>;</w:t>
      </w:r>
      <w:r w:rsidRPr="00F04B81">
        <w:rPr>
          <w:rFonts w:ascii="Arial Narrow" w:hAnsi="Arial Narrow"/>
        </w:rPr>
        <w:t xml:space="preserve"> from sources in</w:t>
      </w:r>
      <w:r w:rsidR="00901B9B">
        <w:rPr>
          <w:rFonts w:ascii="Arial Narrow" w:hAnsi="Arial Narrow"/>
        </w:rPr>
        <w:t xml:space="preserve"> Table 1.1</w:t>
      </w:r>
      <w:r w:rsidRPr="00F04B81">
        <w:rPr>
          <w:rFonts w:ascii="Arial Narrow" w:hAnsi="Arial Narrow"/>
        </w:rPr>
        <w:t xml:space="preserve">. </w:t>
      </w:r>
    </w:p>
    <w:p w14:paraId="360ED64D" w14:textId="77777777" w:rsidR="001D561A" w:rsidRDefault="001D561A" w:rsidP="00121658">
      <w:pPr>
        <w:spacing w:before="0" w:line="240" w:lineRule="auto"/>
        <w:rPr>
          <w:rFonts w:ascii="Arial Narrow" w:eastAsiaTheme="minorEastAsia" w:hAnsi="Arial Narrow" w:cs="Baskerville"/>
          <w:sz w:val="20"/>
          <w:szCs w:val="20"/>
          <w:lang w:eastAsia="en-AU"/>
        </w:rPr>
      </w:pPr>
      <w:r>
        <w:rPr>
          <w:rFonts w:ascii="Arial Narrow" w:hAnsi="Arial Narrow"/>
        </w:rPr>
        <w:br w:type="page"/>
      </w:r>
    </w:p>
    <w:p w14:paraId="72400F3A" w14:textId="77777777" w:rsidR="001D561A" w:rsidRDefault="00250EDE" w:rsidP="00250EDE">
      <w:pPr>
        <w:pStyle w:val="Caption"/>
        <w:jc w:val="left"/>
      </w:pPr>
      <w:bookmarkStart w:id="157" w:name="_Ref510796261"/>
      <w:bookmarkStart w:id="158" w:name="_Ref508896252"/>
      <w:bookmarkStart w:id="159" w:name="_Toc29377253"/>
      <w:r>
        <w:lastRenderedPageBreak/>
        <w:t>Table 1.</w:t>
      </w:r>
      <w:r w:rsidR="00505D99">
        <w:rPr>
          <w:noProof/>
        </w:rPr>
        <w:t>7</w:t>
      </w:r>
      <w:bookmarkEnd w:id="157"/>
      <w:r w:rsidRPr="00250EDE">
        <w:t xml:space="preserve"> </w:t>
      </w:r>
      <w:r>
        <w:tab/>
        <w:t>Guideline recommendations supporting the therapy pathways</w:t>
      </w:r>
      <w:bookmarkEnd w:id="158"/>
      <w:bookmarkEnd w:id="159"/>
    </w:p>
    <w:tbl>
      <w:tblPr>
        <w:tblStyle w:val="TableGrid"/>
        <w:tblW w:w="0" w:type="auto"/>
        <w:tblLook w:val="04A0" w:firstRow="1" w:lastRow="0" w:firstColumn="1" w:lastColumn="0" w:noHBand="0" w:noVBand="1"/>
        <w:tblCaption w:val="Guideline recommendations supporting the therapy pathways"/>
      </w:tblPr>
      <w:tblGrid>
        <w:gridCol w:w="1974"/>
        <w:gridCol w:w="5866"/>
        <w:gridCol w:w="6108"/>
      </w:tblGrid>
      <w:tr w:rsidR="001D561A" w:rsidRPr="002C3009" w14:paraId="4706C9C8" w14:textId="77777777" w:rsidTr="002C3009">
        <w:trPr>
          <w:cnfStyle w:val="100000000000" w:firstRow="1" w:lastRow="0" w:firstColumn="0" w:lastColumn="0" w:oddVBand="0" w:evenVBand="0" w:oddHBand="0" w:evenHBand="0" w:firstRowFirstColumn="0" w:firstRowLastColumn="0" w:lastRowFirstColumn="0" w:lastRowLastColumn="0"/>
        </w:trPr>
        <w:tc>
          <w:tcPr>
            <w:tcW w:w="0" w:type="auto"/>
            <w:tcBorders>
              <w:bottom w:val="single" w:sz="4" w:space="0" w:color="auto"/>
            </w:tcBorders>
          </w:tcPr>
          <w:p w14:paraId="1E951A4F" w14:textId="77777777" w:rsidR="001D561A" w:rsidRPr="002C3009" w:rsidRDefault="001D561A" w:rsidP="00362707">
            <w:pPr>
              <w:spacing w:before="40" w:after="40" w:line="240" w:lineRule="auto"/>
              <w:ind w:left="147" w:right="57"/>
              <w:rPr>
                <w:rFonts w:ascii="Arial" w:hAnsi="Arial" w:cs="Arial"/>
                <w:b/>
                <w:sz w:val="20"/>
                <w:szCs w:val="20"/>
              </w:rPr>
            </w:pPr>
            <w:r w:rsidRPr="002C3009">
              <w:rPr>
                <w:rFonts w:ascii="Arial" w:hAnsi="Arial" w:cs="Arial"/>
                <w:b/>
                <w:sz w:val="20"/>
                <w:szCs w:val="20"/>
              </w:rPr>
              <w:t>Patient Group</w:t>
            </w:r>
          </w:p>
        </w:tc>
        <w:tc>
          <w:tcPr>
            <w:tcW w:w="0" w:type="auto"/>
            <w:tcBorders>
              <w:bottom w:val="single" w:sz="4" w:space="0" w:color="auto"/>
            </w:tcBorders>
          </w:tcPr>
          <w:p w14:paraId="591F1473" w14:textId="77777777" w:rsidR="001D561A" w:rsidRPr="002C3009" w:rsidRDefault="00F13710" w:rsidP="00362707">
            <w:pPr>
              <w:spacing w:before="40" w:after="40" w:line="240" w:lineRule="auto"/>
              <w:ind w:left="142" w:right="57"/>
              <w:rPr>
                <w:rFonts w:ascii="Arial" w:hAnsi="Arial" w:cs="Arial"/>
                <w:b/>
                <w:sz w:val="20"/>
                <w:szCs w:val="20"/>
              </w:rPr>
            </w:pPr>
            <w:r w:rsidRPr="002C3009">
              <w:rPr>
                <w:rFonts w:ascii="Arial" w:hAnsi="Arial" w:cs="Arial"/>
                <w:b/>
                <w:sz w:val="20"/>
                <w:szCs w:val="20"/>
              </w:rPr>
              <w:t xml:space="preserve">CHEST </w:t>
            </w:r>
            <w:r w:rsidR="001D561A" w:rsidRPr="002C3009">
              <w:rPr>
                <w:rFonts w:ascii="Arial" w:hAnsi="Arial" w:cs="Arial"/>
                <w:b/>
                <w:sz w:val="20"/>
                <w:szCs w:val="20"/>
              </w:rPr>
              <w:t>Guideline</w:t>
            </w:r>
            <w:r w:rsidR="009C556B" w:rsidRPr="009C556B">
              <w:rPr>
                <w:rFonts w:ascii="Arial" w:hAnsi="Arial" w:cs="Arial"/>
                <w:b/>
                <w:noProof/>
                <w:sz w:val="20"/>
                <w:szCs w:val="20"/>
                <w:vertAlign w:val="superscript"/>
              </w:rPr>
              <w:t>19</w:t>
            </w:r>
          </w:p>
        </w:tc>
        <w:tc>
          <w:tcPr>
            <w:tcW w:w="0" w:type="auto"/>
            <w:tcBorders>
              <w:bottom w:val="single" w:sz="4" w:space="0" w:color="auto"/>
            </w:tcBorders>
          </w:tcPr>
          <w:p w14:paraId="1860721F" w14:textId="77777777" w:rsidR="001D561A" w:rsidRPr="002C3009" w:rsidRDefault="00221D4C" w:rsidP="00362707">
            <w:pPr>
              <w:spacing w:before="40" w:after="40" w:line="240" w:lineRule="auto"/>
              <w:ind w:left="147" w:right="57"/>
              <w:rPr>
                <w:b/>
              </w:rPr>
            </w:pPr>
            <w:r w:rsidRPr="00362707">
              <w:rPr>
                <w:rFonts w:ascii="Arial" w:hAnsi="Arial" w:cs="Arial"/>
                <w:b/>
                <w:sz w:val="20"/>
                <w:szCs w:val="20"/>
              </w:rPr>
              <w:t xml:space="preserve">2015 </w:t>
            </w:r>
            <w:r w:rsidR="0018277C" w:rsidRPr="00362707">
              <w:rPr>
                <w:rFonts w:ascii="Arial" w:hAnsi="Arial" w:cs="Arial"/>
                <w:b/>
                <w:sz w:val="20"/>
                <w:szCs w:val="20"/>
              </w:rPr>
              <w:t>ESC/ERS Guideline</w:t>
            </w:r>
            <w:r w:rsidRPr="00362707">
              <w:rPr>
                <w:rFonts w:ascii="Arial" w:hAnsi="Arial" w:cs="Arial"/>
                <w:b/>
                <w:sz w:val="20"/>
                <w:szCs w:val="20"/>
              </w:rPr>
              <w:t>s</w:t>
            </w:r>
            <w:r w:rsidR="009C556B" w:rsidRPr="002C3009">
              <w:rPr>
                <w:b/>
                <w:noProof/>
                <w:vertAlign w:val="superscript"/>
              </w:rPr>
              <w:t>8</w:t>
            </w:r>
          </w:p>
        </w:tc>
      </w:tr>
      <w:tr w:rsidR="00F04B81" w:rsidRPr="00F10B38" w14:paraId="32626AAF" w14:textId="77777777" w:rsidTr="002C3009">
        <w:tc>
          <w:tcPr>
            <w:tcW w:w="0" w:type="auto"/>
            <w:tcBorders>
              <w:right w:val="nil"/>
            </w:tcBorders>
            <w:shd w:val="clear" w:color="auto" w:fill="FFFFFF" w:themeFill="background1"/>
          </w:tcPr>
          <w:p w14:paraId="6A77D22C" w14:textId="77777777" w:rsidR="00F04B81" w:rsidRPr="00F10B38" w:rsidRDefault="00F04B81" w:rsidP="00F10B38">
            <w:pPr>
              <w:spacing w:before="0" w:line="240" w:lineRule="auto"/>
              <w:ind w:left="147" w:right="57"/>
              <w:rPr>
                <w:rFonts w:ascii="Arial" w:hAnsi="Arial" w:cs="Arial"/>
                <w:b/>
                <w:sz w:val="20"/>
                <w:szCs w:val="20"/>
              </w:rPr>
            </w:pPr>
            <w:r w:rsidRPr="00F10B38">
              <w:rPr>
                <w:rFonts w:ascii="Arial" w:hAnsi="Arial" w:cs="Arial"/>
                <w:b/>
                <w:sz w:val="20"/>
                <w:szCs w:val="20"/>
              </w:rPr>
              <w:t>General comments</w:t>
            </w:r>
          </w:p>
        </w:tc>
        <w:tc>
          <w:tcPr>
            <w:tcW w:w="0" w:type="auto"/>
            <w:tcBorders>
              <w:left w:val="nil"/>
              <w:right w:val="nil"/>
            </w:tcBorders>
            <w:shd w:val="clear" w:color="auto" w:fill="FFFFFF" w:themeFill="background1"/>
          </w:tcPr>
          <w:p w14:paraId="11C6DDFE" w14:textId="77777777" w:rsidR="00F04B81" w:rsidRPr="00F10B38" w:rsidRDefault="00F04B81" w:rsidP="0066711F">
            <w:pPr>
              <w:spacing w:before="0" w:line="240" w:lineRule="auto"/>
              <w:ind w:left="143" w:right="57"/>
              <w:rPr>
                <w:rFonts w:ascii="Arial" w:hAnsi="Arial" w:cs="Arial"/>
                <w:b/>
                <w:sz w:val="20"/>
                <w:szCs w:val="20"/>
              </w:rPr>
            </w:pPr>
          </w:p>
        </w:tc>
        <w:tc>
          <w:tcPr>
            <w:tcW w:w="0" w:type="auto"/>
            <w:tcBorders>
              <w:left w:val="nil"/>
            </w:tcBorders>
            <w:shd w:val="clear" w:color="auto" w:fill="F2F2F2" w:themeFill="background1" w:themeFillShade="F2"/>
          </w:tcPr>
          <w:p w14:paraId="153F245B" w14:textId="77777777" w:rsidR="00F04B81" w:rsidRPr="00F10B38" w:rsidRDefault="00F04B81" w:rsidP="002C3009">
            <w:pPr>
              <w:pStyle w:val="06Tabletextspacebefore"/>
            </w:pPr>
          </w:p>
        </w:tc>
      </w:tr>
      <w:tr w:rsidR="00F04B81" w:rsidRPr="00F10B38" w14:paraId="566C1648" w14:textId="77777777" w:rsidTr="00F04B81">
        <w:tc>
          <w:tcPr>
            <w:tcW w:w="0" w:type="auto"/>
          </w:tcPr>
          <w:p w14:paraId="04A39B30" w14:textId="77777777" w:rsidR="00F04B81" w:rsidRPr="002C3009" w:rsidRDefault="00F04B81" w:rsidP="00F10B38">
            <w:pPr>
              <w:spacing w:before="0" w:line="240" w:lineRule="auto"/>
              <w:ind w:left="147" w:right="57"/>
              <w:rPr>
                <w:rFonts w:ascii="Arial" w:hAnsi="Arial" w:cs="Arial"/>
                <w:sz w:val="20"/>
                <w:szCs w:val="20"/>
              </w:rPr>
            </w:pPr>
            <w:r w:rsidRPr="002C3009">
              <w:rPr>
                <w:rFonts w:ascii="Arial" w:hAnsi="Arial" w:cs="Arial"/>
                <w:sz w:val="20"/>
                <w:szCs w:val="20"/>
              </w:rPr>
              <w:t xml:space="preserve">Choice of </w:t>
            </w:r>
            <w:r w:rsidR="00517C17" w:rsidRPr="002C3009">
              <w:rPr>
                <w:rFonts w:ascii="Arial" w:hAnsi="Arial" w:cs="Arial"/>
                <w:sz w:val="20"/>
                <w:szCs w:val="20"/>
              </w:rPr>
              <w:t>medicine</w:t>
            </w:r>
            <w:r w:rsidRPr="002C3009">
              <w:rPr>
                <w:rFonts w:ascii="Arial" w:hAnsi="Arial" w:cs="Arial"/>
                <w:sz w:val="20"/>
                <w:szCs w:val="20"/>
              </w:rPr>
              <w:t xml:space="preserve"> – monotherapy </w:t>
            </w:r>
          </w:p>
        </w:tc>
        <w:tc>
          <w:tcPr>
            <w:tcW w:w="0" w:type="auto"/>
          </w:tcPr>
          <w:p w14:paraId="13852B39" w14:textId="77777777" w:rsidR="00F04B81" w:rsidRPr="002C3009" w:rsidRDefault="00F04B81" w:rsidP="0066711F">
            <w:pPr>
              <w:spacing w:before="0" w:line="240" w:lineRule="auto"/>
              <w:ind w:left="143" w:right="57"/>
              <w:rPr>
                <w:rFonts w:ascii="Arial" w:hAnsi="Arial" w:cs="Arial"/>
                <w:i/>
                <w:sz w:val="20"/>
                <w:szCs w:val="20"/>
              </w:rPr>
            </w:pPr>
            <w:r w:rsidRPr="002C3009">
              <w:rPr>
                <w:rFonts w:ascii="Arial" w:hAnsi="Arial" w:cs="Arial"/>
                <w:i/>
                <w:sz w:val="20"/>
                <w:szCs w:val="20"/>
              </w:rPr>
              <w:t xml:space="preserve">“Direct comparisons of available oral therapies for PAH monotherapy for treatment-naive patients have not been performed, and we do not make recommendations or suggestions of one </w:t>
            </w:r>
            <w:r w:rsidR="00517C17" w:rsidRPr="002C3009">
              <w:rPr>
                <w:rFonts w:ascii="Arial" w:hAnsi="Arial" w:cs="Arial"/>
                <w:i/>
                <w:sz w:val="20"/>
                <w:szCs w:val="20"/>
              </w:rPr>
              <w:t>medicine</w:t>
            </w:r>
            <w:r w:rsidRPr="002C3009">
              <w:rPr>
                <w:rFonts w:ascii="Arial" w:hAnsi="Arial" w:cs="Arial"/>
                <w:i/>
                <w:sz w:val="20"/>
                <w:szCs w:val="20"/>
              </w:rPr>
              <w:t xml:space="preserve">, or class of </w:t>
            </w:r>
            <w:r w:rsidR="00517C17" w:rsidRPr="002C3009">
              <w:rPr>
                <w:rFonts w:ascii="Arial" w:hAnsi="Arial" w:cs="Arial"/>
                <w:i/>
                <w:sz w:val="20"/>
                <w:szCs w:val="20"/>
              </w:rPr>
              <w:t>medicine</w:t>
            </w:r>
            <w:r w:rsidRPr="002C3009">
              <w:rPr>
                <w:rFonts w:ascii="Arial" w:hAnsi="Arial" w:cs="Arial"/>
                <w:i/>
                <w:sz w:val="20"/>
                <w:szCs w:val="20"/>
              </w:rPr>
              <w:t xml:space="preserve">, over another. Rapid onset of action and </w:t>
            </w:r>
            <w:proofErr w:type="spellStart"/>
            <w:r w:rsidRPr="002C3009">
              <w:rPr>
                <w:rFonts w:ascii="Arial" w:hAnsi="Arial" w:cs="Arial"/>
                <w:i/>
                <w:sz w:val="20"/>
                <w:szCs w:val="20"/>
              </w:rPr>
              <w:t>titratability</w:t>
            </w:r>
            <w:proofErr w:type="spellEnd"/>
            <w:r w:rsidRPr="002C3009">
              <w:rPr>
                <w:rFonts w:ascii="Arial" w:hAnsi="Arial" w:cs="Arial"/>
                <w:i/>
                <w:sz w:val="20"/>
                <w:szCs w:val="20"/>
              </w:rPr>
              <w:t xml:space="preserve"> of this form of therapy to the severity of the class IV patient’s disease make this preferable over oral PAH-</w:t>
            </w:r>
            <w:r w:rsidR="00C40AC4" w:rsidRPr="002C3009">
              <w:rPr>
                <w:rFonts w:ascii="Arial" w:hAnsi="Arial" w:cs="Arial"/>
                <w:i/>
                <w:sz w:val="20"/>
                <w:szCs w:val="20"/>
              </w:rPr>
              <w:t>specific</w:t>
            </w:r>
            <w:r w:rsidRPr="002C3009">
              <w:rPr>
                <w:rFonts w:ascii="Arial" w:hAnsi="Arial" w:cs="Arial"/>
                <w:i/>
                <w:sz w:val="20"/>
                <w:szCs w:val="20"/>
              </w:rPr>
              <w:t xml:space="preserve"> therapies.”</w:t>
            </w:r>
          </w:p>
        </w:tc>
        <w:tc>
          <w:tcPr>
            <w:tcW w:w="0" w:type="auto"/>
          </w:tcPr>
          <w:p w14:paraId="76D7F8AE" w14:textId="77777777" w:rsidR="00F04B81" w:rsidRPr="002C3009" w:rsidRDefault="00F04B81" w:rsidP="002C3009">
            <w:pPr>
              <w:pStyle w:val="06Tabletextspacebefore"/>
              <w:rPr>
                <w:i/>
                <w:sz w:val="20"/>
                <w:szCs w:val="20"/>
              </w:rPr>
            </w:pPr>
            <w:r w:rsidRPr="002C3009">
              <w:rPr>
                <w:i/>
                <w:sz w:val="20"/>
                <w:szCs w:val="20"/>
              </w:rPr>
              <w:t>“If initial monotherapy is chosen, since head-to-head comparisons among different compounds are not available […] the choice of the drug may depend on […] labelling, route of administration, side-effect profile, potential interaction with background therapies, patient preferences, co-morbidities, physician experience and cost”</w:t>
            </w:r>
          </w:p>
        </w:tc>
      </w:tr>
      <w:tr w:rsidR="00F04B81" w:rsidRPr="00F10B38" w14:paraId="7C7A7861" w14:textId="77777777" w:rsidTr="00F04B81">
        <w:tc>
          <w:tcPr>
            <w:tcW w:w="0" w:type="auto"/>
          </w:tcPr>
          <w:p w14:paraId="0B9FB7BA" w14:textId="77777777" w:rsidR="00F04B81" w:rsidRPr="002C3009" w:rsidRDefault="00F04B81" w:rsidP="00F10B38">
            <w:pPr>
              <w:spacing w:before="0" w:line="240" w:lineRule="auto"/>
              <w:ind w:left="147" w:right="57"/>
              <w:rPr>
                <w:rFonts w:ascii="Arial" w:hAnsi="Arial" w:cs="Arial"/>
                <w:sz w:val="20"/>
                <w:szCs w:val="20"/>
              </w:rPr>
            </w:pPr>
            <w:r w:rsidRPr="002C3009">
              <w:rPr>
                <w:rFonts w:ascii="Arial" w:hAnsi="Arial" w:cs="Arial"/>
                <w:sz w:val="20"/>
                <w:szCs w:val="20"/>
              </w:rPr>
              <w:t xml:space="preserve">Choice of </w:t>
            </w:r>
            <w:r w:rsidR="00517C17" w:rsidRPr="002C3009">
              <w:rPr>
                <w:rFonts w:ascii="Arial" w:hAnsi="Arial" w:cs="Arial"/>
                <w:sz w:val="20"/>
                <w:szCs w:val="20"/>
              </w:rPr>
              <w:t>medicine</w:t>
            </w:r>
            <w:r w:rsidRPr="002C3009">
              <w:rPr>
                <w:rFonts w:ascii="Arial" w:hAnsi="Arial" w:cs="Arial"/>
                <w:sz w:val="20"/>
                <w:szCs w:val="20"/>
              </w:rPr>
              <w:t xml:space="preserve"> – high risk/WHO FC IV</w:t>
            </w:r>
          </w:p>
        </w:tc>
        <w:tc>
          <w:tcPr>
            <w:tcW w:w="0" w:type="auto"/>
          </w:tcPr>
          <w:p w14:paraId="09581FCF" w14:textId="77777777" w:rsidR="00F04B81" w:rsidRPr="002C3009" w:rsidRDefault="00F04B81" w:rsidP="0066711F">
            <w:pPr>
              <w:spacing w:before="0" w:line="240" w:lineRule="auto"/>
              <w:ind w:left="143" w:right="57"/>
              <w:rPr>
                <w:rFonts w:ascii="Arial" w:hAnsi="Arial" w:cs="Arial"/>
                <w:i/>
                <w:sz w:val="20"/>
                <w:szCs w:val="20"/>
              </w:rPr>
            </w:pPr>
            <w:r w:rsidRPr="002C3009">
              <w:rPr>
                <w:rFonts w:ascii="Arial" w:hAnsi="Arial" w:cs="Arial"/>
                <w:i/>
                <w:sz w:val="20"/>
                <w:szCs w:val="20"/>
              </w:rPr>
              <w:t xml:space="preserve"> “Most experts in the field consider IV epoprostenol the therapy of choice for WHO FC IV patients based on extensive clinical experience and the findings of improved survival in a single study”</w:t>
            </w:r>
          </w:p>
        </w:tc>
        <w:tc>
          <w:tcPr>
            <w:tcW w:w="0" w:type="auto"/>
          </w:tcPr>
          <w:p w14:paraId="14C8F562" w14:textId="77777777" w:rsidR="00F04B81" w:rsidRPr="002C3009" w:rsidRDefault="00F04B81" w:rsidP="002C3009">
            <w:pPr>
              <w:pStyle w:val="06Tabletextspacebefore"/>
              <w:rPr>
                <w:i/>
                <w:sz w:val="20"/>
                <w:szCs w:val="20"/>
              </w:rPr>
            </w:pPr>
            <w:r w:rsidRPr="002C3009">
              <w:rPr>
                <w:i/>
                <w:sz w:val="20"/>
                <w:szCs w:val="20"/>
              </w:rPr>
              <w:t xml:space="preserve">“In non-vasoreactive and treatment-naive patients at high risk, initial combination therapy including </w:t>
            </w:r>
            <w:proofErr w:type="spellStart"/>
            <w:r w:rsidRPr="002C3009">
              <w:rPr>
                <w:i/>
                <w:sz w:val="20"/>
                <w:szCs w:val="20"/>
              </w:rPr>
              <w:t>i.v.</w:t>
            </w:r>
            <w:proofErr w:type="spellEnd"/>
            <w:r w:rsidRPr="002C3009">
              <w:rPr>
                <w:i/>
                <w:sz w:val="20"/>
                <w:szCs w:val="20"/>
              </w:rPr>
              <w:t xml:space="preserve"> prostacyclin analogues should be considered. I.V. epoprostenol should be prioritised since it has reduced the 3-month rate of mortality in high-risk PAH patients also as monotherapy”</w:t>
            </w:r>
          </w:p>
        </w:tc>
      </w:tr>
      <w:tr w:rsidR="00044526" w:rsidRPr="00F10B38" w14:paraId="3F063B95" w14:textId="77777777" w:rsidTr="002C3009">
        <w:tc>
          <w:tcPr>
            <w:tcW w:w="0" w:type="auto"/>
            <w:tcBorders>
              <w:bottom w:val="single" w:sz="4" w:space="0" w:color="auto"/>
            </w:tcBorders>
          </w:tcPr>
          <w:p w14:paraId="016921E5" w14:textId="77777777" w:rsidR="00044526" w:rsidRPr="002C3009" w:rsidRDefault="00044526" w:rsidP="00F10B38">
            <w:pPr>
              <w:spacing w:before="0" w:line="240" w:lineRule="auto"/>
              <w:ind w:left="147" w:right="57"/>
              <w:rPr>
                <w:rFonts w:ascii="Arial" w:hAnsi="Arial" w:cs="Arial"/>
                <w:sz w:val="20"/>
                <w:szCs w:val="20"/>
              </w:rPr>
            </w:pPr>
            <w:r w:rsidRPr="002C3009">
              <w:rPr>
                <w:rFonts w:ascii="Arial" w:hAnsi="Arial" w:cs="Arial"/>
                <w:sz w:val="20"/>
                <w:szCs w:val="20"/>
              </w:rPr>
              <w:t>Treatment response</w:t>
            </w:r>
          </w:p>
        </w:tc>
        <w:tc>
          <w:tcPr>
            <w:tcW w:w="0" w:type="auto"/>
            <w:tcBorders>
              <w:bottom w:val="single" w:sz="4" w:space="0" w:color="auto"/>
            </w:tcBorders>
          </w:tcPr>
          <w:p w14:paraId="3945FD06" w14:textId="77777777" w:rsidR="00044526" w:rsidRPr="002C3009" w:rsidRDefault="00044526" w:rsidP="0066711F">
            <w:pPr>
              <w:spacing w:before="0" w:line="240" w:lineRule="auto"/>
              <w:ind w:left="143" w:right="57"/>
              <w:rPr>
                <w:rFonts w:ascii="Arial" w:hAnsi="Arial" w:cs="Arial"/>
                <w:i/>
                <w:sz w:val="20"/>
                <w:szCs w:val="20"/>
              </w:rPr>
            </w:pPr>
            <w:r w:rsidRPr="002C3009">
              <w:rPr>
                <w:rFonts w:ascii="Arial" w:hAnsi="Arial" w:cs="Arial"/>
                <w:i/>
                <w:sz w:val="20"/>
                <w:szCs w:val="20"/>
              </w:rPr>
              <w:t>“The therapy is considered adequate only if the targets are met […] patients who are stabilised, or even those who improve slightly, can still receive additional therapy if treatment goals are not met”</w:t>
            </w:r>
          </w:p>
          <w:p w14:paraId="4D0896D0" w14:textId="77777777" w:rsidR="00044526" w:rsidRPr="002C3009" w:rsidRDefault="00044526" w:rsidP="005902F5">
            <w:pPr>
              <w:spacing w:before="0" w:line="240" w:lineRule="auto"/>
              <w:ind w:left="143" w:right="57"/>
              <w:rPr>
                <w:rFonts w:ascii="Arial" w:hAnsi="Arial" w:cs="Arial"/>
                <w:i/>
                <w:sz w:val="20"/>
                <w:szCs w:val="20"/>
              </w:rPr>
            </w:pPr>
            <w:r w:rsidRPr="002C3009">
              <w:rPr>
                <w:rFonts w:ascii="Arial" w:hAnsi="Arial" w:cs="Arial"/>
                <w:i/>
                <w:sz w:val="20"/>
                <w:szCs w:val="20"/>
              </w:rPr>
              <w:t>“The goal-oriented treatment strategy utilises different targets, including WHO-FC I or II, and the near-normalization of resting CI and/or of NT-</w:t>
            </w:r>
            <w:proofErr w:type="spellStart"/>
            <w:r w:rsidRPr="002C3009">
              <w:rPr>
                <w:rFonts w:ascii="Arial" w:hAnsi="Arial" w:cs="Arial"/>
                <w:i/>
                <w:sz w:val="20"/>
                <w:szCs w:val="20"/>
              </w:rPr>
              <w:t>proBNP</w:t>
            </w:r>
            <w:proofErr w:type="spellEnd"/>
            <w:r w:rsidRPr="002C3009">
              <w:rPr>
                <w:rFonts w:ascii="Arial" w:hAnsi="Arial" w:cs="Arial"/>
                <w:i/>
                <w:sz w:val="20"/>
                <w:szCs w:val="20"/>
              </w:rPr>
              <w:t xml:space="preserve"> </w:t>
            </w:r>
            <w:r w:rsidR="005902F5" w:rsidRPr="005902F5">
              <w:rPr>
                <w:rFonts w:ascii="Arial" w:hAnsi="Arial" w:cs="Arial"/>
                <w:i/>
                <w:sz w:val="20"/>
                <w:szCs w:val="20"/>
              </w:rPr>
              <w:t>(</w:t>
            </w:r>
            <w:r w:rsidR="005902F5" w:rsidRPr="002614AE">
              <w:rPr>
                <w:rFonts w:ascii="Arial" w:hAnsi="Arial" w:cs="Arial"/>
                <w:color w:val="000000"/>
                <w:sz w:val="20"/>
                <w:szCs w:val="20"/>
              </w:rPr>
              <w:t>N-terminal pro-B-type natriuretic peptide)</w:t>
            </w:r>
            <w:r w:rsidR="005902F5" w:rsidRPr="002C3009">
              <w:rPr>
                <w:rFonts w:ascii="Arial" w:hAnsi="Arial" w:cs="Arial"/>
                <w:i/>
                <w:sz w:val="20"/>
                <w:szCs w:val="20"/>
              </w:rPr>
              <w:t xml:space="preserve"> </w:t>
            </w:r>
            <w:r w:rsidRPr="002C3009">
              <w:rPr>
                <w:rFonts w:ascii="Arial" w:hAnsi="Arial" w:cs="Arial"/>
                <w:i/>
                <w:sz w:val="20"/>
                <w:szCs w:val="20"/>
              </w:rPr>
              <w:t>plasma levels”</w:t>
            </w:r>
          </w:p>
        </w:tc>
        <w:tc>
          <w:tcPr>
            <w:tcW w:w="0" w:type="auto"/>
            <w:tcBorders>
              <w:bottom w:val="single" w:sz="4" w:space="0" w:color="auto"/>
            </w:tcBorders>
          </w:tcPr>
          <w:p w14:paraId="5D8E8161" w14:textId="77777777" w:rsidR="00044526" w:rsidRPr="002C3009" w:rsidRDefault="00044526" w:rsidP="002C3009">
            <w:pPr>
              <w:pStyle w:val="06Tabletextspacebefore"/>
              <w:rPr>
                <w:i/>
                <w:sz w:val="20"/>
                <w:szCs w:val="20"/>
              </w:rPr>
            </w:pPr>
            <w:r w:rsidRPr="002C3009">
              <w:rPr>
                <w:i/>
                <w:sz w:val="20"/>
                <w:szCs w:val="20"/>
              </w:rPr>
              <w:t>“Achievement/maintenance of an intermediate-risk profile should be considered an inadequate treatment response for most patients with PAH”</w:t>
            </w:r>
          </w:p>
        </w:tc>
      </w:tr>
      <w:tr w:rsidR="001D561A" w:rsidRPr="00F10B38" w14:paraId="770710C1" w14:textId="77777777" w:rsidTr="002C3009">
        <w:tc>
          <w:tcPr>
            <w:tcW w:w="0" w:type="auto"/>
            <w:tcBorders>
              <w:right w:val="nil"/>
            </w:tcBorders>
            <w:shd w:val="clear" w:color="auto" w:fill="FFFFFF" w:themeFill="background1"/>
          </w:tcPr>
          <w:p w14:paraId="6D2898B2" w14:textId="77777777" w:rsidR="001D561A" w:rsidRPr="002C3009" w:rsidRDefault="001D561A" w:rsidP="00F10B38">
            <w:pPr>
              <w:spacing w:before="0" w:line="240" w:lineRule="auto"/>
              <w:ind w:left="147" w:right="57"/>
              <w:rPr>
                <w:rFonts w:ascii="Arial" w:hAnsi="Arial" w:cs="Arial"/>
                <w:b/>
                <w:sz w:val="20"/>
                <w:szCs w:val="20"/>
              </w:rPr>
            </w:pPr>
            <w:r w:rsidRPr="002C3009">
              <w:rPr>
                <w:rFonts w:ascii="Arial" w:hAnsi="Arial" w:cs="Arial"/>
                <w:b/>
                <w:sz w:val="20"/>
                <w:szCs w:val="20"/>
              </w:rPr>
              <w:t xml:space="preserve">Treatment naïve </w:t>
            </w:r>
          </w:p>
        </w:tc>
        <w:tc>
          <w:tcPr>
            <w:tcW w:w="0" w:type="auto"/>
            <w:tcBorders>
              <w:left w:val="nil"/>
              <w:right w:val="nil"/>
            </w:tcBorders>
            <w:shd w:val="clear" w:color="auto" w:fill="FFFFFF" w:themeFill="background1"/>
          </w:tcPr>
          <w:p w14:paraId="4976CF23" w14:textId="77777777" w:rsidR="001D561A" w:rsidRPr="002C3009" w:rsidRDefault="001D561A" w:rsidP="0066711F">
            <w:pPr>
              <w:spacing w:before="0" w:line="240" w:lineRule="auto"/>
              <w:ind w:left="143" w:right="57"/>
              <w:rPr>
                <w:rFonts w:ascii="Arial" w:hAnsi="Arial" w:cs="Arial"/>
                <w:b/>
                <w:sz w:val="20"/>
                <w:szCs w:val="20"/>
              </w:rPr>
            </w:pPr>
          </w:p>
        </w:tc>
        <w:tc>
          <w:tcPr>
            <w:tcW w:w="0" w:type="auto"/>
            <w:tcBorders>
              <w:left w:val="nil"/>
              <w:right w:val="nil"/>
            </w:tcBorders>
            <w:shd w:val="clear" w:color="auto" w:fill="FFFFFF" w:themeFill="background1"/>
          </w:tcPr>
          <w:p w14:paraId="6DF54FE6" w14:textId="77777777" w:rsidR="001D561A" w:rsidRPr="002C3009" w:rsidRDefault="001D561A" w:rsidP="002C3009">
            <w:pPr>
              <w:pStyle w:val="06Tabletextspacebefore"/>
              <w:rPr>
                <w:sz w:val="20"/>
                <w:szCs w:val="20"/>
              </w:rPr>
            </w:pPr>
          </w:p>
        </w:tc>
      </w:tr>
      <w:tr w:rsidR="001D561A" w:rsidRPr="00F10B38" w14:paraId="0AE4C1EF" w14:textId="77777777" w:rsidTr="00F04B81">
        <w:tc>
          <w:tcPr>
            <w:tcW w:w="0" w:type="auto"/>
          </w:tcPr>
          <w:p w14:paraId="651AB306" w14:textId="77777777" w:rsidR="001D561A" w:rsidRPr="002C3009" w:rsidRDefault="001D561A" w:rsidP="00F10B38">
            <w:pPr>
              <w:spacing w:before="0" w:line="240" w:lineRule="auto"/>
              <w:ind w:left="147" w:right="57"/>
              <w:rPr>
                <w:rFonts w:ascii="Arial" w:hAnsi="Arial" w:cs="Arial"/>
                <w:sz w:val="20"/>
                <w:szCs w:val="20"/>
              </w:rPr>
            </w:pPr>
            <w:r w:rsidRPr="002C3009">
              <w:rPr>
                <w:rFonts w:ascii="Arial" w:hAnsi="Arial" w:cs="Arial"/>
                <w:sz w:val="20"/>
                <w:szCs w:val="20"/>
              </w:rPr>
              <w:t xml:space="preserve">WHO FC I </w:t>
            </w:r>
          </w:p>
        </w:tc>
        <w:tc>
          <w:tcPr>
            <w:tcW w:w="0" w:type="auto"/>
          </w:tcPr>
          <w:p w14:paraId="4C52D135" w14:textId="77777777" w:rsidR="001D561A" w:rsidRPr="002C3009" w:rsidRDefault="00F04B81" w:rsidP="0066711F">
            <w:pPr>
              <w:spacing w:before="0" w:line="240" w:lineRule="auto"/>
              <w:ind w:left="143" w:right="57"/>
              <w:rPr>
                <w:rFonts w:ascii="Arial" w:hAnsi="Arial" w:cs="Arial"/>
                <w:sz w:val="20"/>
                <w:szCs w:val="20"/>
              </w:rPr>
            </w:pPr>
            <w:r w:rsidRPr="002C3009">
              <w:rPr>
                <w:rFonts w:ascii="Arial" w:hAnsi="Arial" w:cs="Arial"/>
                <w:i/>
                <w:sz w:val="20"/>
                <w:szCs w:val="20"/>
              </w:rPr>
              <w:t>“</w:t>
            </w:r>
            <w:r w:rsidR="001D561A" w:rsidRPr="002C3009">
              <w:rPr>
                <w:rFonts w:ascii="Arial" w:hAnsi="Arial" w:cs="Arial"/>
                <w:i/>
                <w:sz w:val="20"/>
                <w:szCs w:val="20"/>
              </w:rPr>
              <w:t>For treatment naive PAH patients with WHO FC I symptoms, we suggest continued monitoring for the development of symptoms that would signal disease progression and warrant the initiation of pharmacotherapy</w:t>
            </w:r>
            <w:r w:rsidRPr="002C3009">
              <w:rPr>
                <w:rFonts w:ascii="Arial" w:hAnsi="Arial" w:cs="Arial"/>
                <w:i/>
                <w:sz w:val="20"/>
                <w:szCs w:val="20"/>
              </w:rPr>
              <w:t>”</w:t>
            </w:r>
          </w:p>
        </w:tc>
        <w:tc>
          <w:tcPr>
            <w:tcW w:w="0" w:type="auto"/>
          </w:tcPr>
          <w:p w14:paraId="2030CAE7" w14:textId="77777777" w:rsidR="00577343" w:rsidRPr="002C3009" w:rsidRDefault="0018277C" w:rsidP="002C3009">
            <w:pPr>
              <w:pStyle w:val="06Tabletextspacebefore"/>
              <w:rPr>
                <w:sz w:val="20"/>
                <w:szCs w:val="20"/>
              </w:rPr>
            </w:pPr>
            <w:r w:rsidRPr="002C3009">
              <w:rPr>
                <w:sz w:val="20"/>
                <w:szCs w:val="20"/>
              </w:rPr>
              <w:t>WHO FC I patients</w:t>
            </w:r>
            <w:r w:rsidR="00577343" w:rsidRPr="002C3009">
              <w:rPr>
                <w:sz w:val="20"/>
                <w:szCs w:val="20"/>
              </w:rPr>
              <w:t xml:space="preserve"> are</w:t>
            </w:r>
            <w:r w:rsidRPr="002C3009">
              <w:rPr>
                <w:sz w:val="20"/>
                <w:szCs w:val="20"/>
              </w:rPr>
              <w:t xml:space="preserve"> not included in the </w:t>
            </w:r>
            <w:r w:rsidR="00577343" w:rsidRPr="002C3009">
              <w:rPr>
                <w:sz w:val="20"/>
                <w:szCs w:val="20"/>
              </w:rPr>
              <w:t xml:space="preserve">guideline algorithm or the </w:t>
            </w:r>
            <w:r w:rsidR="009E71BE" w:rsidRPr="002C3009">
              <w:rPr>
                <w:sz w:val="20"/>
                <w:szCs w:val="20"/>
              </w:rPr>
              <w:t xml:space="preserve">tabulated </w:t>
            </w:r>
            <w:r w:rsidRPr="002C3009">
              <w:rPr>
                <w:sz w:val="20"/>
                <w:szCs w:val="20"/>
              </w:rPr>
              <w:t>drug therapy recommendations</w:t>
            </w:r>
            <w:r w:rsidR="00823AC2" w:rsidRPr="002C3009">
              <w:rPr>
                <w:sz w:val="20"/>
                <w:szCs w:val="20"/>
              </w:rPr>
              <w:t>; nor is there discussion about management of patients at this stage</w:t>
            </w:r>
            <w:r w:rsidR="00F04B81" w:rsidRPr="002C3009">
              <w:rPr>
                <w:sz w:val="20"/>
                <w:szCs w:val="20"/>
              </w:rPr>
              <w:t>.</w:t>
            </w:r>
          </w:p>
        </w:tc>
      </w:tr>
      <w:tr w:rsidR="001D561A" w:rsidRPr="00F10B38" w14:paraId="13701AC7" w14:textId="77777777" w:rsidTr="00F04B81">
        <w:tc>
          <w:tcPr>
            <w:tcW w:w="0" w:type="auto"/>
          </w:tcPr>
          <w:p w14:paraId="04F0A247" w14:textId="77777777" w:rsidR="001D561A" w:rsidRPr="002C3009" w:rsidRDefault="001D561A" w:rsidP="002C3009">
            <w:pPr>
              <w:spacing w:beforeLines="60" w:before="144" w:after="60" w:line="240" w:lineRule="auto"/>
              <w:ind w:left="147" w:right="57"/>
              <w:rPr>
                <w:rFonts w:ascii="Arial" w:hAnsi="Arial" w:cs="Arial"/>
                <w:sz w:val="20"/>
                <w:szCs w:val="20"/>
              </w:rPr>
            </w:pPr>
            <w:r w:rsidRPr="002C3009">
              <w:rPr>
                <w:rFonts w:ascii="Arial" w:hAnsi="Arial" w:cs="Arial"/>
                <w:sz w:val="20"/>
                <w:szCs w:val="20"/>
              </w:rPr>
              <w:lastRenderedPageBreak/>
              <w:t>WHO-FC I-III, all symptomatic patients without high risk factors</w:t>
            </w:r>
          </w:p>
        </w:tc>
        <w:tc>
          <w:tcPr>
            <w:tcW w:w="0" w:type="auto"/>
          </w:tcPr>
          <w:p w14:paraId="1E8E36F7" w14:textId="77777777" w:rsidR="001D561A" w:rsidRPr="002C3009" w:rsidRDefault="00F04B81" w:rsidP="002C3009">
            <w:pPr>
              <w:spacing w:beforeLines="60" w:before="144" w:after="60" w:line="240" w:lineRule="auto"/>
              <w:ind w:left="143" w:right="57"/>
              <w:rPr>
                <w:rFonts w:ascii="Arial" w:hAnsi="Arial" w:cs="Arial"/>
                <w:i/>
                <w:sz w:val="20"/>
                <w:szCs w:val="20"/>
              </w:rPr>
            </w:pPr>
            <w:r w:rsidRPr="002C3009">
              <w:rPr>
                <w:rFonts w:ascii="Arial" w:hAnsi="Arial" w:cs="Arial"/>
                <w:i/>
                <w:sz w:val="20"/>
                <w:szCs w:val="20"/>
              </w:rPr>
              <w:t>“</w:t>
            </w:r>
            <w:r w:rsidR="001D561A" w:rsidRPr="002C3009">
              <w:rPr>
                <w:rFonts w:ascii="Arial" w:hAnsi="Arial" w:cs="Arial"/>
                <w:i/>
                <w:sz w:val="20"/>
                <w:szCs w:val="20"/>
              </w:rPr>
              <w:t>Patients with PAH who, in the absence of right-heart failure or contraindications to CCB therapy, demonstrate acute vasoreactivity according to consensus definition, should be considered candidates for a trial of therapy with an oral CCB blocker</w:t>
            </w:r>
            <w:r w:rsidRPr="002C3009">
              <w:rPr>
                <w:rFonts w:ascii="Arial" w:hAnsi="Arial" w:cs="Arial"/>
                <w:i/>
                <w:sz w:val="20"/>
                <w:szCs w:val="20"/>
              </w:rPr>
              <w:t>”</w:t>
            </w:r>
          </w:p>
          <w:p w14:paraId="50DF6BE9" w14:textId="77777777" w:rsidR="001D561A" w:rsidRPr="002C3009" w:rsidRDefault="001D561A" w:rsidP="002C3009">
            <w:pPr>
              <w:spacing w:beforeLines="60" w:before="144" w:after="60" w:line="240" w:lineRule="auto"/>
              <w:ind w:left="143" w:right="57"/>
              <w:rPr>
                <w:rFonts w:ascii="Arial" w:hAnsi="Arial" w:cs="Arial"/>
                <w:sz w:val="20"/>
                <w:szCs w:val="20"/>
              </w:rPr>
            </w:pPr>
            <w:r w:rsidRPr="002C3009">
              <w:rPr>
                <w:rFonts w:ascii="Arial" w:hAnsi="Arial" w:cs="Arial"/>
                <w:sz w:val="20"/>
                <w:szCs w:val="20"/>
              </w:rPr>
              <w:t>[Note:</w:t>
            </w:r>
            <w:r w:rsidR="00C40AC4" w:rsidRPr="002C3009">
              <w:rPr>
                <w:rFonts w:ascii="Arial" w:hAnsi="Arial" w:cs="Arial"/>
                <w:sz w:val="20"/>
                <w:szCs w:val="20"/>
              </w:rPr>
              <w:t xml:space="preserve"> </w:t>
            </w:r>
            <w:r w:rsidRPr="002C3009">
              <w:rPr>
                <w:rFonts w:ascii="Arial" w:hAnsi="Arial" w:cs="Arial"/>
                <w:sz w:val="20"/>
                <w:szCs w:val="20"/>
              </w:rPr>
              <w:t xml:space="preserve">elsewhere in this Guideline, targeted </w:t>
            </w:r>
            <w:r w:rsidR="00F95235" w:rsidRPr="002C3009">
              <w:rPr>
                <w:rFonts w:ascii="Arial" w:hAnsi="Arial" w:cs="Arial"/>
                <w:sz w:val="20"/>
                <w:szCs w:val="20"/>
              </w:rPr>
              <w:t>PAH medicines</w:t>
            </w:r>
            <w:r w:rsidRPr="002C3009">
              <w:rPr>
                <w:rFonts w:ascii="Arial" w:hAnsi="Arial" w:cs="Arial"/>
                <w:sz w:val="20"/>
                <w:szCs w:val="20"/>
              </w:rPr>
              <w:t xml:space="preserve"> rather than CCBs are recommended for WHO FC III with poor prognosis/risk factors or WHO FC IV]</w:t>
            </w:r>
          </w:p>
        </w:tc>
        <w:tc>
          <w:tcPr>
            <w:tcW w:w="0" w:type="auto"/>
          </w:tcPr>
          <w:p w14:paraId="263B9CBE" w14:textId="77777777" w:rsidR="001D561A" w:rsidRPr="002C3009" w:rsidRDefault="00F04B81" w:rsidP="002C3009">
            <w:pPr>
              <w:pStyle w:val="06Tabletextspacebefore"/>
              <w:spacing w:beforeLines="60" w:before="144" w:after="60"/>
              <w:rPr>
                <w:i/>
                <w:sz w:val="20"/>
                <w:szCs w:val="20"/>
              </w:rPr>
            </w:pPr>
            <w:r w:rsidRPr="002C3009">
              <w:rPr>
                <w:i/>
                <w:sz w:val="20"/>
                <w:szCs w:val="20"/>
              </w:rPr>
              <w:t>“</w:t>
            </w:r>
            <w:r w:rsidR="00FA36A1" w:rsidRPr="002C3009">
              <w:rPr>
                <w:i/>
                <w:sz w:val="20"/>
                <w:szCs w:val="20"/>
              </w:rPr>
              <w:t>Initiation of specific PAH therapy is recommended in patients in WHO-FC III or IV (or those without marked haemodynamic improvement (near normalization) after high doses of CCBs)</w:t>
            </w:r>
            <w:r w:rsidRPr="002C3009">
              <w:rPr>
                <w:i/>
                <w:sz w:val="20"/>
                <w:szCs w:val="20"/>
              </w:rPr>
              <w:t>”</w:t>
            </w:r>
          </w:p>
          <w:p w14:paraId="57F8E95B" w14:textId="77777777" w:rsidR="00577343" w:rsidRPr="002C3009" w:rsidRDefault="00577343" w:rsidP="002C3009">
            <w:pPr>
              <w:pStyle w:val="06Tabletextspacebefore"/>
              <w:spacing w:beforeLines="60" w:before="144" w:after="60"/>
              <w:rPr>
                <w:sz w:val="20"/>
                <w:szCs w:val="20"/>
              </w:rPr>
            </w:pPr>
            <w:r w:rsidRPr="002C3009">
              <w:rPr>
                <w:sz w:val="20"/>
                <w:szCs w:val="20"/>
              </w:rPr>
              <w:t xml:space="preserve">From the guideline algorithm: An acute vasoreactivity test should be administered to patients with </w:t>
            </w:r>
            <w:r w:rsidR="00FC25B4" w:rsidRPr="002C3009">
              <w:rPr>
                <w:sz w:val="20"/>
                <w:szCs w:val="20"/>
              </w:rPr>
              <w:t>IPAH/</w:t>
            </w:r>
            <w:r w:rsidR="004F0200" w:rsidRPr="002C3009">
              <w:rPr>
                <w:sz w:val="20"/>
                <w:szCs w:val="20"/>
              </w:rPr>
              <w:t>heritable</w:t>
            </w:r>
            <w:r w:rsidR="00FC25B4" w:rsidRPr="002C3009">
              <w:rPr>
                <w:sz w:val="20"/>
                <w:szCs w:val="20"/>
              </w:rPr>
              <w:t xml:space="preserve"> PAH/drug induced </w:t>
            </w:r>
            <w:r w:rsidRPr="002C3009">
              <w:rPr>
                <w:sz w:val="20"/>
                <w:szCs w:val="20"/>
              </w:rPr>
              <w:t>PAH only, and CCBs trialled in those who are vasoreactive</w:t>
            </w:r>
            <w:r w:rsidR="00F04B81" w:rsidRPr="002C3009">
              <w:rPr>
                <w:sz w:val="20"/>
                <w:szCs w:val="20"/>
              </w:rPr>
              <w:t>.</w:t>
            </w:r>
          </w:p>
          <w:p w14:paraId="031D3B14" w14:textId="77777777" w:rsidR="00577343" w:rsidRPr="002C3009" w:rsidRDefault="00F04B81" w:rsidP="002C3009">
            <w:pPr>
              <w:pStyle w:val="06Tabletextspacebefore"/>
              <w:spacing w:beforeLines="60" w:before="144" w:after="60"/>
              <w:rPr>
                <w:sz w:val="20"/>
                <w:szCs w:val="20"/>
              </w:rPr>
            </w:pPr>
            <w:r w:rsidRPr="002C3009">
              <w:rPr>
                <w:sz w:val="20"/>
                <w:szCs w:val="20"/>
              </w:rPr>
              <w:t>T</w:t>
            </w:r>
            <w:r w:rsidR="00823AC2" w:rsidRPr="002C3009">
              <w:rPr>
                <w:sz w:val="20"/>
                <w:szCs w:val="20"/>
              </w:rPr>
              <w:t xml:space="preserve">abulated recommendations for monotherapy </w:t>
            </w:r>
            <w:r w:rsidR="00FC25B4" w:rsidRPr="002C3009">
              <w:rPr>
                <w:sz w:val="20"/>
                <w:szCs w:val="20"/>
              </w:rPr>
              <w:t>include</w:t>
            </w:r>
            <w:r w:rsidR="00823AC2" w:rsidRPr="002C3009">
              <w:rPr>
                <w:sz w:val="20"/>
                <w:szCs w:val="20"/>
              </w:rPr>
              <w:t xml:space="preserve"> CCBs for those meeting the subtypes and vasoreactivity criteria and who are WHO FC II or III – </w:t>
            </w:r>
            <w:r w:rsidR="0083085A" w:rsidRPr="002C3009">
              <w:rPr>
                <w:sz w:val="20"/>
                <w:szCs w:val="20"/>
              </w:rPr>
              <w:t>per</w:t>
            </w:r>
            <w:r w:rsidR="00823AC2" w:rsidRPr="002C3009">
              <w:rPr>
                <w:sz w:val="20"/>
                <w:szCs w:val="20"/>
              </w:rPr>
              <w:t xml:space="preserve"> </w:t>
            </w:r>
            <w:r w:rsidR="00FC25B4" w:rsidRPr="002C3009">
              <w:rPr>
                <w:sz w:val="20"/>
                <w:szCs w:val="20"/>
              </w:rPr>
              <w:t xml:space="preserve">the guideline </w:t>
            </w:r>
            <w:proofErr w:type="gramStart"/>
            <w:r w:rsidR="00FC25B4" w:rsidRPr="002C3009">
              <w:rPr>
                <w:sz w:val="20"/>
                <w:szCs w:val="20"/>
              </w:rPr>
              <w:t>algorithm</w:t>
            </w:r>
            <w:proofErr w:type="gramEnd"/>
            <w:r w:rsidR="00823AC2" w:rsidRPr="002C3009">
              <w:rPr>
                <w:sz w:val="20"/>
                <w:szCs w:val="20"/>
              </w:rPr>
              <w:t xml:space="preserve"> this would not include WHO FC III with high risk factors</w:t>
            </w:r>
            <w:r w:rsidRPr="002C3009">
              <w:rPr>
                <w:sz w:val="20"/>
                <w:szCs w:val="20"/>
              </w:rPr>
              <w:t>.</w:t>
            </w:r>
          </w:p>
        </w:tc>
      </w:tr>
      <w:tr w:rsidR="00A13424" w:rsidRPr="00F10B38" w14:paraId="097499DB" w14:textId="77777777" w:rsidTr="00F04B81">
        <w:tc>
          <w:tcPr>
            <w:tcW w:w="0" w:type="auto"/>
          </w:tcPr>
          <w:p w14:paraId="4EBFF3B9" w14:textId="77777777" w:rsidR="00A13424" w:rsidRPr="002C3009" w:rsidRDefault="00A13424" w:rsidP="002C3009">
            <w:pPr>
              <w:spacing w:beforeLines="60" w:before="144" w:after="60" w:line="240" w:lineRule="auto"/>
              <w:ind w:left="147" w:right="57"/>
              <w:rPr>
                <w:rFonts w:ascii="Arial" w:hAnsi="Arial" w:cs="Arial"/>
                <w:sz w:val="20"/>
                <w:szCs w:val="20"/>
              </w:rPr>
            </w:pPr>
            <w:r w:rsidRPr="002C3009">
              <w:rPr>
                <w:rFonts w:ascii="Arial" w:hAnsi="Arial" w:cs="Arial"/>
                <w:sz w:val="20"/>
                <w:szCs w:val="20"/>
              </w:rPr>
              <w:t>WHO FC II – not eligible for CCBs</w:t>
            </w:r>
          </w:p>
        </w:tc>
        <w:tc>
          <w:tcPr>
            <w:tcW w:w="0" w:type="auto"/>
          </w:tcPr>
          <w:p w14:paraId="34F5F03A" w14:textId="77777777" w:rsidR="00A13424" w:rsidRPr="002C3009" w:rsidRDefault="00F04B81" w:rsidP="002C3009">
            <w:pPr>
              <w:spacing w:beforeLines="60" w:before="144" w:after="60" w:line="240" w:lineRule="auto"/>
              <w:ind w:left="143" w:right="57"/>
              <w:rPr>
                <w:rFonts w:ascii="Arial" w:hAnsi="Arial" w:cs="Arial"/>
                <w:i/>
                <w:sz w:val="20"/>
                <w:szCs w:val="20"/>
              </w:rPr>
            </w:pPr>
            <w:r w:rsidRPr="002C3009">
              <w:rPr>
                <w:rFonts w:ascii="Arial" w:hAnsi="Arial" w:cs="Arial"/>
                <w:i/>
                <w:sz w:val="20"/>
                <w:szCs w:val="20"/>
              </w:rPr>
              <w:t>“</w:t>
            </w:r>
            <w:r w:rsidR="00A13424" w:rsidRPr="002C3009">
              <w:rPr>
                <w:rFonts w:ascii="Arial" w:hAnsi="Arial" w:cs="Arial"/>
                <w:i/>
                <w:sz w:val="20"/>
                <w:szCs w:val="20"/>
              </w:rPr>
              <w:t xml:space="preserve">For treatment naive PAH patients with WHO FC II symptoms who are not candidates for CCB therapy, we advise monotherapy with an ERA, </w:t>
            </w:r>
            <w:r w:rsidR="00AF191D" w:rsidRPr="002C3009">
              <w:rPr>
                <w:rFonts w:ascii="Arial" w:hAnsi="Arial" w:cs="Arial"/>
                <w:i/>
                <w:sz w:val="20"/>
                <w:szCs w:val="20"/>
              </w:rPr>
              <w:t>PDE</w:t>
            </w:r>
            <w:r w:rsidR="00AF191D" w:rsidRPr="002C3009">
              <w:rPr>
                <w:rFonts w:ascii="Arial" w:hAnsi="Arial" w:cs="Arial"/>
                <w:i/>
                <w:sz w:val="20"/>
                <w:szCs w:val="20"/>
              </w:rPr>
              <w:noBreakHyphen/>
              <w:t>5</w:t>
            </w:r>
            <w:r w:rsidR="00C40AC4" w:rsidRPr="002C3009">
              <w:rPr>
                <w:rFonts w:ascii="Arial" w:hAnsi="Arial" w:cs="Arial"/>
                <w:i/>
                <w:sz w:val="20"/>
                <w:szCs w:val="20"/>
              </w:rPr>
              <w:t xml:space="preserve"> inhibitor or rio</w:t>
            </w:r>
            <w:r w:rsidRPr="002C3009">
              <w:rPr>
                <w:rFonts w:ascii="Arial" w:hAnsi="Arial" w:cs="Arial"/>
                <w:i/>
                <w:sz w:val="20"/>
                <w:szCs w:val="20"/>
              </w:rPr>
              <w:t>c</w:t>
            </w:r>
            <w:r w:rsidR="00C40AC4" w:rsidRPr="002C3009">
              <w:rPr>
                <w:rFonts w:ascii="Arial" w:hAnsi="Arial" w:cs="Arial"/>
                <w:i/>
                <w:sz w:val="20"/>
                <w:szCs w:val="20"/>
              </w:rPr>
              <w:t>i</w:t>
            </w:r>
            <w:r w:rsidRPr="002C3009">
              <w:rPr>
                <w:rFonts w:ascii="Arial" w:hAnsi="Arial" w:cs="Arial"/>
                <w:i/>
                <w:sz w:val="20"/>
                <w:szCs w:val="20"/>
              </w:rPr>
              <w:t>guat”</w:t>
            </w:r>
          </w:p>
        </w:tc>
        <w:tc>
          <w:tcPr>
            <w:tcW w:w="0" w:type="auto"/>
          </w:tcPr>
          <w:p w14:paraId="5A0DA9C0" w14:textId="77777777" w:rsidR="00A13424" w:rsidRPr="002C3009" w:rsidRDefault="00F04B81" w:rsidP="002C3009">
            <w:pPr>
              <w:pStyle w:val="06Tabletextspacebefore"/>
              <w:spacing w:beforeLines="60" w:before="144" w:after="60"/>
              <w:rPr>
                <w:sz w:val="20"/>
                <w:szCs w:val="20"/>
              </w:rPr>
            </w:pPr>
            <w:r w:rsidRPr="002C3009">
              <w:rPr>
                <w:i/>
                <w:sz w:val="20"/>
                <w:szCs w:val="20"/>
              </w:rPr>
              <w:t>“</w:t>
            </w:r>
            <w:r w:rsidR="0018277C" w:rsidRPr="002C3009">
              <w:rPr>
                <w:i/>
                <w:sz w:val="20"/>
                <w:szCs w:val="20"/>
              </w:rPr>
              <w:t>Non-responders to acute vasoreactivity testing who are at low or intermediate risk can be treated with either initial monotherapy or initial oral combination therapy</w:t>
            </w:r>
            <w:r w:rsidRPr="002C3009">
              <w:rPr>
                <w:i/>
                <w:sz w:val="20"/>
                <w:szCs w:val="20"/>
              </w:rPr>
              <w:t>”</w:t>
            </w:r>
            <w:r w:rsidR="00823AC2" w:rsidRPr="002C3009">
              <w:rPr>
                <w:sz w:val="20"/>
                <w:szCs w:val="20"/>
              </w:rPr>
              <w:t xml:space="preserve"> </w:t>
            </w:r>
            <w:r w:rsidR="00FC25B4" w:rsidRPr="002C3009">
              <w:rPr>
                <w:sz w:val="20"/>
                <w:szCs w:val="20"/>
              </w:rPr>
              <w:t>(per the guideline algorithm, this only applies to WHO FC II or III</w:t>
            </w:r>
            <w:r w:rsidR="00823AC2" w:rsidRPr="002C3009">
              <w:rPr>
                <w:sz w:val="20"/>
                <w:szCs w:val="20"/>
              </w:rPr>
              <w:t>)</w:t>
            </w:r>
            <w:r w:rsidRPr="002C3009">
              <w:rPr>
                <w:sz w:val="20"/>
                <w:szCs w:val="20"/>
              </w:rPr>
              <w:t>.</w:t>
            </w:r>
          </w:p>
          <w:p w14:paraId="59360BEE" w14:textId="77777777" w:rsidR="00577343" w:rsidRPr="002C3009" w:rsidRDefault="00577343" w:rsidP="002C3009">
            <w:pPr>
              <w:pStyle w:val="06Tabletextspacebefore"/>
              <w:spacing w:beforeLines="60" w:before="144" w:after="60"/>
              <w:rPr>
                <w:i/>
                <w:sz w:val="20"/>
                <w:szCs w:val="20"/>
              </w:rPr>
            </w:pPr>
            <w:r w:rsidRPr="002C3009">
              <w:rPr>
                <w:sz w:val="20"/>
                <w:szCs w:val="20"/>
              </w:rPr>
              <w:t xml:space="preserve">The tabulated recommendations for monotherapy </w:t>
            </w:r>
            <w:r w:rsidR="00F04B81" w:rsidRPr="002C3009">
              <w:rPr>
                <w:sz w:val="20"/>
                <w:szCs w:val="20"/>
              </w:rPr>
              <w:t xml:space="preserve">indicate </w:t>
            </w:r>
            <w:r w:rsidR="000A5398" w:rsidRPr="002C3009">
              <w:rPr>
                <w:sz w:val="20"/>
                <w:szCs w:val="20"/>
              </w:rPr>
              <w:t xml:space="preserve">ERAs, </w:t>
            </w:r>
            <w:r w:rsidR="00AF191D" w:rsidRPr="002C3009">
              <w:rPr>
                <w:sz w:val="20"/>
                <w:szCs w:val="20"/>
              </w:rPr>
              <w:t>PDE</w:t>
            </w:r>
            <w:r w:rsidR="00AF191D" w:rsidRPr="002C3009">
              <w:rPr>
                <w:sz w:val="20"/>
                <w:szCs w:val="20"/>
              </w:rPr>
              <w:noBreakHyphen/>
              <w:t>5</w:t>
            </w:r>
            <w:r w:rsidR="000A5398" w:rsidRPr="002C3009">
              <w:rPr>
                <w:sz w:val="20"/>
                <w:szCs w:val="20"/>
              </w:rPr>
              <w:t xml:space="preserve"> inhibitors and</w:t>
            </w:r>
            <w:r w:rsidRPr="002C3009">
              <w:rPr>
                <w:sz w:val="20"/>
                <w:szCs w:val="20"/>
              </w:rPr>
              <w:t xml:space="preserve"> riociguat</w:t>
            </w:r>
            <w:r w:rsidR="000A5398" w:rsidRPr="002C3009">
              <w:rPr>
                <w:sz w:val="20"/>
                <w:szCs w:val="20"/>
              </w:rPr>
              <w:t>,</w:t>
            </w:r>
            <w:r w:rsidRPr="002C3009">
              <w:rPr>
                <w:sz w:val="20"/>
                <w:szCs w:val="20"/>
              </w:rPr>
              <w:t xml:space="preserve"> (</w:t>
            </w:r>
            <w:proofErr w:type="gramStart"/>
            <w:r w:rsidR="000A5398" w:rsidRPr="002C3009">
              <w:rPr>
                <w:sz w:val="20"/>
                <w:szCs w:val="20"/>
              </w:rPr>
              <w:t>also</w:t>
            </w:r>
            <w:r w:rsidRPr="002C3009">
              <w:rPr>
                <w:sz w:val="20"/>
                <w:szCs w:val="20"/>
              </w:rPr>
              <w:t xml:space="preserve"> selexipag</w:t>
            </w:r>
            <w:proofErr w:type="gramEnd"/>
            <w:r w:rsidRPr="002C3009">
              <w:rPr>
                <w:sz w:val="20"/>
                <w:szCs w:val="20"/>
              </w:rPr>
              <w:t>) in WHO FC II and III</w:t>
            </w:r>
            <w:r w:rsidR="00F04B81" w:rsidRPr="002C3009">
              <w:rPr>
                <w:sz w:val="20"/>
                <w:szCs w:val="20"/>
              </w:rPr>
              <w:t>.</w:t>
            </w:r>
          </w:p>
        </w:tc>
      </w:tr>
      <w:tr w:rsidR="009E71BE" w:rsidRPr="00F10B38" w14:paraId="4C84B5A1" w14:textId="77777777" w:rsidTr="00F04B81">
        <w:tc>
          <w:tcPr>
            <w:tcW w:w="0" w:type="auto"/>
          </w:tcPr>
          <w:p w14:paraId="593F2BB7" w14:textId="77777777" w:rsidR="009E71BE" w:rsidRPr="002C3009" w:rsidRDefault="009E71BE" w:rsidP="002C3009">
            <w:pPr>
              <w:spacing w:beforeLines="60" w:before="144" w:after="60" w:line="240" w:lineRule="auto"/>
              <w:ind w:left="147" w:right="57"/>
              <w:rPr>
                <w:rFonts w:ascii="Arial" w:hAnsi="Arial" w:cs="Arial"/>
                <w:i/>
                <w:sz w:val="20"/>
                <w:szCs w:val="20"/>
              </w:rPr>
            </w:pPr>
            <w:r w:rsidRPr="002C3009">
              <w:rPr>
                <w:rFonts w:ascii="Arial" w:hAnsi="Arial" w:cs="Arial"/>
                <w:sz w:val="20"/>
                <w:szCs w:val="20"/>
              </w:rPr>
              <w:t xml:space="preserve">WHO FC II – all </w:t>
            </w:r>
          </w:p>
        </w:tc>
        <w:tc>
          <w:tcPr>
            <w:tcW w:w="0" w:type="auto"/>
          </w:tcPr>
          <w:p w14:paraId="677CFE6B" w14:textId="77777777" w:rsidR="009E71BE" w:rsidRPr="002C3009" w:rsidRDefault="00F04B81" w:rsidP="002C3009">
            <w:pPr>
              <w:spacing w:beforeLines="60" w:before="144" w:after="60" w:line="240" w:lineRule="auto"/>
              <w:ind w:left="143" w:right="57"/>
              <w:rPr>
                <w:rFonts w:ascii="Arial" w:hAnsi="Arial" w:cs="Arial"/>
                <w:sz w:val="20"/>
                <w:szCs w:val="20"/>
              </w:rPr>
            </w:pPr>
            <w:r w:rsidRPr="002C3009">
              <w:rPr>
                <w:rFonts w:ascii="Arial" w:hAnsi="Arial" w:cs="Arial"/>
                <w:i/>
                <w:sz w:val="20"/>
                <w:szCs w:val="20"/>
              </w:rPr>
              <w:t>“</w:t>
            </w:r>
            <w:r w:rsidR="009E71BE" w:rsidRPr="002C3009">
              <w:rPr>
                <w:rFonts w:ascii="Arial" w:hAnsi="Arial" w:cs="Arial"/>
                <w:i/>
                <w:sz w:val="20"/>
                <w:szCs w:val="20"/>
              </w:rPr>
              <w:t>Parenteral or inhaled prostanoids [should] not be chosen […] for treatment naive PAH patients with WHO FC II symptoms</w:t>
            </w:r>
            <w:r w:rsidRPr="002C3009">
              <w:rPr>
                <w:rFonts w:ascii="Arial" w:hAnsi="Arial" w:cs="Arial"/>
                <w:i/>
                <w:sz w:val="20"/>
                <w:szCs w:val="20"/>
              </w:rPr>
              <w:t>”</w:t>
            </w:r>
          </w:p>
        </w:tc>
        <w:tc>
          <w:tcPr>
            <w:tcW w:w="0" w:type="auto"/>
          </w:tcPr>
          <w:p w14:paraId="41394123" w14:textId="77777777" w:rsidR="009E71BE" w:rsidRPr="002C3009" w:rsidRDefault="00F04B81" w:rsidP="002C3009">
            <w:pPr>
              <w:pStyle w:val="06Tabletextspacebefore"/>
              <w:spacing w:beforeLines="60" w:before="144" w:after="60"/>
              <w:rPr>
                <w:sz w:val="20"/>
                <w:szCs w:val="20"/>
              </w:rPr>
            </w:pPr>
            <w:r w:rsidRPr="002C3009">
              <w:rPr>
                <w:sz w:val="20"/>
                <w:szCs w:val="20"/>
              </w:rPr>
              <w:t>T</w:t>
            </w:r>
            <w:r w:rsidR="009E71BE" w:rsidRPr="002C3009">
              <w:rPr>
                <w:sz w:val="20"/>
                <w:szCs w:val="20"/>
              </w:rPr>
              <w:t>abulated recommendations for monotherapy</w:t>
            </w:r>
            <w:r w:rsidR="00FC25B4" w:rsidRPr="002C3009">
              <w:rPr>
                <w:sz w:val="20"/>
                <w:szCs w:val="20"/>
              </w:rPr>
              <w:t xml:space="preserve"> </w:t>
            </w:r>
            <w:r w:rsidR="009E71BE" w:rsidRPr="002C3009">
              <w:rPr>
                <w:sz w:val="20"/>
                <w:szCs w:val="20"/>
              </w:rPr>
              <w:t>excludes all prostanoids for WHO FC II</w:t>
            </w:r>
            <w:r w:rsidR="00FC25B4" w:rsidRPr="002C3009">
              <w:rPr>
                <w:sz w:val="20"/>
                <w:szCs w:val="20"/>
              </w:rPr>
              <w:t>; WHO FC II also excluded from all initial combination therapy recommendations</w:t>
            </w:r>
            <w:r w:rsidRPr="002C3009">
              <w:rPr>
                <w:sz w:val="20"/>
                <w:szCs w:val="20"/>
              </w:rPr>
              <w:t>.</w:t>
            </w:r>
          </w:p>
        </w:tc>
      </w:tr>
      <w:tr w:rsidR="009E71BE" w:rsidRPr="00F10B38" w14:paraId="6676945F" w14:textId="77777777" w:rsidTr="00F04B81">
        <w:tc>
          <w:tcPr>
            <w:tcW w:w="0" w:type="auto"/>
          </w:tcPr>
          <w:p w14:paraId="1A38BA22" w14:textId="77777777" w:rsidR="009E71BE" w:rsidRPr="002C3009" w:rsidRDefault="009E71BE" w:rsidP="002C3009">
            <w:pPr>
              <w:spacing w:beforeLines="60" w:before="144" w:after="60" w:line="240" w:lineRule="auto"/>
              <w:ind w:left="147" w:right="57"/>
              <w:rPr>
                <w:rFonts w:ascii="Arial" w:hAnsi="Arial" w:cs="Arial"/>
                <w:sz w:val="20"/>
                <w:szCs w:val="20"/>
              </w:rPr>
            </w:pPr>
            <w:r w:rsidRPr="002C3009">
              <w:rPr>
                <w:rFonts w:ascii="Arial" w:hAnsi="Arial" w:cs="Arial"/>
                <w:sz w:val="20"/>
                <w:szCs w:val="20"/>
              </w:rPr>
              <w:t>WHO FC III – not eligible for CCBs</w:t>
            </w:r>
          </w:p>
        </w:tc>
        <w:tc>
          <w:tcPr>
            <w:tcW w:w="0" w:type="auto"/>
          </w:tcPr>
          <w:p w14:paraId="0D495943" w14:textId="77777777" w:rsidR="009E71BE" w:rsidRPr="002C3009" w:rsidRDefault="00F04B81" w:rsidP="002C3009">
            <w:pPr>
              <w:spacing w:beforeLines="60" w:before="144" w:after="60" w:line="240" w:lineRule="auto"/>
              <w:ind w:left="143" w:right="57"/>
              <w:rPr>
                <w:rFonts w:ascii="Arial" w:hAnsi="Arial" w:cs="Arial"/>
                <w:i/>
                <w:sz w:val="20"/>
                <w:szCs w:val="20"/>
              </w:rPr>
            </w:pPr>
            <w:r w:rsidRPr="002C3009">
              <w:rPr>
                <w:rFonts w:ascii="Arial" w:hAnsi="Arial" w:cs="Arial"/>
                <w:i/>
                <w:sz w:val="20"/>
                <w:szCs w:val="20"/>
              </w:rPr>
              <w:t>“</w:t>
            </w:r>
            <w:r w:rsidR="009E71BE" w:rsidRPr="002C3009">
              <w:rPr>
                <w:rFonts w:ascii="Arial" w:hAnsi="Arial" w:cs="Arial"/>
                <w:i/>
                <w:sz w:val="20"/>
                <w:szCs w:val="20"/>
              </w:rPr>
              <w:t xml:space="preserve">For treatment-naive PAH patients with WHO FC III symptoms who are not candidates for CCB therapy, we advise monotherapy be initiated with an ERA, </w:t>
            </w:r>
            <w:r w:rsidRPr="002C3009">
              <w:rPr>
                <w:rFonts w:ascii="Arial" w:hAnsi="Arial" w:cs="Arial"/>
                <w:i/>
                <w:sz w:val="20"/>
                <w:szCs w:val="20"/>
              </w:rPr>
              <w:t xml:space="preserve">a </w:t>
            </w:r>
            <w:r w:rsidR="00AF191D" w:rsidRPr="002C3009">
              <w:rPr>
                <w:rFonts w:ascii="Arial" w:hAnsi="Arial" w:cs="Arial"/>
                <w:i/>
                <w:sz w:val="20"/>
                <w:szCs w:val="20"/>
              </w:rPr>
              <w:t>PDE</w:t>
            </w:r>
            <w:r w:rsidR="00AF191D" w:rsidRPr="002C3009">
              <w:rPr>
                <w:rFonts w:ascii="Arial" w:hAnsi="Arial" w:cs="Arial"/>
                <w:i/>
                <w:sz w:val="20"/>
                <w:szCs w:val="20"/>
              </w:rPr>
              <w:noBreakHyphen/>
              <w:t>5</w:t>
            </w:r>
            <w:r w:rsidRPr="002C3009">
              <w:rPr>
                <w:rFonts w:ascii="Arial" w:hAnsi="Arial" w:cs="Arial"/>
                <w:i/>
                <w:sz w:val="20"/>
                <w:szCs w:val="20"/>
              </w:rPr>
              <w:t xml:space="preserve"> inhibitor, or riociguat”</w:t>
            </w:r>
          </w:p>
        </w:tc>
        <w:tc>
          <w:tcPr>
            <w:tcW w:w="0" w:type="auto"/>
          </w:tcPr>
          <w:p w14:paraId="51F20793" w14:textId="77777777" w:rsidR="00577343" w:rsidRPr="002C3009" w:rsidRDefault="00577343" w:rsidP="002C3009">
            <w:pPr>
              <w:pStyle w:val="06Tabletextspacebefore"/>
              <w:spacing w:beforeLines="60" w:before="144" w:after="60"/>
              <w:rPr>
                <w:sz w:val="20"/>
                <w:szCs w:val="20"/>
              </w:rPr>
            </w:pPr>
            <w:r w:rsidRPr="002C3009">
              <w:rPr>
                <w:sz w:val="20"/>
                <w:szCs w:val="20"/>
              </w:rPr>
              <w:t>From the guideline algorithm: Low or intermediate risk WHO FC II–III should receive EITHER initial monotherapy OR initial oral combination</w:t>
            </w:r>
            <w:r w:rsidR="00011758">
              <w:rPr>
                <w:sz w:val="20"/>
                <w:szCs w:val="20"/>
              </w:rPr>
              <w:t>.</w:t>
            </w:r>
          </w:p>
          <w:p w14:paraId="4D1980FF" w14:textId="77777777" w:rsidR="00577343" w:rsidRPr="002C3009" w:rsidRDefault="00F04B81" w:rsidP="002C3009">
            <w:pPr>
              <w:pStyle w:val="06Tabletextspacebefore"/>
              <w:spacing w:beforeLines="60" w:before="144" w:after="60"/>
              <w:rPr>
                <w:sz w:val="20"/>
                <w:szCs w:val="20"/>
              </w:rPr>
            </w:pPr>
            <w:r w:rsidRPr="002C3009">
              <w:rPr>
                <w:sz w:val="20"/>
                <w:szCs w:val="20"/>
              </w:rPr>
              <w:t>T</w:t>
            </w:r>
            <w:r w:rsidR="009E71BE" w:rsidRPr="002C3009">
              <w:rPr>
                <w:sz w:val="20"/>
                <w:szCs w:val="20"/>
              </w:rPr>
              <w:t xml:space="preserve">abulated recommendations for </w:t>
            </w:r>
            <w:r w:rsidR="00577343" w:rsidRPr="002C3009">
              <w:rPr>
                <w:sz w:val="20"/>
                <w:szCs w:val="20"/>
              </w:rPr>
              <w:t>monotherapy</w:t>
            </w:r>
            <w:r w:rsidRPr="002C3009">
              <w:rPr>
                <w:sz w:val="20"/>
                <w:szCs w:val="20"/>
              </w:rPr>
              <w:t xml:space="preserve"> indicate</w:t>
            </w:r>
            <w:r w:rsidR="000A5398" w:rsidRPr="002C3009">
              <w:rPr>
                <w:sz w:val="20"/>
                <w:szCs w:val="20"/>
              </w:rPr>
              <w:t xml:space="preserve"> ERAs, </w:t>
            </w:r>
            <w:r w:rsidR="00AF191D" w:rsidRPr="002C3009">
              <w:rPr>
                <w:sz w:val="20"/>
                <w:szCs w:val="20"/>
              </w:rPr>
              <w:t>PDE</w:t>
            </w:r>
            <w:r w:rsidR="00AF191D" w:rsidRPr="002C3009">
              <w:rPr>
                <w:sz w:val="20"/>
                <w:szCs w:val="20"/>
              </w:rPr>
              <w:noBreakHyphen/>
              <w:t>5</w:t>
            </w:r>
            <w:r w:rsidR="000A5398" w:rsidRPr="002C3009">
              <w:rPr>
                <w:sz w:val="20"/>
                <w:szCs w:val="20"/>
              </w:rPr>
              <w:t xml:space="preserve"> inhibitors and</w:t>
            </w:r>
            <w:r w:rsidR="009E71BE" w:rsidRPr="002C3009">
              <w:rPr>
                <w:sz w:val="20"/>
                <w:szCs w:val="20"/>
              </w:rPr>
              <w:t xml:space="preserve"> riociguat</w:t>
            </w:r>
            <w:r w:rsidR="000A5398" w:rsidRPr="002C3009">
              <w:rPr>
                <w:sz w:val="20"/>
                <w:szCs w:val="20"/>
              </w:rPr>
              <w:t>,</w:t>
            </w:r>
            <w:r w:rsidR="009E71BE" w:rsidRPr="002C3009">
              <w:rPr>
                <w:sz w:val="20"/>
                <w:szCs w:val="20"/>
              </w:rPr>
              <w:t xml:space="preserve"> (</w:t>
            </w:r>
            <w:proofErr w:type="gramStart"/>
            <w:r w:rsidR="000A5398" w:rsidRPr="002C3009">
              <w:rPr>
                <w:sz w:val="20"/>
                <w:szCs w:val="20"/>
              </w:rPr>
              <w:t>also</w:t>
            </w:r>
            <w:r w:rsidR="009E71BE" w:rsidRPr="002C3009">
              <w:rPr>
                <w:sz w:val="20"/>
                <w:szCs w:val="20"/>
              </w:rPr>
              <w:t xml:space="preserve"> selexipag</w:t>
            </w:r>
            <w:proofErr w:type="gramEnd"/>
            <w:r w:rsidR="009E71BE" w:rsidRPr="002C3009">
              <w:rPr>
                <w:sz w:val="20"/>
                <w:szCs w:val="20"/>
              </w:rPr>
              <w:t>)</w:t>
            </w:r>
            <w:r w:rsidR="00125464" w:rsidRPr="002C3009">
              <w:rPr>
                <w:sz w:val="20"/>
                <w:szCs w:val="20"/>
              </w:rPr>
              <w:t xml:space="preserve"> in WHO FC II and III</w:t>
            </w:r>
            <w:r w:rsidRPr="002C3009">
              <w:rPr>
                <w:sz w:val="20"/>
                <w:szCs w:val="20"/>
              </w:rPr>
              <w:t>.</w:t>
            </w:r>
          </w:p>
        </w:tc>
      </w:tr>
      <w:tr w:rsidR="009E71BE" w:rsidRPr="00F10B38" w14:paraId="4DAF9C65" w14:textId="77777777" w:rsidTr="00F04B81">
        <w:tc>
          <w:tcPr>
            <w:tcW w:w="0" w:type="auto"/>
          </w:tcPr>
          <w:p w14:paraId="6E26E344" w14:textId="77777777" w:rsidR="009E71BE" w:rsidRPr="002C3009" w:rsidRDefault="009E71BE" w:rsidP="002C3009">
            <w:pPr>
              <w:spacing w:beforeLines="60" w:before="144" w:after="60" w:line="240" w:lineRule="auto"/>
              <w:ind w:left="147" w:right="57"/>
              <w:rPr>
                <w:rFonts w:ascii="Arial" w:hAnsi="Arial" w:cs="Arial"/>
                <w:sz w:val="20"/>
                <w:szCs w:val="20"/>
              </w:rPr>
            </w:pPr>
            <w:r w:rsidRPr="002C3009">
              <w:rPr>
                <w:rFonts w:ascii="Arial" w:hAnsi="Arial" w:cs="Arial"/>
                <w:sz w:val="20"/>
                <w:szCs w:val="20"/>
              </w:rPr>
              <w:lastRenderedPageBreak/>
              <w:t>WHO FC III – high risk / poor prognosis</w:t>
            </w:r>
          </w:p>
        </w:tc>
        <w:tc>
          <w:tcPr>
            <w:tcW w:w="0" w:type="auto"/>
          </w:tcPr>
          <w:p w14:paraId="64E990FA" w14:textId="77777777" w:rsidR="009E71BE" w:rsidRPr="002C3009" w:rsidRDefault="00F04B81" w:rsidP="002C3009">
            <w:pPr>
              <w:spacing w:beforeLines="60" w:before="144" w:after="60" w:line="240" w:lineRule="auto"/>
              <w:ind w:left="143" w:right="57"/>
              <w:rPr>
                <w:rFonts w:ascii="Arial" w:hAnsi="Arial" w:cs="Arial"/>
                <w:sz w:val="20"/>
                <w:szCs w:val="20"/>
              </w:rPr>
            </w:pPr>
            <w:r w:rsidRPr="002C3009">
              <w:rPr>
                <w:rFonts w:ascii="Arial" w:hAnsi="Arial" w:cs="Arial"/>
                <w:i/>
                <w:sz w:val="20"/>
                <w:szCs w:val="20"/>
              </w:rPr>
              <w:t>“</w:t>
            </w:r>
            <w:r w:rsidR="009E71BE" w:rsidRPr="002C3009">
              <w:rPr>
                <w:rFonts w:ascii="Arial" w:hAnsi="Arial" w:cs="Arial"/>
                <w:i/>
                <w:sz w:val="20"/>
                <w:szCs w:val="20"/>
              </w:rPr>
              <w:t xml:space="preserve">For treatment naive PAH patients with WHO FC III symptoms who have evidence of rapid progression of their disease, or other markers of a poor clinical prognosis, we advise consideration of initial treatment with a parenteral </w:t>
            </w:r>
            <w:r w:rsidRPr="002C3009">
              <w:rPr>
                <w:rFonts w:ascii="Arial" w:hAnsi="Arial" w:cs="Arial"/>
                <w:i/>
                <w:sz w:val="20"/>
                <w:szCs w:val="20"/>
              </w:rPr>
              <w:t>prostanoid”</w:t>
            </w:r>
          </w:p>
        </w:tc>
        <w:tc>
          <w:tcPr>
            <w:tcW w:w="0" w:type="auto"/>
          </w:tcPr>
          <w:p w14:paraId="6F6BA899" w14:textId="77777777" w:rsidR="009E71BE" w:rsidRPr="002C3009" w:rsidRDefault="00F04B81" w:rsidP="002C3009">
            <w:pPr>
              <w:pStyle w:val="06Tabletextspacebefore"/>
              <w:spacing w:beforeLines="60" w:before="144" w:after="60"/>
              <w:rPr>
                <w:i/>
                <w:sz w:val="20"/>
                <w:szCs w:val="20"/>
              </w:rPr>
            </w:pPr>
            <w:r w:rsidRPr="002C3009">
              <w:rPr>
                <w:i/>
                <w:sz w:val="20"/>
                <w:szCs w:val="20"/>
              </w:rPr>
              <w:t>“</w:t>
            </w:r>
            <w:r w:rsidR="009E71BE" w:rsidRPr="002C3009">
              <w:rPr>
                <w:i/>
                <w:sz w:val="20"/>
                <w:szCs w:val="20"/>
              </w:rPr>
              <w:t xml:space="preserve">In non-vasoreactive and treatment-naive patients at high risk, initial combination therapy including </w:t>
            </w:r>
            <w:proofErr w:type="spellStart"/>
            <w:r w:rsidR="009E71BE" w:rsidRPr="002C3009">
              <w:rPr>
                <w:i/>
                <w:sz w:val="20"/>
                <w:szCs w:val="20"/>
              </w:rPr>
              <w:t>i.v.</w:t>
            </w:r>
            <w:proofErr w:type="spellEnd"/>
            <w:r w:rsidR="009E71BE" w:rsidRPr="002C3009">
              <w:rPr>
                <w:i/>
                <w:sz w:val="20"/>
                <w:szCs w:val="20"/>
              </w:rPr>
              <w:t xml:space="preserve"> prostacyclin analogues should be considered</w:t>
            </w:r>
            <w:r w:rsidRPr="002C3009">
              <w:rPr>
                <w:i/>
                <w:sz w:val="20"/>
                <w:szCs w:val="20"/>
              </w:rPr>
              <w:t>”</w:t>
            </w:r>
          </w:p>
          <w:p w14:paraId="102FF75C" w14:textId="77777777" w:rsidR="00577343" w:rsidRPr="002C3009" w:rsidRDefault="00F04B81" w:rsidP="002C3009">
            <w:pPr>
              <w:pStyle w:val="06Tabletextspacebefore"/>
              <w:spacing w:beforeLines="60" w:before="144" w:after="60"/>
              <w:rPr>
                <w:sz w:val="20"/>
                <w:szCs w:val="20"/>
              </w:rPr>
            </w:pPr>
            <w:r w:rsidRPr="002C3009">
              <w:rPr>
                <w:sz w:val="20"/>
                <w:szCs w:val="20"/>
              </w:rPr>
              <w:t>T</w:t>
            </w:r>
            <w:r w:rsidR="00577343" w:rsidRPr="002C3009">
              <w:rPr>
                <w:sz w:val="20"/>
                <w:szCs w:val="20"/>
              </w:rPr>
              <w:t xml:space="preserve">abulated recommendations for monotherapy are for oral </w:t>
            </w:r>
            <w:r w:rsidR="00517C17" w:rsidRPr="002C3009">
              <w:rPr>
                <w:sz w:val="20"/>
                <w:szCs w:val="20"/>
              </w:rPr>
              <w:t>medicine</w:t>
            </w:r>
            <w:r w:rsidR="00577343" w:rsidRPr="002C3009">
              <w:rPr>
                <w:sz w:val="20"/>
                <w:szCs w:val="20"/>
              </w:rPr>
              <w:t xml:space="preserve">s and prostanoids in WHO FC III and IV, but especially </w:t>
            </w:r>
            <w:r w:rsidR="008573E5" w:rsidRPr="002C3009">
              <w:rPr>
                <w:sz w:val="20"/>
                <w:szCs w:val="20"/>
              </w:rPr>
              <w:t>epoprostenol</w:t>
            </w:r>
            <w:r w:rsidR="00577343" w:rsidRPr="002C3009">
              <w:rPr>
                <w:sz w:val="20"/>
                <w:szCs w:val="20"/>
              </w:rPr>
              <w:t xml:space="preserve"> in Class IV</w:t>
            </w:r>
            <w:r w:rsidRPr="002C3009">
              <w:rPr>
                <w:sz w:val="20"/>
                <w:szCs w:val="20"/>
              </w:rPr>
              <w:t>.</w:t>
            </w:r>
          </w:p>
          <w:p w14:paraId="1B314EFA" w14:textId="77777777" w:rsidR="00577343" w:rsidRPr="002C3009" w:rsidRDefault="00577343" w:rsidP="002C3009">
            <w:pPr>
              <w:pStyle w:val="06Tabletextspacebefore"/>
              <w:spacing w:beforeLines="60" w:before="144" w:after="60"/>
              <w:rPr>
                <w:sz w:val="20"/>
                <w:szCs w:val="20"/>
              </w:rPr>
            </w:pPr>
            <w:r w:rsidRPr="002C3009">
              <w:rPr>
                <w:sz w:val="20"/>
                <w:szCs w:val="20"/>
              </w:rPr>
              <w:t xml:space="preserve">From the guideline algorithm: Initial combination including </w:t>
            </w:r>
            <w:proofErr w:type="spellStart"/>
            <w:r w:rsidRPr="002C3009">
              <w:rPr>
                <w:sz w:val="20"/>
                <w:szCs w:val="20"/>
              </w:rPr>
              <w:t>i.v.</w:t>
            </w:r>
            <w:proofErr w:type="spellEnd"/>
            <w:r w:rsidRPr="002C3009">
              <w:rPr>
                <w:sz w:val="20"/>
                <w:szCs w:val="20"/>
              </w:rPr>
              <w:t xml:space="preserve"> prostacyclin analogue</w:t>
            </w:r>
            <w:r w:rsidR="000A5398" w:rsidRPr="002C3009">
              <w:rPr>
                <w:sz w:val="20"/>
                <w:szCs w:val="20"/>
              </w:rPr>
              <w:t xml:space="preserve"> for high risk WHO FC IV (also WHO FC III)</w:t>
            </w:r>
            <w:r w:rsidR="00F04B81" w:rsidRPr="002C3009">
              <w:rPr>
                <w:sz w:val="20"/>
                <w:szCs w:val="20"/>
              </w:rPr>
              <w:t>.</w:t>
            </w:r>
          </w:p>
        </w:tc>
      </w:tr>
      <w:tr w:rsidR="009E71BE" w:rsidRPr="00F10B38" w14:paraId="5D15C996" w14:textId="77777777" w:rsidTr="00F04B81">
        <w:tc>
          <w:tcPr>
            <w:tcW w:w="0" w:type="auto"/>
          </w:tcPr>
          <w:p w14:paraId="650FA4C8" w14:textId="77777777" w:rsidR="009E71BE" w:rsidRPr="002C3009" w:rsidRDefault="009E71BE" w:rsidP="002C3009">
            <w:pPr>
              <w:spacing w:beforeLines="60" w:before="144" w:after="60" w:line="240" w:lineRule="auto"/>
              <w:ind w:left="147" w:right="57"/>
              <w:rPr>
                <w:rFonts w:ascii="Arial" w:hAnsi="Arial" w:cs="Arial"/>
                <w:sz w:val="20"/>
                <w:szCs w:val="20"/>
              </w:rPr>
            </w:pPr>
            <w:r w:rsidRPr="002C3009">
              <w:rPr>
                <w:rFonts w:ascii="Arial" w:hAnsi="Arial" w:cs="Arial"/>
                <w:sz w:val="20"/>
                <w:szCs w:val="20"/>
              </w:rPr>
              <w:t>WHO FC IV</w:t>
            </w:r>
          </w:p>
        </w:tc>
        <w:tc>
          <w:tcPr>
            <w:tcW w:w="0" w:type="auto"/>
          </w:tcPr>
          <w:p w14:paraId="2431818C" w14:textId="77777777" w:rsidR="009E71BE" w:rsidRPr="002C3009" w:rsidRDefault="00F04B81" w:rsidP="002C3009">
            <w:pPr>
              <w:spacing w:beforeLines="60" w:before="144" w:after="60" w:line="240" w:lineRule="auto"/>
              <w:ind w:left="143" w:right="57"/>
              <w:rPr>
                <w:rFonts w:ascii="Arial" w:hAnsi="Arial" w:cs="Arial"/>
                <w:i/>
                <w:sz w:val="20"/>
                <w:szCs w:val="20"/>
              </w:rPr>
            </w:pPr>
            <w:r w:rsidRPr="002C3009">
              <w:rPr>
                <w:rFonts w:ascii="Arial" w:hAnsi="Arial" w:cs="Arial"/>
                <w:i/>
                <w:sz w:val="20"/>
                <w:szCs w:val="20"/>
              </w:rPr>
              <w:t>“</w:t>
            </w:r>
            <w:r w:rsidR="009E71BE" w:rsidRPr="002C3009">
              <w:rPr>
                <w:rFonts w:ascii="Arial" w:hAnsi="Arial" w:cs="Arial"/>
                <w:i/>
                <w:sz w:val="20"/>
                <w:szCs w:val="20"/>
              </w:rPr>
              <w:t xml:space="preserve">For treatment naive PAH patients in WHO FC IV, we advise initiation of monotherapy with a parenteral </w:t>
            </w:r>
            <w:r w:rsidRPr="002C3009">
              <w:rPr>
                <w:rFonts w:ascii="Arial" w:hAnsi="Arial" w:cs="Arial"/>
                <w:i/>
                <w:sz w:val="20"/>
                <w:szCs w:val="20"/>
              </w:rPr>
              <w:t>prostanoid agent”</w:t>
            </w:r>
          </w:p>
          <w:p w14:paraId="1A439920" w14:textId="77777777" w:rsidR="009E71BE" w:rsidRPr="002C3009" w:rsidRDefault="00F04B81" w:rsidP="002C3009">
            <w:pPr>
              <w:spacing w:beforeLines="60" w:before="144" w:after="60" w:line="240" w:lineRule="auto"/>
              <w:ind w:left="143" w:right="57"/>
              <w:rPr>
                <w:rFonts w:ascii="Arial" w:hAnsi="Arial" w:cs="Arial"/>
                <w:i/>
                <w:sz w:val="20"/>
                <w:szCs w:val="20"/>
              </w:rPr>
            </w:pPr>
            <w:r w:rsidRPr="002C3009">
              <w:rPr>
                <w:rFonts w:ascii="Arial" w:hAnsi="Arial" w:cs="Arial"/>
                <w:i/>
                <w:sz w:val="20"/>
                <w:szCs w:val="20"/>
              </w:rPr>
              <w:t>“</w:t>
            </w:r>
            <w:r w:rsidR="009E71BE" w:rsidRPr="002C3009">
              <w:rPr>
                <w:rFonts w:ascii="Arial" w:hAnsi="Arial" w:cs="Arial"/>
                <w:i/>
                <w:sz w:val="20"/>
                <w:szCs w:val="20"/>
              </w:rPr>
              <w:t>For treatment naive PAH patients in WHO FC IV who are unable or do not desire to manage parenteral prostanoid therapy, we advise treatment with an inhaled prostanoid in combination with an ERA</w:t>
            </w:r>
            <w:r w:rsidRPr="002C3009">
              <w:rPr>
                <w:rFonts w:ascii="Arial" w:hAnsi="Arial" w:cs="Arial"/>
                <w:i/>
                <w:sz w:val="20"/>
                <w:szCs w:val="20"/>
              </w:rPr>
              <w:t>”</w:t>
            </w:r>
          </w:p>
        </w:tc>
        <w:tc>
          <w:tcPr>
            <w:tcW w:w="0" w:type="auto"/>
          </w:tcPr>
          <w:p w14:paraId="2E561C1F" w14:textId="77777777" w:rsidR="009E71BE" w:rsidRPr="002C3009" w:rsidRDefault="00F04B81" w:rsidP="002C3009">
            <w:pPr>
              <w:pStyle w:val="06Tabletextspacebefore"/>
              <w:spacing w:beforeLines="60" w:before="144" w:after="60"/>
              <w:rPr>
                <w:sz w:val="20"/>
                <w:szCs w:val="20"/>
              </w:rPr>
            </w:pPr>
            <w:r w:rsidRPr="002C3009">
              <w:rPr>
                <w:sz w:val="20"/>
                <w:szCs w:val="20"/>
              </w:rPr>
              <w:t>T</w:t>
            </w:r>
            <w:r w:rsidR="00577343" w:rsidRPr="002C3009">
              <w:rPr>
                <w:sz w:val="20"/>
                <w:szCs w:val="20"/>
              </w:rPr>
              <w:t xml:space="preserve">abulated recommendations for monotherapy are for oral agents and prostanoids in WHO FC III and IV, but especially </w:t>
            </w:r>
            <w:r w:rsidR="00242BE9" w:rsidRPr="002C3009">
              <w:rPr>
                <w:sz w:val="20"/>
                <w:szCs w:val="20"/>
              </w:rPr>
              <w:t>epoprostenol</w:t>
            </w:r>
            <w:r w:rsidR="00577343" w:rsidRPr="002C3009">
              <w:rPr>
                <w:sz w:val="20"/>
                <w:szCs w:val="20"/>
              </w:rPr>
              <w:t xml:space="preserve"> in Class IV</w:t>
            </w:r>
            <w:r w:rsidRPr="002C3009">
              <w:rPr>
                <w:sz w:val="20"/>
                <w:szCs w:val="20"/>
              </w:rPr>
              <w:t>.</w:t>
            </w:r>
          </w:p>
          <w:p w14:paraId="38818D48" w14:textId="77777777" w:rsidR="00577343" w:rsidRPr="002C3009" w:rsidRDefault="00577343" w:rsidP="002C3009">
            <w:pPr>
              <w:pStyle w:val="06Tabletextspacebefore"/>
              <w:spacing w:beforeLines="60" w:before="144" w:after="60"/>
              <w:rPr>
                <w:sz w:val="20"/>
                <w:szCs w:val="20"/>
              </w:rPr>
            </w:pPr>
            <w:r w:rsidRPr="002C3009">
              <w:rPr>
                <w:sz w:val="20"/>
                <w:szCs w:val="20"/>
              </w:rPr>
              <w:t xml:space="preserve">From the guideline algorithm: Initial combination including </w:t>
            </w:r>
            <w:proofErr w:type="spellStart"/>
            <w:r w:rsidRPr="002C3009">
              <w:rPr>
                <w:sz w:val="20"/>
                <w:szCs w:val="20"/>
              </w:rPr>
              <w:t>i.v.</w:t>
            </w:r>
            <w:proofErr w:type="spellEnd"/>
            <w:r w:rsidRPr="002C3009">
              <w:rPr>
                <w:sz w:val="20"/>
                <w:szCs w:val="20"/>
              </w:rPr>
              <w:t xml:space="preserve"> prostacyclin analogue</w:t>
            </w:r>
            <w:r w:rsidR="000A5398" w:rsidRPr="002C3009">
              <w:rPr>
                <w:sz w:val="20"/>
                <w:szCs w:val="20"/>
              </w:rPr>
              <w:t xml:space="preserve"> for high risk WHO FC IV (also WHO FC III)</w:t>
            </w:r>
            <w:r w:rsidR="00F04B81" w:rsidRPr="002C3009">
              <w:rPr>
                <w:sz w:val="20"/>
                <w:szCs w:val="20"/>
              </w:rPr>
              <w:t>.</w:t>
            </w:r>
          </w:p>
        </w:tc>
      </w:tr>
      <w:tr w:rsidR="009E71BE" w:rsidRPr="00F10B38" w14:paraId="3DBE6F50" w14:textId="77777777" w:rsidTr="002C3009">
        <w:tc>
          <w:tcPr>
            <w:tcW w:w="0" w:type="auto"/>
            <w:tcBorders>
              <w:bottom w:val="single" w:sz="4" w:space="0" w:color="auto"/>
            </w:tcBorders>
          </w:tcPr>
          <w:p w14:paraId="27E375CE" w14:textId="77777777" w:rsidR="009E71BE" w:rsidRPr="002C3009" w:rsidRDefault="009E71BE" w:rsidP="002C3009">
            <w:pPr>
              <w:spacing w:beforeLines="60" w:before="144" w:after="60" w:line="240" w:lineRule="auto"/>
              <w:ind w:left="147" w:right="57"/>
              <w:rPr>
                <w:rFonts w:ascii="Arial" w:hAnsi="Arial" w:cs="Arial"/>
                <w:sz w:val="20"/>
                <w:szCs w:val="20"/>
              </w:rPr>
            </w:pPr>
            <w:r w:rsidRPr="002C3009">
              <w:rPr>
                <w:rFonts w:ascii="Arial" w:hAnsi="Arial" w:cs="Arial"/>
                <w:sz w:val="20"/>
                <w:szCs w:val="20"/>
              </w:rPr>
              <w:t>WHO FC III or IV</w:t>
            </w:r>
          </w:p>
        </w:tc>
        <w:tc>
          <w:tcPr>
            <w:tcW w:w="0" w:type="auto"/>
            <w:tcBorders>
              <w:bottom w:val="single" w:sz="4" w:space="0" w:color="auto"/>
            </w:tcBorders>
          </w:tcPr>
          <w:p w14:paraId="5C2B3268" w14:textId="77777777" w:rsidR="009E71BE" w:rsidRPr="002C3009" w:rsidRDefault="00F04B81" w:rsidP="002C3009">
            <w:pPr>
              <w:spacing w:beforeLines="60" w:before="144" w:after="60" w:line="240" w:lineRule="auto"/>
              <w:ind w:left="143" w:right="57"/>
              <w:rPr>
                <w:rFonts w:ascii="Arial" w:hAnsi="Arial" w:cs="Arial"/>
                <w:i/>
                <w:sz w:val="20"/>
                <w:szCs w:val="20"/>
              </w:rPr>
            </w:pPr>
            <w:r w:rsidRPr="002C3009">
              <w:rPr>
                <w:rFonts w:ascii="Arial" w:hAnsi="Arial" w:cs="Arial"/>
                <w:i/>
                <w:sz w:val="20"/>
                <w:szCs w:val="20"/>
              </w:rPr>
              <w:t>“</w:t>
            </w:r>
            <w:r w:rsidR="009E71BE" w:rsidRPr="002C3009">
              <w:rPr>
                <w:rFonts w:ascii="Arial" w:hAnsi="Arial" w:cs="Arial"/>
                <w:i/>
                <w:sz w:val="20"/>
                <w:szCs w:val="20"/>
              </w:rPr>
              <w:t>In PAH patients initiating therapy with IV epoprostenol, we suggest against the routine simultaneous initiation of bosentan</w:t>
            </w:r>
            <w:r w:rsidRPr="002C3009">
              <w:rPr>
                <w:rFonts w:ascii="Arial" w:hAnsi="Arial" w:cs="Arial"/>
                <w:i/>
                <w:sz w:val="20"/>
                <w:szCs w:val="20"/>
              </w:rPr>
              <w:t>”</w:t>
            </w:r>
          </w:p>
        </w:tc>
        <w:tc>
          <w:tcPr>
            <w:tcW w:w="0" w:type="auto"/>
            <w:tcBorders>
              <w:bottom w:val="single" w:sz="4" w:space="0" w:color="auto"/>
            </w:tcBorders>
          </w:tcPr>
          <w:p w14:paraId="0039A011" w14:textId="77777777" w:rsidR="009E71BE" w:rsidRPr="002C3009" w:rsidRDefault="00F04B81" w:rsidP="002C3009">
            <w:pPr>
              <w:pStyle w:val="06Tabletextspacebefore"/>
              <w:spacing w:beforeLines="60" w:before="144" w:after="60"/>
              <w:rPr>
                <w:sz w:val="20"/>
                <w:szCs w:val="20"/>
              </w:rPr>
            </w:pPr>
            <w:r w:rsidRPr="002C3009">
              <w:rPr>
                <w:sz w:val="20"/>
                <w:szCs w:val="20"/>
              </w:rPr>
              <w:t>T</w:t>
            </w:r>
            <w:r w:rsidR="009E71BE" w:rsidRPr="002C3009">
              <w:rPr>
                <w:sz w:val="20"/>
                <w:szCs w:val="20"/>
              </w:rPr>
              <w:t>abulated recommendations for monotherapy are for oral agents and prostanoids</w:t>
            </w:r>
            <w:r w:rsidR="00125464" w:rsidRPr="002C3009">
              <w:rPr>
                <w:sz w:val="20"/>
                <w:szCs w:val="20"/>
              </w:rPr>
              <w:t xml:space="preserve"> in WHO FC III and IV</w:t>
            </w:r>
            <w:r w:rsidR="009E71BE" w:rsidRPr="002C3009">
              <w:rPr>
                <w:sz w:val="20"/>
                <w:szCs w:val="20"/>
              </w:rPr>
              <w:t xml:space="preserve">, but especially </w:t>
            </w:r>
            <w:r w:rsidR="00242BE9" w:rsidRPr="002C3009">
              <w:rPr>
                <w:sz w:val="20"/>
                <w:szCs w:val="20"/>
              </w:rPr>
              <w:t>epoprostenol</w:t>
            </w:r>
            <w:r w:rsidR="009E71BE" w:rsidRPr="002C3009">
              <w:rPr>
                <w:sz w:val="20"/>
                <w:szCs w:val="20"/>
              </w:rPr>
              <w:t xml:space="preserve"> in Class IV</w:t>
            </w:r>
            <w:r w:rsidRPr="002C3009">
              <w:rPr>
                <w:sz w:val="20"/>
                <w:szCs w:val="20"/>
              </w:rPr>
              <w:t>.</w:t>
            </w:r>
          </w:p>
        </w:tc>
      </w:tr>
      <w:tr w:rsidR="009E71BE" w:rsidRPr="00F10B38" w14:paraId="2FBBD62B" w14:textId="77777777" w:rsidTr="002C3009">
        <w:tc>
          <w:tcPr>
            <w:tcW w:w="0" w:type="auto"/>
            <w:tcBorders>
              <w:right w:val="nil"/>
            </w:tcBorders>
            <w:shd w:val="clear" w:color="auto" w:fill="FFFFFF" w:themeFill="background1"/>
          </w:tcPr>
          <w:p w14:paraId="4DC12050" w14:textId="77777777" w:rsidR="009E71BE" w:rsidRPr="002C3009" w:rsidRDefault="009E71BE" w:rsidP="002C3009">
            <w:pPr>
              <w:spacing w:beforeLines="60" w:before="144" w:after="60" w:line="240" w:lineRule="auto"/>
              <w:ind w:left="147" w:right="57"/>
              <w:rPr>
                <w:rFonts w:ascii="Arial" w:hAnsi="Arial" w:cs="Arial"/>
                <w:b/>
                <w:sz w:val="20"/>
                <w:szCs w:val="20"/>
              </w:rPr>
            </w:pPr>
            <w:r w:rsidRPr="002C3009">
              <w:rPr>
                <w:rFonts w:ascii="Arial" w:hAnsi="Arial" w:cs="Arial"/>
                <w:b/>
                <w:sz w:val="20"/>
                <w:szCs w:val="20"/>
              </w:rPr>
              <w:t>Previously treated</w:t>
            </w:r>
          </w:p>
        </w:tc>
        <w:tc>
          <w:tcPr>
            <w:tcW w:w="0" w:type="auto"/>
            <w:tcBorders>
              <w:left w:val="nil"/>
              <w:right w:val="nil"/>
            </w:tcBorders>
            <w:shd w:val="clear" w:color="auto" w:fill="FFFFFF" w:themeFill="background1"/>
          </w:tcPr>
          <w:p w14:paraId="05017389" w14:textId="77777777" w:rsidR="009E71BE" w:rsidRPr="002C3009" w:rsidRDefault="009E71BE" w:rsidP="002C3009">
            <w:pPr>
              <w:spacing w:beforeLines="60" w:before="144" w:after="60" w:line="240" w:lineRule="auto"/>
              <w:ind w:left="143" w:right="57"/>
              <w:rPr>
                <w:rFonts w:ascii="Arial" w:hAnsi="Arial" w:cs="Arial"/>
                <w:b/>
                <w:i/>
                <w:sz w:val="20"/>
                <w:szCs w:val="20"/>
              </w:rPr>
            </w:pPr>
          </w:p>
        </w:tc>
        <w:tc>
          <w:tcPr>
            <w:tcW w:w="0" w:type="auto"/>
            <w:tcBorders>
              <w:left w:val="nil"/>
              <w:right w:val="nil"/>
            </w:tcBorders>
            <w:shd w:val="clear" w:color="auto" w:fill="FFFFFF" w:themeFill="background1"/>
          </w:tcPr>
          <w:p w14:paraId="23B9F369" w14:textId="77777777" w:rsidR="009E71BE" w:rsidRPr="002C3009" w:rsidRDefault="009E71BE" w:rsidP="002C3009">
            <w:pPr>
              <w:pStyle w:val="06Tabletextspacebefore"/>
              <w:spacing w:beforeLines="60" w:before="144" w:after="60"/>
              <w:rPr>
                <w:sz w:val="20"/>
                <w:szCs w:val="20"/>
              </w:rPr>
            </w:pPr>
          </w:p>
        </w:tc>
      </w:tr>
      <w:tr w:rsidR="009E71BE" w:rsidRPr="00F10B38" w14:paraId="10F08DDB" w14:textId="77777777" w:rsidTr="00F04B81">
        <w:tc>
          <w:tcPr>
            <w:tcW w:w="0" w:type="auto"/>
          </w:tcPr>
          <w:p w14:paraId="5413ECFD" w14:textId="77777777" w:rsidR="009E71BE" w:rsidRPr="002C3009" w:rsidRDefault="009E71BE" w:rsidP="002C3009">
            <w:pPr>
              <w:spacing w:beforeLines="60" w:before="144" w:after="60" w:line="240" w:lineRule="auto"/>
              <w:ind w:left="147" w:right="57"/>
              <w:rPr>
                <w:rFonts w:ascii="Arial" w:hAnsi="Arial" w:cs="Arial"/>
                <w:sz w:val="20"/>
                <w:szCs w:val="20"/>
              </w:rPr>
            </w:pPr>
            <w:r w:rsidRPr="002C3009">
              <w:rPr>
                <w:rFonts w:ascii="Arial" w:hAnsi="Arial" w:cs="Arial"/>
                <w:sz w:val="20"/>
                <w:szCs w:val="20"/>
              </w:rPr>
              <w:t>WHO FC II –failed CCBs</w:t>
            </w:r>
          </w:p>
        </w:tc>
        <w:tc>
          <w:tcPr>
            <w:tcW w:w="0" w:type="auto"/>
          </w:tcPr>
          <w:p w14:paraId="1B7776AF" w14:textId="77777777" w:rsidR="009E71BE" w:rsidRPr="002C3009" w:rsidRDefault="00F04B81" w:rsidP="002C3009">
            <w:pPr>
              <w:spacing w:beforeLines="60" w:before="144" w:after="60" w:line="240" w:lineRule="auto"/>
              <w:ind w:left="143" w:right="57"/>
              <w:rPr>
                <w:rFonts w:ascii="Arial" w:hAnsi="Arial" w:cs="Arial"/>
                <w:sz w:val="20"/>
                <w:szCs w:val="20"/>
              </w:rPr>
            </w:pPr>
            <w:r w:rsidRPr="002C3009">
              <w:rPr>
                <w:rFonts w:ascii="Arial" w:hAnsi="Arial" w:cs="Arial"/>
                <w:i/>
                <w:sz w:val="20"/>
                <w:szCs w:val="20"/>
              </w:rPr>
              <w:t>“</w:t>
            </w:r>
            <w:r w:rsidR="009E71BE" w:rsidRPr="002C3009">
              <w:rPr>
                <w:rFonts w:ascii="Arial" w:hAnsi="Arial" w:cs="Arial"/>
                <w:i/>
                <w:sz w:val="20"/>
                <w:szCs w:val="20"/>
              </w:rPr>
              <w:t xml:space="preserve">For PAH patients with WHO FC II symptoms who have failed CCB therapy, we advise monotherapy with an ERA, </w:t>
            </w:r>
            <w:r w:rsidR="00AF191D" w:rsidRPr="002C3009">
              <w:rPr>
                <w:rFonts w:ascii="Arial" w:hAnsi="Arial" w:cs="Arial"/>
                <w:i/>
                <w:sz w:val="20"/>
                <w:szCs w:val="20"/>
              </w:rPr>
              <w:t>PDE</w:t>
            </w:r>
            <w:r w:rsidR="00AF191D" w:rsidRPr="002C3009">
              <w:rPr>
                <w:rFonts w:ascii="Arial" w:hAnsi="Arial" w:cs="Arial"/>
                <w:i/>
                <w:sz w:val="20"/>
                <w:szCs w:val="20"/>
              </w:rPr>
              <w:noBreakHyphen/>
              <w:t>5</w:t>
            </w:r>
            <w:r w:rsidR="00C40AC4" w:rsidRPr="002C3009">
              <w:rPr>
                <w:rFonts w:ascii="Arial" w:hAnsi="Arial" w:cs="Arial"/>
                <w:i/>
                <w:sz w:val="20"/>
                <w:szCs w:val="20"/>
              </w:rPr>
              <w:t xml:space="preserve"> inhibitor or rioci</w:t>
            </w:r>
            <w:r w:rsidRPr="002C3009">
              <w:rPr>
                <w:rFonts w:ascii="Arial" w:hAnsi="Arial" w:cs="Arial"/>
                <w:i/>
                <w:sz w:val="20"/>
                <w:szCs w:val="20"/>
              </w:rPr>
              <w:t>guat”</w:t>
            </w:r>
          </w:p>
        </w:tc>
        <w:tc>
          <w:tcPr>
            <w:tcW w:w="0" w:type="auto"/>
          </w:tcPr>
          <w:p w14:paraId="5110EA12" w14:textId="77777777" w:rsidR="009E71BE" w:rsidRPr="002C3009" w:rsidRDefault="0025248C" w:rsidP="002C3009">
            <w:pPr>
              <w:pStyle w:val="06Tabletextspacebefore"/>
              <w:spacing w:beforeLines="60" w:before="144" w:after="60"/>
              <w:rPr>
                <w:sz w:val="20"/>
                <w:szCs w:val="20"/>
              </w:rPr>
            </w:pPr>
            <w:r w:rsidRPr="002C3009">
              <w:rPr>
                <w:sz w:val="20"/>
                <w:szCs w:val="20"/>
              </w:rPr>
              <w:t>[As for WHO FC III – failed CCBs</w:t>
            </w:r>
            <w:r w:rsidR="00F04B81" w:rsidRPr="002C3009">
              <w:rPr>
                <w:sz w:val="20"/>
                <w:szCs w:val="20"/>
              </w:rPr>
              <w:t>, below</w:t>
            </w:r>
            <w:r w:rsidRPr="002C3009">
              <w:rPr>
                <w:sz w:val="20"/>
                <w:szCs w:val="20"/>
              </w:rPr>
              <w:t>]</w:t>
            </w:r>
          </w:p>
        </w:tc>
      </w:tr>
      <w:tr w:rsidR="009E71BE" w:rsidRPr="00F10B38" w14:paraId="24416F0D" w14:textId="77777777" w:rsidTr="00F04B81">
        <w:tc>
          <w:tcPr>
            <w:tcW w:w="0" w:type="auto"/>
          </w:tcPr>
          <w:p w14:paraId="777ED1D0" w14:textId="77777777" w:rsidR="009E71BE" w:rsidRPr="002C3009" w:rsidRDefault="009E71BE" w:rsidP="002C3009">
            <w:pPr>
              <w:spacing w:beforeLines="60" w:before="144" w:after="60" w:line="240" w:lineRule="auto"/>
              <w:ind w:left="147" w:right="57"/>
              <w:rPr>
                <w:rFonts w:ascii="Arial" w:hAnsi="Arial" w:cs="Arial"/>
                <w:sz w:val="20"/>
                <w:szCs w:val="20"/>
              </w:rPr>
            </w:pPr>
            <w:r w:rsidRPr="002C3009">
              <w:rPr>
                <w:rFonts w:ascii="Arial" w:hAnsi="Arial" w:cs="Arial"/>
                <w:sz w:val="20"/>
                <w:szCs w:val="20"/>
              </w:rPr>
              <w:t>WHO FC III – failed CCBs</w:t>
            </w:r>
          </w:p>
        </w:tc>
        <w:tc>
          <w:tcPr>
            <w:tcW w:w="0" w:type="auto"/>
          </w:tcPr>
          <w:p w14:paraId="57440ECC" w14:textId="77777777" w:rsidR="009E71BE" w:rsidRPr="002C3009" w:rsidRDefault="00F04B81" w:rsidP="002C3009">
            <w:pPr>
              <w:spacing w:beforeLines="60" w:before="144" w:after="60" w:line="240" w:lineRule="auto"/>
              <w:ind w:left="143" w:right="57"/>
              <w:rPr>
                <w:rFonts w:ascii="Arial" w:hAnsi="Arial" w:cs="Arial"/>
                <w:i/>
                <w:sz w:val="20"/>
                <w:szCs w:val="20"/>
              </w:rPr>
            </w:pPr>
            <w:r w:rsidRPr="002C3009">
              <w:rPr>
                <w:rFonts w:ascii="Arial" w:hAnsi="Arial" w:cs="Arial"/>
                <w:i/>
                <w:sz w:val="20"/>
                <w:szCs w:val="20"/>
              </w:rPr>
              <w:t>“</w:t>
            </w:r>
            <w:r w:rsidR="009E71BE" w:rsidRPr="002C3009">
              <w:rPr>
                <w:rFonts w:ascii="Arial" w:hAnsi="Arial" w:cs="Arial"/>
                <w:i/>
                <w:sz w:val="20"/>
                <w:szCs w:val="20"/>
              </w:rPr>
              <w:t xml:space="preserve">For PAH patients with WHO FC III symptoms who have failed CCB therapy, we advise monotherapy be initiated with an ERA, </w:t>
            </w:r>
            <w:r w:rsidRPr="002C3009">
              <w:rPr>
                <w:rFonts w:ascii="Arial" w:hAnsi="Arial" w:cs="Arial"/>
                <w:i/>
                <w:sz w:val="20"/>
                <w:szCs w:val="20"/>
              </w:rPr>
              <w:t xml:space="preserve">a </w:t>
            </w:r>
            <w:r w:rsidR="00AF191D" w:rsidRPr="002C3009">
              <w:rPr>
                <w:rFonts w:ascii="Arial" w:hAnsi="Arial" w:cs="Arial"/>
                <w:i/>
                <w:sz w:val="20"/>
                <w:szCs w:val="20"/>
              </w:rPr>
              <w:t>PDE</w:t>
            </w:r>
            <w:r w:rsidR="00AF191D" w:rsidRPr="002C3009">
              <w:rPr>
                <w:rFonts w:ascii="Arial" w:hAnsi="Arial" w:cs="Arial"/>
                <w:i/>
                <w:sz w:val="20"/>
                <w:szCs w:val="20"/>
              </w:rPr>
              <w:noBreakHyphen/>
              <w:t>5</w:t>
            </w:r>
            <w:r w:rsidRPr="002C3009">
              <w:rPr>
                <w:rFonts w:ascii="Arial" w:hAnsi="Arial" w:cs="Arial"/>
                <w:i/>
                <w:sz w:val="20"/>
                <w:szCs w:val="20"/>
              </w:rPr>
              <w:t xml:space="preserve"> inhibitor, or riociguat”</w:t>
            </w:r>
          </w:p>
        </w:tc>
        <w:tc>
          <w:tcPr>
            <w:tcW w:w="0" w:type="auto"/>
          </w:tcPr>
          <w:p w14:paraId="68F89A39" w14:textId="77777777" w:rsidR="009E71BE" w:rsidRPr="002C3009" w:rsidRDefault="00F04B81" w:rsidP="002C3009">
            <w:pPr>
              <w:pStyle w:val="06Tabletextspacebefore"/>
              <w:spacing w:beforeLines="60" w:before="144" w:after="60"/>
              <w:rPr>
                <w:sz w:val="20"/>
                <w:szCs w:val="20"/>
              </w:rPr>
            </w:pPr>
            <w:r w:rsidRPr="002C3009">
              <w:rPr>
                <w:i/>
                <w:sz w:val="20"/>
                <w:szCs w:val="20"/>
              </w:rPr>
              <w:t>“</w:t>
            </w:r>
            <w:r w:rsidR="009E71BE" w:rsidRPr="002C3009">
              <w:rPr>
                <w:i/>
                <w:sz w:val="20"/>
                <w:szCs w:val="20"/>
              </w:rPr>
              <w:t>Initiation of specific PAH therapy is recommended in patients in WHO-FC III or IV or those without marked haemodynamic improvement (near normalization) after high doses of CCBs</w:t>
            </w:r>
            <w:r w:rsidRPr="002C3009">
              <w:rPr>
                <w:i/>
                <w:sz w:val="20"/>
                <w:szCs w:val="20"/>
              </w:rPr>
              <w:t>”</w:t>
            </w:r>
          </w:p>
        </w:tc>
      </w:tr>
      <w:tr w:rsidR="009E71BE" w:rsidRPr="00F10B38" w14:paraId="327164A8" w14:textId="77777777" w:rsidTr="00F04B81">
        <w:tc>
          <w:tcPr>
            <w:tcW w:w="0" w:type="auto"/>
          </w:tcPr>
          <w:p w14:paraId="7D4E003D" w14:textId="77777777" w:rsidR="009E71BE" w:rsidRPr="002C3009" w:rsidRDefault="009E71BE" w:rsidP="002C3009">
            <w:pPr>
              <w:spacing w:beforeLines="60" w:before="144" w:after="60" w:line="240" w:lineRule="auto"/>
              <w:ind w:left="147" w:right="57"/>
              <w:rPr>
                <w:rFonts w:ascii="Arial" w:hAnsi="Arial" w:cs="Arial"/>
                <w:sz w:val="20"/>
                <w:szCs w:val="20"/>
              </w:rPr>
            </w:pPr>
            <w:r w:rsidRPr="002C3009">
              <w:rPr>
                <w:rFonts w:ascii="Arial" w:hAnsi="Arial" w:cs="Arial"/>
                <w:sz w:val="20"/>
                <w:szCs w:val="20"/>
              </w:rPr>
              <w:lastRenderedPageBreak/>
              <w:t>WHO FC III – high risk / poor prognosis</w:t>
            </w:r>
          </w:p>
        </w:tc>
        <w:tc>
          <w:tcPr>
            <w:tcW w:w="0" w:type="auto"/>
          </w:tcPr>
          <w:p w14:paraId="346C1F0B" w14:textId="77777777" w:rsidR="009E71BE" w:rsidRPr="002C3009" w:rsidRDefault="00F04B81" w:rsidP="002C3009">
            <w:pPr>
              <w:spacing w:beforeLines="60" w:before="144" w:after="60" w:line="240" w:lineRule="auto"/>
              <w:ind w:left="143" w:right="57"/>
              <w:rPr>
                <w:rFonts w:ascii="Arial" w:hAnsi="Arial" w:cs="Arial"/>
                <w:i/>
                <w:sz w:val="20"/>
                <w:szCs w:val="20"/>
              </w:rPr>
            </w:pPr>
            <w:r w:rsidRPr="002C3009">
              <w:rPr>
                <w:rFonts w:ascii="Arial" w:hAnsi="Arial" w:cs="Arial"/>
                <w:i/>
                <w:sz w:val="20"/>
                <w:szCs w:val="20"/>
              </w:rPr>
              <w:t>“</w:t>
            </w:r>
            <w:r w:rsidR="009E71BE" w:rsidRPr="002C3009">
              <w:rPr>
                <w:rFonts w:ascii="Arial" w:hAnsi="Arial" w:cs="Arial"/>
                <w:i/>
                <w:sz w:val="20"/>
                <w:szCs w:val="20"/>
              </w:rPr>
              <w:t>For PAH patients in WHO FC III who have evidence of progression of their disease, and/or markers of poor clinical prognosis despite treatment with one or two classes of oral agents, we advise consideration of the addition of a parenteral or inhaled prostanoid.</w:t>
            </w:r>
            <w:r w:rsidRPr="002C3009">
              <w:rPr>
                <w:rFonts w:ascii="Arial" w:hAnsi="Arial" w:cs="Arial"/>
                <w:i/>
                <w:sz w:val="20"/>
                <w:szCs w:val="20"/>
              </w:rPr>
              <w:t>”</w:t>
            </w:r>
          </w:p>
        </w:tc>
        <w:tc>
          <w:tcPr>
            <w:tcW w:w="0" w:type="auto"/>
          </w:tcPr>
          <w:p w14:paraId="32EFBEA4" w14:textId="77777777" w:rsidR="009E71BE" w:rsidRPr="002C3009" w:rsidRDefault="00201586" w:rsidP="002C3009">
            <w:pPr>
              <w:pStyle w:val="06Tabletextspacebefore"/>
              <w:spacing w:beforeLines="60" w:before="144" w:after="60"/>
              <w:rPr>
                <w:sz w:val="20"/>
                <w:szCs w:val="20"/>
              </w:rPr>
            </w:pPr>
            <w:r w:rsidRPr="002C3009">
              <w:rPr>
                <w:sz w:val="20"/>
                <w:szCs w:val="20"/>
              </w:rPr>
              <w:t xml:space="preserve">From the guideline algorithm: Initial combination including </w:t>
            </w:r>
            <w:proofErr w:type="spellStart"/>
            <w:r w:rsidRPr="002C3009">
              <w:rPr>
                <w:sz w:val="20"/>
                <w:szCs w:val="20"/>
              </w:rPr>
              <w:t>i.v.</w:t>
            </w:r>
            <w:proofErr w:type="spellEnd"/>
            <w:r w:rsidRPr="002C3009">
              <w:rPr>
                <w:sz w:val="20"/>
                <w:szCs w:val="20"/>
              </w:rPr>
              <w:t xml:space="preserve"> prostacyclin analogue for WHO FC IV (also </w:t>
            </w:r>
            <w:r w:rsidR="00F04B81" w:rsidRPr="002C3009">
              <w:rPr>
                <w:sz w:val="20"/>
                <w:szCs w:val="20"/>
              </w:rPr>
              <w:t xml:space="preserve">high risk </w:t>
            </w:r>
            <w:r w:rsidRPr="002C3009">
              <w:rPr>
                <w:sz w:val="20"/>
                <w:szCs w:val="20"/>
              </w:rPr>
              <w:t>WHO FC III)</w:t>
            </w:r>
            <w:r w:rsidR="00EE1F96">
              <w:rPr>
                <w:sz w:val="20"/>
                <w:szCs w:val="20"/>
              </w:rPr>
              <w:t>.</w:t>
            </w:r>
          </w:p>
        </w:tc>
      </w:tr>
      <w:tr w:rsidR="009E71BE" w:rsidRPr="00F10B38" w14:paraId="17BEB484" w14:textId="77777777" w:rsidTr="00F04B81">
        <w:tc>
          <w:tcPr>
            <w:tcW w:w="0" w:type="auto"/>
          </w:tcPr>
          <w:p w14:paraId="432F5B05" w14:textId="77777777" w:rsidR="009E71BE" w:rsidRPr="002C3009" w:rsidRDefault="009E71BE" w:rsidP="002C3009">
            <w:pPr>
              <w:spacing w:beforeLines="60" w:before="144" w:after="60" w:line="240" w:lineRule="auto"/>
              <w:ind w:left="147" w:right="57"/>
              <w:rPr>
                <w:rFonts w:ascii="Arial" w:hAnsi="Arial" w:cs="Arial"/>
                <w:sz w:val="20"/>
                <w:szCs w:val="20"/>
              </w:rPr>
            </w:pPr>
            <w:r w:rsidRPr="002C3009">
              <w:rPr>
                <w:rFonts w:ascii="Arial" w:hAnsi="Arial" w:cs="Arial"/>
                <w:sz w:val="20"/>
                <w:szCs w:val="20"/>
              </w:rPr>
              <w:t>WHO FC III or IV</w:t>
            </w:r>
          </w:p>
        </w:tc>
        <w:tc>
          <w:tcPr>
            <w:tcW w:w="0" w:type="auto"/>
          </w:tcPr>
          <w:p w14:paraId="0AC3AE6E" w14:textId="77777777" w:rsidR="009E71BE" w:rsidRPr="002C3009" w:rsidRDefault="00F04B81" w:rsidP="002C3009">
            <w:pPr>
              <w:spacing w:beforeLines="60" w:before="144" w:after="60" w:line="240" w:lineRule="auto"/>
              <w:ind w:left="143" w:right="57"/>
              <w:rPr>
                <w:rFonts w:ascii="Arial" w:hAnsi="Arial" w:cs="Arial"/>
                <w:i/>
                <w:sz w:val="20"/>
                <w:szCs w:val="20"/>
              </w:rPr>
            </w:pPr>
            <w:r w:rsidRPr="002C3009">
              <w:rPr>
                <w:rFonts w:ascii="Arial" w:hAnsi="Arial" w:cs="Arial"/>
                <w:i/>
                <w:sz w:val="20"/>
                <w:szCs w:val="20"/>
              </w:rPr>
              <w:t>“</w:t>
            </w:r>
            <w:r w:rsidR="009E71BE" w:rsidRPr="002C3009">
              <w:rPr>
                <w:rFonts w:ascii="Arial" w:hAnsi="Arial" w:cs="Arial"/>
                <w:i/>
                <w:sz w:val="20"/>
                <w:szCs w:val="20"/>
              </w:rPr>
              <w:t>For WHO FC III or IV PAH patients with unacceptable clinical status despite established PAH-specific monotherapy, we advise addition of a second class of PAH therapy to improve exercise capacity:</w:t>
            </w:r>
          </w:p>
          <w:p w14:paraId="10075CC0" w14:textId="77777777" w:rsidR="009E71BE" w:rsidRPr="002C3009" w:rsidRDefault="009E71BE" w:rsidP="002C3009">
            <w:pPr>
              <w:spacing w:beforeLines="60" w:before="144" w:after="60" w:line="240" w:lineRule="auto"/>
              <w:ind w:left="143" w:right="57"/>
              <w:rPr>
                <w:rFonts w:ascii="Arial" w:hAnsi="Arial" w:cs="Arial"/>
                <w:i/>
                <w:sz w:val="20"/>
                <w:szCs w:val="20"/>
              </w:rPr>
            </w:pPr>
            <w:r w:rsidRPr="002C3009">
              <w:rPr>
                <w:rFonts w:ascii="Arial" w:hAnsi="Arial" w:cs="Arial"/>
                <w:i/>
                <w:sz w:val="20"/>
                <w:szCs w:val="20"/>
              </w:rPr>
              <w:t xml:space="preserve">- on ERA or </w:t>
            </w:r>
            <w:r w:rsidR="00AF191D" w:rsidRPr="002C3009">
              <w:rPr>
                <w:rFonts w:ascii="Arial" w:hAnsi="Arial" w:cs="Arial"/>
                <w:i/>
                <w:sz w:val="20"/>
                <w:szCs w:val="20"/>
              </w:rPr>
              <w:t>PDE</w:t>
            </w:r>
            <w:r w:rsidR="00AF191D" w:rsidRPr="002C3009">
              <w:rPr>
                <w:rFonts w:ascii="Arial" w:hAnsi="Arial" w:cs="Arial"/>
                <w:i/>
                <w:sz w:val="20"/>
                <w:szCs w:val="20"/>
              </w:rPr>
              <w:noBreakHyphen/>
              <w:t>5</w:t>
            </w:r>
            <w:r w:rsidRPr="002C3009">
              <w:rPr>
                <w:rFonts w:ascii="Arial" w:hAnsi="Arial" w:cs="Arial"/>
                <w:i/>
                <w:sz w:val="20"/>
                <w:szCs w:val="20"/>
              </w:rPr>
              <w:t xml:space="preserve"> inhibitor; add iloprost</w:t>
            </w:r>
          </w:p>
          <w:p w14:paraId="057DDA5D" w14:textId="77777777" w:rsidR="009E71BE" w:rsidRPr="002C3009" w:rsidRDefault="009E71BE" w:rsidP="002C3009">
            <w:pPr>
              <w:spacing w:beforeLines="60" w:before="144" w:after="60" w:line="240" w:lineRule="auto"/>
              <w:ind w:left="143" w:right="57"/>
              <w:rPr>
                <w:rFonts w:ascii="Arial" w:hAnsi="Arial" w:cs="Arial"/>
                <w:i/>
                <w:sz w:val="20"/>
                <w:szCs w:val="20"/>
              </w:rPr>
            </w:pPr>
            <w:r w:rsidRPr="002C3009">
              <w:rPr>
                <w:rFonts w:ascii="Arial" w:hAnsi="Arial" w:cs="Arial"/>
                <w:i/>
                <w:sz w:val="20"/>
                <w:szCs w:val="20"/>
              </w:rPr>
              <w:t>- on IV epoprostenol, add sildenafil or titrate up epoprostenol dose</w:t>
            </w:r>
          </w:p>
          <w:p w14:paraId="482EE67F" w14:textId="77777777" w:rsidR="009E71BE" w:rsidRPr="002C3009" w:rsidRDefault="009E71BE" w:rsidP="002C3009">
            <w:pPr>
              <w:spacing w:beforeLines="60" w:before="144" w:after="60" w:line="240" w:lineRule="auto"/>
              <w:ind w:left="143" w:right="57"/>
              <w:rPr>
                <w:rFonts w:ascii="Arial" w:hAnsi="Arial" w:cs="Arial"/>
                <w:i/>
                <w:sz w:val="20"/>
                <w:szCs w:val="20"/>
              </w:rPr>
            </w:pPr>
            <w:r w:rsidRPr="002C3009">
              <w:rPr>
                <w:rFonts w:ascii="Arial" w:hAnsi="Arial" w:cs="Arial"/>
                <w:i/>
                <w:sz w:val="20"/>
                <w:szCs w:val="20"/>
              </w:rPr>
              <w:t>- on ERA or iloprost, add riociguat</w:t>
            </w:r>
          </w:p>
          <w:p w14:paraId="4A4D5F44" w14:textId="77777777" w:rsidR="009E71BE" w:rsidRPr="002C3009" w:rsidRDefault="009E71BE" w:rsidP="002C3009">
            <w:pPr>
              <w:spacing w:beforeLines="60" w:before="144" w:after="60" w:line="240" w:lineRule="auto"/>
              <w:ind w:left="143" w:right="57"/>
              <w:rPr>
                <w:rFonts w:ascii="Arial" w:hAnsi="Arial" w:cs="Arial"/>
                <w:i/>
                <w:sz w:val="20"/>
                <w:szCs w:val="20"/>
              </w:rPr>
            </w:pPr>
            <w:r w:rsidRPr="002C3009">
              <w:rPr>
                <w:rFonts w:ascii="Arial" w:hAnsi="Arial" w:cs="Arial"/>
                <w:i/>
                <w:sz w:val="20"/>
                <w:szCs w:val="20"/>
              </w:rPr>
              <w:t xml:space="preserve">- on </w:t>
            </w:r>
            <w:r w:rsidR="00AF191D" w:rsidRPr="002C3009">
              <w:rPr>
                <w:rFonts w:ascii="Arial" w:hAnsi="Arial" w:cs="Arial"/>
                <w:i/>
                <w:sz w:val="20"/>
                <w:szCs w:val="20"/>
              </w:rPr>
              <w:t>PDE</w:t>
            </w:r>
            <w:r w:rsidR="00AF191D" w:rsidRPr="002C3009">
              <w:rPr>
                <w:rFonts w:ascii="Arial" w:hAnsi="Arial" w:cs="Arial"/>
                <w:i/>
                <w:sz w:val="20"/>
                <w:szCs w:val="20"/>
              </w:rPr>
              <w:noBreakHyphen/>
              <w:t>5</w:t>
            </w:r>
            <w:r w:rsidRPr="002C3009">
              <w:rPr>
                <w:rFonts w:ascii="Arial" w:hAnsi="Arial" w:cs="Arial"/>
                <w:i/>
                <w:sz w:val="20"/>
                <w:szCs w:val="20"/>
              </w:rPr>
              <w:t xml:space="preserve"> inhibitor or iloprost; add macitentan</w:t>
            </w:r>
            <w:r w:rsidR="00F04B81" w:rsidRPr="002C3009">
              <w:rPr>
                <w:rFonts w:ascii="Arial" w:hAnsi="Arial" w:cs="Arial"/>
                <w:i/>
                <w:sz w:val="20"/>
                <w:szCs w:val="20"/>
              </w:rPr>
              <w:t>”</w:t>
            </w:r>
          </w:p>
        </w:tc>
        <w:tc>
          <w:tcPr>
            <w:tcW w:w="0" w:type="auto"/>
          </w:tcPr>
          <w:p w14:paraId="154C9856" w14:textId="77777777" w:rsidR="00F04B81" w:rsidRPr="002C3009" w:rsidRDefault="00F04B81" w:rsidP="002C3009">
            <w:pPr>
              <w:pStyle w:val="06Tabletextspacebefore"/>
              <w:spacing w:beforeLines="60" w:before="144" w:after="60"/>
              <w:rPr>
                <w:i/>
                <w:sz w:val="20"/>
                <w:szCs w:val="20"/>
              </w:rPr>
            </w:pPr>
            <w:r w:rsidRPr="002C3009">
              <w:rPr>
                <w:i/>
                <w:sz w:val="20"/>
                <w:szCs w:val="20"/>
              </w:rPr>
              <w:t>“In case of inadequate clinical response to initial combination therapy or initial monotherapy, sequential double or triple combination therapy is recommended. In case of inadequate clinical response with sequential double combination therapy, triple combination therapy should be attempted”</w:t>
            </w:r>
          </w:p>
          <w:p w14:paraId="367CCC8C" w14:textId="77777777" w:rsidR="00F04B81" w:rsidRPr="002C3009" w:rsidRDefault="00F04B81" w:rsidP="002C3009">
            <w:pPr>
              <w:pStyle w:val="06Tabletextspacebefore"/>
              <w:spacing w:beforeLines="60" w:before="144" w:after="60"/>
              <w:rPr>
                <w:sz w:val="20"/>
                <w:szCs w:val="20"/>
              </w:rPr>
            </w:pPr>
          </w:p>
          <w:p w14:paraId="6CBFDE43" w14:textId="77777777" w:rsidR="009E71BE" w:rsidRPr="002C3009" w:rsidRDefault="00577343" w:rsidP="002C3009">
            <w:pPr>
              <w:pStyle w:val="06Tabletextspacebefore"/>
              <w:spacing w:beforeLines="60" w:before="144" w:after="60"/>
              <w:rPr>
                <w:sz w:val="20"/>
                <w:szCs w:val="20"/>
              </w:rPr>
            </w:pPr>
            <w:r w:rsidRPr="002C3009">
              <w:rPr>
                <w:sz w:val="20"/>
                <w:szCs w:val="20"/>
              </w:rPr>
              <w:t>From the guideline algorithm: Double or triple sequential combination</w:t>
            </w:r>
            <w:r w:rsidR="00F04B81" w:rsidRPr="002C3009">
              <w:rPr>
                <w:sz w:val="20"/>
                <w:szCs w:val="20"/>
              </w:rPr>
              <w:t xml:space="preserve"> to follow initial therapy.</w:t>
            </w:r>
          </w:p>
        </w:tc>
      </w:tr>
      <w:tr w:rsidR="009E71BE" w:rsidRPr="00F10B38" w14:paraId="293153BB" w14:textId="77777777" w:rsidTr="00F04B81">
        <w:tc>
          <w:tcPr>
            <w:tcW w:w="0" w:type="auto"/>
          </w:tcPr>
          <w:p w14:paraId="0A1FEF51" w14:textId="77777777" w:rsidR="009E71BE" w:rsidRPr="002C3009" w:rsidRDefault="009E71BE" w:rsidP="002C3009">
            <w:pPr>
              <w:spacing w:beforeLines="60" w:before="144" w:after="60" w:line="240" w:lineRule="auto"/>
              <w:ind w:left="147" w:right="57"/>
              <w:rPr>
                <w:rFonts w:ascii="Arial" w:hAnsi="Arial" w:cs="Arial"/>
                <w:sz w:val="20"/>
                <w:szCs w:val="20"/>
              </w:rPr>
            </w:pPr>
            <w:r w:rsidRPr="002C3009">
              <w:rPr>
                <w:rFonts w:ascii="Arial" w:hAnsi="Arial" w:cs="Arial"/>
                <w:sz w:val="20"/>
                <w:szCs w:val="20"/>
              </w:rPr>
              <w:t>WHO FC III or IV – high risk / poor prognosis</w:t>
            </w:r>
          </w:p>
        </w:tc>
        <w:tc>
          <w:tcPr>
            <w:tcW w:w="0" w:type="auto"/>
          </w:tcPr>
          <w:p w14:paraId="062CB538" w14:textId="77777777" w:rsidR="009E71BE" w:rsidRPr="002C3009" w:rsidRDefault="00F04B81" w:rsidP="0084407B">
            <w:pPr>
              <w:spacing w:beforeLines="60" w:before="144" w:after="60" w:line="240" w:lineRule="auto"/>
              <w:ind w:left="162" w:right="57"/>
              <w:rPr>
                <w:rFonts w:ascii="Arial" w:hAnsi="Arial" w:cs="Arial"/>
                <w:i/>
                <w:sz w:val="20"/>
                <w:szCs w:val="20"/>
              </w:rPr>
            </w:pPr>
            <w:r w:rsidRPr="002C3009">
              <w:rPr>
                <w:rFonts w:ascii="Arial" w:hAnsi="Arial" w:cs="Arial"/>
                <w:i/>
                <w:sz w:val="20"/>
                <w:szCs w:val="20"/>
              </w:rPr>
              <w:t>“</w:t>
            </w:r>
            <w:r w:rsidR="009E71BE" w:rsidRPr="002C3009">
              <w:rPr>
                <w:rFonts w:ascii="Arial" w:hAnsi="Arial" w:cs="Arial"/>
                <w:i/>
                <w:sz w:val="20"/>
                <w:szCs w:val="20"/>
              </w:rPr>
              <w:t>For WHO FC III or IV PAH patients with unacceptable or deteriorating clinical status despite established PAH-specific therapy with two classes of PAH pharmacotherapy, we suggest addition of a third class of PAH therapy</w:t>
            </w:r>
          </w:p>
          <w:p w14:paraId="7C30E10F" w14:textId="77777777" w:rsidR="00F04B81" w:rsidRPr="002C3009" w:rsidRDefault="00F04B81" w:rsidP="0084407B">
            <w:pPr>
              <w:spacing w:beforeLines="60" w:before="144" w:after="60" w:line="240" w:lineRule="auto"/>
              <w:ind w:left="162" w:right="57"/>
              <w:rPr>
                <w:rFonts w:ascii="Arial" w:hAnsi="Arial" w:cs="Arial"/>
                <w:i/>
                <w:sz w:val="20"/>
                <w:szCs w:val="20"/>
              </w:rPr>
            </w:pPr>
            <w:r w:rsidRPr="002C3009">
              <w:rPr>
                <w:rFonts w:ascii="Arial" w:hAnsi="Arial" w:cs="Arial"/>
                <w:i/>
                <w:sz w:val="20"/>
                <w:szCs w:val="20"/>
              </w:rPr>
              <w:t>[A]</w:t>
            </w:r>
            <w:proofErr w:type="spellStart"/>
            <w:r w:rsidRPr="002C3009">
              <w:rPr>
                <w:rFonts w:ascii="Arial" w:hAnsi="Arial" w:cs="Arial"/>
                <w:i/>
                <w:sz w:val="20"/>
                <w:szCs w:val="20"/>
              </w:rPr>
              <w:t>ddition</w:t>
            </w:r>
            <w:proofErr w:type="spellEnd"/>
            <w:r w:rsidRPr="002C3009">
              <w:rPr>
                <w:rFonts w:ascii="Arial" w:hAnsi="Arial" w:cs="Arial"/>
                <w:i/>
                <w:sz w:val="20"/>
                <w:szCs w:val="20"/>
              </w:rPr>
              <w:t xml:space="preserve"> of a third class of PAH medication usually indicates poor functional status. In this setting, we believe that treatment with a parenteral prostanoid therapy must be considered.”</w:t>
            </w:r>
          </w:p>
        </w:tc>
        <w:tc>
          <w:tcPr>
            <w:tcW w:w="0" w:type="auto"/>
          </w:tcPr>
          <w:p w14:paraId="7A36F3BB" w14:textId="77777777" w:rsidR="009E71BE" w:rsidRPr="002C3009" w:rsidRDefault="00F04B81" w:rsidP="00A02B7B">
            <w:pPr>
              <w:spacing w:beforeLines="60" w:before="144" w:after="60" w:line="240" w:lineRule="auto"/>
              <w:ind w:left="94" w:right="57"/>
              <w:rPr>
                <w:rFonts w:ascii="Arial" w:hAnsi="Arial" w:cs="Arial"/>
                <w:sz w:val="20"/>
                <w:szCs w:val="20"/>
              </w:rPr>
            </w:pPr>
            <w:r w:rsidRPr="002C3009">
              <w:rPr>
                <w:rFonts w:ascii="Arial" w:hAnsi="Arial" w:cs="Arial"/>
                <w:sz w:val="20"/>
                <w:szCs w:val="20"/>
              </w:rPr>
              <w:t xml:space="preserve">As above – addition of </w:t>
            </w:r>
            <w:r w:rsidR="00517C17" w:rsidRPr="002C3009">
              <w:rPr>
                <w:rFonts w:ascii="Arial" w:hAnsi="Arial" w:cs="Arial"/>
                <w:sz w:val="20"/>
                <w:szCs w:val="20"/>
              </w:rPr>
              <w:t>a PAH medicine</w:t>
            </w:r>
            <w:r w:rsidRPr="002C3009">
              <w:rPr>
                <w:rFonts w:ascii="Arial" w:hAnsi="Arial" w:cs="Arial"/>
                <w:sz w:val="20"/>
                <w:szCs w:val="20"/>
              </w:rPr>
              <w:t xml:space="preserve"> to existing therapy, up to triple combination.</w:t>
            </w:r>
          </w:p>
        </w:tc>
      </w:tr>
      <w:tr w:rsidR="009E71BE" w:rsidRPr="00F10B38" w14:paraId="6013B5F2" w14:textId="77777777" w:rsidTr="00F04B81">
        <w:tc>
          <w:tcPr>
            <w:tcW w:w="0" w:type="auto"/>
          </w:tcPr>
          <w:p w14:paraId="6465FE14" w14:textId="77777777" w:rsidR="009E71BE" w:rsidRPr="002C3009" w:rsidRDefault="00F04B81" w:rsidP="002C3009">
            <w:pPr>
              <w:spacing w:beforeLines="60" w:before="144" w:after="60" w:line="240" w:lineRule="auto"/>
              <w:ind w:left="147" w:right="57"/>
              <w:rPr>
                <w:rFonts w:ascii="Arial" w:hAnsi="Arial" w:cs="Arial"/>
                <w:sz w:val="20"/>
                <w:szCs w:val="20"/>
              </w:rPr>
            </w:pPr>
            <w:r w:rsidRPr="002C3009">
              <w:rPr>
                <w:rFonts w:ascii="Arial" w:hAnsi="Arial" w:cs="Arial"/>
                <w:sz w:val="20"/>
                <w:szCs w:val="20"/>
              </w:rPr>
              <w:t>On approaching maximum drug therapy options</w:t>
            </w:r>
          </w:p>
        </w:tc>
        <w:tc>
          <w:tcPr>
            <w:tcW w:w="0" w:type="auto"/>
          </w:tcPr>
          <w:p w14:paraId="37D13A9B" w14:textId="77777777" w:rsidR="009E71BE" w:rsidRPr="002C3009" w:rsidRDefault="00F04B81" w:rsidP="0084407B">
            <w:pPr>
              <w:spacing w:beforeLines="60" w:before="144" w:after="60" w:line="240" w:lineRule="auto"/>
              <w:ind w:left="162" w:right="57"/>
              <w:rPr>
                <w:rFonts w:ascii="Arial" w:hAnsi="Arial" w:cs="Arial"/>
                <w:i/>
                <w:sz w:val="20"/>
                <w:szCs w:val="20"/>
              </w:rPr>
            </w:pPr>
            <w:r w:rsidRPr="002C3009">
              <w:rPr>
                <w:rFonts w:ascii="Arial" w:hAnsi="Arial" w:cs="Arial"/>
                <w:i/>
                <w:sz w:val="20"/>
                <w:szCs w:val="20"/>
              </w:rPr>
              <w:t>“[E]</w:t>
            </w:r>
            <w:proofErr w:type="spellStart"/>
            <w:r w:rsidRPr="002C3009">
              <w:rPr>
                <w:rFonts w:ascii="Arial" w:hAnsi="Arial" w:cs="Arial"/>
                <w:i/>
                <w:sz w:val="20"/>
                <w:szCs w:val="20"/>
              </w:rPr>
              <w:t>scalation</w:t>
            </w:r>
            <w:proofErr w:type="spellEnd"/>
            <w:r w:rsidRPr="002C3009">
              <w:rPr>
                <w:rFonts w:ascii="Arial" w:hAnsi="Arial" w:cs="Arial"/>
                <w:i/>
                <w:sz w:val="20"/>
                <w:szCs w:val="20"/>
              </w:rPr>
              <w:t xml:space="preserve"> of therapy and referral for lung transplantation evaluation should occur when a patient has evidence of disease progression on combination therapy”</w:t>
            </w:r>
          </w:p>
        </w:tc>
        <w:tc>
          <w:tcPr>
            <w:tcW w:w="0" w:type="auto"/>
          </w:tcPr>
          <w:p w14:paraId="70C21104" w14:textId="77777777" w:rsidR="009E71BE" w:rsidRPr="002C3009" w:rsidRDefault="00F04B81" w:rsidP="00575139">
            <w:pPr>
              <w:spacing w:beforeLines="60" w:before="144" w:after="60" w:line="240" w:lineRule="auto"/>
              <w:ind w:left="94" w:right="57"/>
              <w:rPr>
                <w:rFonts w:ascii="Arial" w:hAnsi="Arial" w:cs="Arial"/>
                <w:i/>
                <w:sz w:val="20"/>
                <w:szCs w:val="20"/>
              </w:rPr>
            </w:pPr>
            <w:r w:rsidRPr="002C3009">
              <w:rPr>
                <w:rFonts w:ascii="Arial" w:hAnsi="Arial" w:cs="Arial"/>
                <w:i/>
                <w:sz w:val="20"/>
                <w:szCs w:val="20"/>
              </w:rPr>
              <w:t>“Consider eligibility for lung transplantation after an inadequate clinical response to the initial monotherapy or initial combination therapy and to refer the patient for lung transplantation soon after the inadequate clinical response is confirmed on maximal combination therapy”</w:t>
            </w:r>
          </w:p>
        </w:tc>
      </w:tr>
    </w:tbl>
    <w:p w14:paraId="6F37E98A" w14:textId="77777777" w:rsidR="001D561A" w:rsidRPr="00F10B38" w:rsidRDefault="001D561A" w:rsidP="00121658">
      <w:pPr>
        <w:rPr>
          <w:rFonts w:ascii="Arial" w:hAnsi="Arial" w:cs="Arial"/>
          <w:sz w:val="18"/>
          <w:szCs w:val="16"/>
        </w:rPr>
      </w:pPr>
    </w:p>
    <w:p w14:paraId="4F075129" w14:textId="77777777" w:rsidR="001D561A" w:rsidRDefault="001D561A" w:rsidP="00121658">
      <w:pPr>
        <w:spacing w:before="0" w:line="240" w:lineRule="auto"/>
        <w:rPr>
          <w:sz w:val="8"/>
          <w:szCs w:val="16"/>
        </w:rPr>
      </w:pPr>
      <w:r>
        <w:rPr>
          <w:sz w:val="8"/>
          <w:szCs w:val="16"/>
        </w:rPr>
        <w:br w:type="page"/>
      </w:r>
    </w:p>
    <w:p w14:paraId="66C17FD0" w14:textId="77777777" w:rsidR="001D561A" w:rsidRDefault="00250EDE" w:rsidP="002C3009">
      <w:pPr>
        <w:pStyle w:val="Caption"/>
        <w:ind w:left="0" w:firstLine="0"/>
        <w:jc w:val="left"/>
      </w:pPr>
      <w:bookmarkStart w:id="160" w:name="_Ref510795680"/>
      <w:bookmarkStart w:id="161" w:name="_Ref508896261"/>
      <w:bookmarkStart w:id="162" w:name="_Toc29377254"/>
      <w:r>
        <w:lastRenderedPageBreak/>
        <w:t>Table 1.</w:t>
      </w:r>
      <w:r w:rsidR="00505D99">
        <w:rPr>
          <w:noProof/>
        </w:rPr>
        <w:t>8</w:t>
      </w:r>
      <w:bookmarkEnd w:id="160"/>
      <w:r w:rsidRPr="00250EDE">
        <w:t xml:space="preserve"> </w:t>
      </w:r>
      <w:r>
        <w:tab/>
        <w:t>Guideline recommendations regarding high dose CCBs</w:t>
      </w:r>
      <w:bookmarkEnd w:id="161"/>
      <w:bookmarkEnd w:id="162"/>
    </w:p>
    <w:tbl>
      <w:tblPr>
        <w:tblStyle w:val="TableGrid"/>
        <w:tblW w:w="5000" w:type="pct"/>
        <w:tblLook w:val="04A0" w:firstRow="1" w:lastRow="0" w:firstColumn="1" w:lastColumn="0" w:noHBand="0" w:noVBand="1"/>
        <w:tblCaption w:val="Guideline recommendations regarding high dose CCBs"/>
      </w:tblPr>
      <w:tblGrid>
        <w:gridCol w:w="1986"/>
        <w:gridCol w:w="5981"/>
        <w:gridCol w:w="5981"/>
      </w:tblGrid>
      <w:tr w:rsidR="001D561A" w:rsidRPr="008858FD" w14:paraId="3C775E13" w14:textId="77777777" w:rsidTr="002575FC">
        <w:trPr>
          <w:cnfStyle w:val="100000000000" w:firstRow="1" w:lastRow="0" w:firstColumn="0" w:lastColumn="0" w:oddVBand="0" w:evenVBand="0" w:oddHBand="0" w:evenHBand="0" w:firstRowFirstColumn="0" w:firstRowLastColumn="0" w:lastRowFirstColumn="0" w:lastRowLastColumn="0"/>
        </w:trPr>
        <w:tc>
          <w:tcPr>
            <w:tcW w:w="712" w:type="pct"/>
          </w:tcPr>
          <w:p w14:paraId="28513A50" w14:textId="77777777" w:rsidR="001D561A" w:rsidRPr="008858FD" w:rsidRDefault="004C2274" w:rsidP="008858FD">
            <w:pPr>
              <w:spacing w:before="0" w:line="240" w:lineRule="auto"/>
              <w:ind w:left="147" w:right="57"/>
              <w:rPr>
                <w:rFonts w:ascii="Arial" w:hAnsi="Arial" w:cs="Arial"/>
                <w:b/>
                <w:sz w:val="20"/>
                <w:szCs w:val="20"/>
              </w:rPr>
            </w:pPr>
            <w:r w:rsidRPr="008858FD">
              <w:rPr>
                <w:rFonts w:ascii="Arial" w:hAnsi="Arial" w:cs="Arial"/>
                <w:b/>
                <w:sz w:val="20"/>
                <w:szCs w:val="20"/>
              </w:rPr>
              <w:t>Issue</w:t>
            </w:r>
          </w:p>
        </w:tc>
        <w:tc>
          <w:tcPr>
            <w:tcW w:w="2144" w:type="pct"/>
          </w:tcPr>
          <w:p w14:paraId="4F36CA2E" w14:textId="77777777" w:rsidR="001D561A" w:rsidRPr="008858FD" w:rsidRDefault="001D561A" w:rsidP="009C556B">
            <w:pPr>
              <w:spacing w:before="0" w:line="240" w:lineRule="auto"/>
              <w:ind w:left="142" w:right="57"/>
              <w:rPr>
                <w:rFonts w:ascii="Arial" w:hAnsi="Arial" w:cs="Arial"/>
                <w:b/>
                <w:sz w:val="20"/>
                <w:szCs w:val="20"/>
              </w:rPr>
            </w:pPr>
            <w:r w:rsidRPr="008858FD">
              <w:rPr>
                <w:rFonts w:ascii="Arial" w:hAnsi="Arial" w:cs="Arial"/>
                <w:b/>
                <w:sz w:val="20"/>
                <w:szCs w:val="20"/>
              </w:rPr>
              <w:t>Chest Guideline</w:t>
            </w:r>
            <w:r w:rsidR="009C556B" w:rsidRPr="009C556B">
              <w:rPr>
                <w:rFonts w:ascii="Arial" w:hAnsi="Arial" w:cs="Arial"/>
                <w:b/>
                <w:noProof/>
                <w:sz w:val="20"/>
                <w:szCs w:val="20"/>
                <w:vertAlign w:val="superscript"/>
              </w:rPr>
              <w:t>19</w:t>
            </w:r>
          </w:p>
        </w:tc>
        <w:tc>
          <w:tcPr>
            <w:tcW w:w="2144" w:type="pct"/>
          </w:tcPr>
          <w:p w14:paraId="03F72C9E" w14:textId="77777777" w:rsidR="001D561A" w:rsidRPr="008858FD" w:rsidRDefault="008F6AA4" w:rsidP="009C556B">
            <w:pPr>
              <w:spacing w:before="0" w:line="240" w:lineRule="auto"/>
              <w:ind w:left="106" w:right="57"/>
              <w:rPr>
                <w:rFonts w:ascii="Arial" w:hAnsi="Arial" w:cs="Arial"/>
                <w:b/>
                <w:sz w:val="20"/>
                <w:szCs w:val="20"/>
              </w:rPr>
            </w:pPr>
            <w:r>
              <w:rPr>
                <w:rFonts w:ascii="Arial" w:hAnsi="Arial" w:cs="Arial"/>
                <w:b/>
                <w:sz w:val="20"/>
                <w:szCs w:val="20"/>
              </w:rPr>
              <w:t>2015 ESC/ERS Guidelines</w:t>
            </w:r>
            <w:r w:rsidR="009C556B" w:rsidRPr="008858FD">
              <w:rPr>
                <w:rFonts w:ascii="Arial" w:hAnsi="Arial" w:cs="Arial"/>
                <w:b/>
                <w:noProof/>
                <w:sz w:val="20"/>
                <w:szCs w:val="20"/>
                <w:vertAlign w:val="superscript"/>
              </w:rPr>
              <w:t>8</w:t>
            </w:r>
          </w:p>
        </w:tc>
      </w:tr>
      <w:tr w:rsidR="001D561A" w:rsidRPr="008858FD" w14:paraId="7A32B779" w14:textId="77777777" w:rsidTr="002575FC">
        <w:tc>
          <w:tcPr>
            <w:tcW w:w="712" w:type="pct"/>
          </w:tcPr>
          <w:p w14:paraId="4A60CCFA" w14:textId="77777777" w:rsidR="001D561A" w:rsidRPr="008858FD" w:rsidRDefault="004C2274" w:rsidP="008858FD">
            <w:pPr>
              <w:spacing w:before="60" w:after="60" w:line="240" w:lineRule="auto"/>
              <w:ind w:left="147" w:right="57"/>
              <w:rPr>
                <w:rFonts w:ascii="Arial" w:hAnsi="Arial" w:cs="Arial"/>
                <w:b/>
                <w:sz w:val="20"/>
                <w:szCs w:val="20"/>
              </w:rPr>
            </w:pPr>
            <w:r w:rsidRPr="008858FD">
              <w:rPr>
                <w:rFonts w:ascii="Arial" w:hAnsi="Arial" w:cs="Arial"/>
                <w:b/>
                <w:sz w:val="20"/>
                <w:szCs w:val="20"/>
              </w:rPr>
              <w:t>Indication for CBBs</w:t>
            </w:r>
          </w:p>
        </w:tc>
        <w:tc>
          <w:tcPr>
            <w:tcW w:w="2144" w:type="pct"/>
          </w:tcPr>
          <w:p w14:paraId="7EA476FF" w14:textId="77777777" w:rsidR="00C54635" w:rsidRPr="008858FD" w:rsidRDefault="001D561A" w:rsidP="00575139">
            <w:pPr>
              <w:spacing w:before="60" w:after="60" w:line="240" w:lineRule="auto"/>
              <w:ind w:left="142" w:right="57"/>
              <w:rPr>
                <w:rFonts w:ascii="Arial" w:hAnsi="Arial" w:cs="Arial"/>
                <w:i/>
                <w:sz w:val="20"/>
                <w:szCs w:val="20"/>
              </w:rPr>
            </w:pPr>
            <w:r w:rsidRPr="008858FD">
              <w:rPr>
                <w:rFonts w:ascii="Arial" w:hAnsi="Arial" w:cs="Arial"/>
                <w:i/>
                <w:sz w:val="20"/>
                <w:szCs w:val="20"/>
              </w:rPr>
              <w:t>Patients with PAH who, in the absence of right-heart failure or contraindications to CCB therapy, demonstrate acute vasoreactiv</w:t>
            </w:r>
            <w:r w:rsidR="00C40AC4" w:rsidRPr="008858FD">
              <w:rPr>
                <w:rFonts w:ascii="Arial" w:hAnsi="Arial" w:cs="Arial"/>
                <w:i/>
                <w:sz w:val="20"/>
                <w:szCs w:val="20"/>
              </w:rPr>
              <w:t>ity according to consensus defi</w:t>
            </w:r>
            <w:r w:rsidRPr="008858FD">
              <w:rPr>
                <w:rFonts w:ascii="Arial" w:hAnsi="Arial" w:cs="Arial"/>
                <w:i/>
                <w:sz w:val="20"/>
                <w:szCs w:val="20"/>
              </w:rPr>
              <w:t>nition, should be considered candidates for a trial of therapy with an oral CCB</w:t>
            </w:r>
            <w:r w:rsidR="00B835D2">
              <w:rPr>
                <w:rFonts w:ascii="Arial" w:hAnsi="Arial" w:cs="Arial"/>
                <w:i/>
                <w:sz w:val="20"/>
                <w:szCs w:val="20"/>
              </w:rPr>
              <w:t>.</w:t>
            </w:r>
            <w:r w:rsidRPr="008858FD">
              <w:rPr>
                <w:rFonts w:ascii="Arial" w:hAnsi="Arial" w:cs="Arial"/>
                <w:i/>
                <w:sz w:val="20"/>
                <w:szCs w:val="20"/>
              </w:rPr>
              <w:t xml:space="preserve"> </w:t>
            </w:r>
          </w:p>
        </w:tc>
        <w:tc>
          <w:tcPr>
            <w:tcW w:w="2144" w:type="pct"/>
          </w:tcPr>
          <w:p w14:paraId="06760F39" w14:textId="77777777" w:rsidR="004C2274" w:rsidRPr="008858FD" w:rsidRDefault="001D561A" w:rsidP="008858FD">
            <w:pPr>
              <w:spacing w:before="60" w:after="60" w:line="240" w:lineRule="auto"/>
              <w:ind w:left="106" w:right="57"/>
              <w:rPr>
                <w:rFonts w:ascii="Arial" w:hAnsi="Arial" w:cs="Arial"/>
                <w:i/>
                <w:sz w:val="20"/>
                <w:szCs w:val="20"/>
              </w:rPr>
            </w:pPr>
            <w:r w:rsidRPr="008858FD">
              <w:rPr>
                <w:rFonts w:ascii="Arial" w:hAnsi="Arial" w:cs="Arial"/>
                <w:i/>
                <w:sz w:val="20"/>
                <w:szCs w:val="20"/>
              </w:rPr>
              <w:t xml:space="preserve">High doses of CCBs </w:t>
            </w:r>
            <w:proofErr w:type="gramStart"/>
            <w:r w:rsidRPr="008858FD">
              <w:rPr>
                <w:rFonts w:ascii="Arial" w:hAnsi="Arial" w:cs="Arial"/>
                <w:i/>
                <w:sz w:val="20"/>
                <w:szCs w:val="20"/>
              </w:rPr>
              <w:t>are recommended</w:t>
            </w:r>
            <w:proofErr w:type="gramEnd"/>
            <w:r w:rsidRPr="008858FD">
              <w:rPr>
                <w:rFonts w:ascii="Arial" w:hAnsi="Arial" w:cs="Arial"/>
                <w:i/>
                <w:sz w:val="20"/>
                <w:szCs w:val="20"/>
              </w:rPr>
              <w:t xml:space="preserve"> in patients with IPAH, </w:t>
            </w:r>
            <w:r w:rsidR="004F0200" w:rsidRPr="008858FD">
              <w:rPr>
                <w:rFonts w:ascii="Arial" w:hAnsi="Arial" w:cs="Arial"/>
                <w:i/>
                <w:sz w:val="20"/>
                <w:szCs w:val="20"/>
              </w:rPr>
              <w:t>heritable</w:t>
            </w:r>
            <w:r w:rsidRPr="008858FD">
              <w:rPr>
                <w:rFonts w:ascii="Arial" w:hAnsi="Arial" w:cs="Arial"/>
                <w:i/>
                <w:sz w:val="20"/>
                <w:szCs w:val="20"/>
              </w:rPr>
              <w:t xml:space="preserve"> PAH and drug induced PAH who are responders to acute vasoreactivity testing</w:t>
            </w:r>
            <w:r w:rsidR="00EE1F96">
              <w:rPr>
                <w:rFonts w:ascii="Arial" w:hAnsi="Arial" w:cs="Arial"/>
                <w:i/>
                <w:sz w:val="20"/>
                <w:szCs w:val="20"/>
              </w:rPr>
              <w:t>.</w:t>
            </w:r>
          </w:p>
        </w:tc>
      </w:tr>
      <w:tr w:rsidR="001D561A" w:rsidRPr="008858FD" w14:paraId="3DF17DBC" w14:textId="77777777" w:rsidTr="002575FC">
        <w:tc>
          <w:tcPr>
            <w:tcW w:w="712" w:type="pct"/>
          </w:tcPr>
          <w:p w14:paraId="06B59EE3" w14:textId="77777777" w:rsidR="001D561A" w:rsidRPr="008858FD" w:rsidRDefault="004C2274" w:rsidP="008858FD">
            <w:pPr>
              <w:spacing w:before="60" w:after="60" w:line="240" w:lineRule="auto"/>
              <w:ind w:left="147" w:right="57"/>
              <w:rPr>
                <w:rFonts w:ascii="Arial" w:hAnsi="Arial" w:cs="Arial"/>
                <w:b/>
                <w:sz w:val="20"/>
                <w:szCs w:val="20"/>
              </w:rPr>
            </w:pPr>
            <w:r w:rsidRPr="008858FD">
              <w:rPr>
                <w:rFonts w:ascii="Arial" w:hAnsi="Arial" w:cs="Arial"/>
                <w:b/>
                <w:sz w:val="20"/>
                <w:szCs w:val="20"/>
              </w:rPr>
              <w:t>Recommendation for vasoreactivity testing</w:t>
            </w:r>
          </w:p>
        </w:tc>
        <w:tc>
          <w:tcPr>
            <w:tcW w:w="2144" w:type="pct"/>
          </w:tcPr>
          <w:p w14:paraId="009D1CBF" w14:textId="77777777" w:rsidR="004C2274" w:rsidRPr="008858FD" w:rsidRDefault="00C54635" w:rsidP="008858FD">
            <w:pPr>
              <w:spacing w:before="60" w:after="60" w:line="240" w:lineRule="auto"/>
              <w:ind w:left="142" w:right="57"/>
              <w:rPr>
                <w:rFonts w:ascii="Arial" w:hAnsi="Arial" w:cs="Arial"/>
                <w:i/>
                <w:sz w:val="20"/>
                <w:szCs w:val="20"/>
              </w:rPr>
            </w:pPr>
            <w:r w:rsidRPr="008858FD">
              <w:rPr>
                <w:rFonts w:ascii="Arial" w:hAnsi="Arial" w:cs="Arial"/>
                <w:i/>
                <w:sz w:val="20"/>
                <w:szCs w:val="20"/>
              </w:rPr>
              <w:t xml:space="preserve">Patients with PAH, in the absence of contraindications, should undergo acute vasoreactivity testing using a short-acting agent at a </w:t>
            </w:r>
            <w:proofErr w:type="spellStart"/>
            <w:r w:rsidRPr="008858FD">
              <w:rPr>
                <w:rFonts w:ascii="Arial" w:hAnsi="Arial" w:cs="Arial"/>
                <w:i/>
                <w:sz w:val="20"/>
                <w:szCs w:val="20"/>
              </w:rPr>
              <w:t>center</w:t>
            </w:r>
            <w:proofErr w:type="spellEnd"/>
            <w:r w:rsidRPr="008858FD">
              <w:rPr>
                <w:rFonts w:ascii="Arial" w:hAnsi="Arial" w:cs="Arial"/>
                <w:i/>
                <w:sz w:val="20"/>
                <w:szCs w:val="20"/>
              </w:rPr>
              <w:t xml:space="preserve"> with experience in the performance and interpretation of vasoreactivity testing</w:t>
            </w:r>
            <w:r w:rsidR="004C2274" w:rsidRPr="008858FD">
              <w:rPr>
                <w:rFonts w:ascii="Arial" w:hAnsi="Arial" w:cs="Arial"/>
                <w:i/>
                <w:sz w:val="20"/>
                <w:szCs w:val="20"/>
              </w:rPr>
              <w:t>.</w:t>
            </w:r>
          </w:p>
          <w:p w14:paraId="26647A4B" w14:textId="77777777" w:rsidR="0018277C" w:rsidRPr="008858FD" w:rsidRDefault="0018277C" w:rsidP="008858FD">
            <w:pPr>
              <w:spacing w:before="60" w:after="60" w:line="240" w:lineRule="auto"/>
              <w:ind w:left="142" w:right="57"/>
              <w:rPr>
                <w:rFonts w:ascii="Arial" w:hAnsi="Arial" w:cs="Arial"/>
                <w:i/>
                <w:sz w:val="20"/>
                <w:szCs w:val="20"/>
              </w:rPr>
            </w:pPr>
            <w:r w:rsidRPr="008858FD">
              <w:rPr>
                <w:rFonts w:ascii="Arial" w:hAnsi="Arial" w:cs="Arial"/>
                <w:i/>
                <w:sz w:val="20"/>
                <w:szCs w:val="20"/>
              </w:rPr>
              <w:t>No other clinical characteristic or baseline hemodynamic feature predicts those patients who will respond.</w:t>
            </w:r>
          </w:p>
        </w:tc>
        <w:tc>
          <w:tcPr>
            <w:tcW w:w="2144" w:type="pct"/>
          </w:tcPr>
          <w:p w14:paraId="77B45DD8" w14:textId="77777777" w:rsidR="004C2274" w:rsidRPr="008858FD" w:rsidRDefault="004C2274" w:rsidP="008858FD">
            <w:pPr>
              <w:spacing w:before="60" w:after="60" w:line="240" w:lineRule="auto"/>
              <w:ind w:left="106" w:right="57"/>
              <w:rPr>
                <w:rFonts w:ascii="Arial" w:hAnsi="Arial" w:cs="Arial"/>
                <w:i/>
                <w:sz w:val="20"/>
                <w:szCs w:val="20"/>
              </w:rPr>
            </w:pPr>
            <w:r w:rsidRPr="008858FD">
              <w:rPr>
                <w:rFonts w:ascii="Arial" w:hAnsi="Arial" w:cs="Arial"/>
                <w:i/>
                <w:sz w:val="20"/>
                <w:szCs w:val="20"/>
              </w:rPr>
              <w:t>Vasoreactivity testing is recommended in patients with IPAH, HPAH and PAH associated with drugs use to detect patients who can be treated with high doses of a CCB.</w:t>
            </w:r>
          </w:p>
          <w:p w14:paraId="5D812190" w14:textId="77777777" w:rsidR="004C2274" w:rsidRPr="008858FD" w:rsidRDefault="004C2274" w:rsidP="00794759">
            <w:pPr>
              <w:spacing w:before="60" w:after="60" w:line="240" w:lineRule="auto"/>
              <w:ind w:left="106" w:right="57"/>
              <w:rPr>
                <w:rFonts w:ascii="Arial" w:hAnsi="Arial" w:cs="Arial"/>
                <w:i/>
                <w:sz w:val="20"/>
                <w:szCs w:val="20"/>
              </w:rPr>
            </w:pPr>
            <w:r w:rsidRPr="008858FD">
              <w:rPr>
                <w:rFonts w:ascii="Arial" w:hAnsi="Arial" w:cs="Arial"/>
                <w:i/>
                <w:sz w:val="20"/>
                <w:szCs w:val="20"/>
              </w:rPr>
              <w:t xml:space="preserve">Only a small number of patients with IPAH who demonstrate a favourable response to </w:t>
            </w:r>
            <w:r w:rsidRPr="00FC25C7">
              <w:rPr>
                <w:rFonts w:ascii="Arial" w:hAnsi="Arial" w:cs="Arial"/>
                <w:i/>
                <w:sz w:val="20"/>
                <w:szCs w:val="20"/>
              </w:rPr>
              <w:t>acute vasodilator testing</w:t>
            </w:r>
            <w:r w:rsidRPr="008858FD">
              <w:rPr>
                <w:rFonts w:ascii="Arial" w:hAnsi="Arial" w:cs="Arial"/>
                <w:i/>
                <w:sz w:val="20"/>
                <w:szCs w:val="20"/>
              </w:rPr>
              <w:t xml:space="preserve"> at the time of RHC do well with CCBs.</w:t>
            </w:r>
          </w:p>
        </w:tc>
      </w:tr>
      <w:tr w:rsidR="004C2274" w:rsidRPr="008858FD" w14:paraId="4D6606CC" w14:textId="77777777" w:rsidTr="002575FC">
        <w:tc>
          <w:tcPr>
            <w:tcW w:w="712" w:type="pct"/>
          </w:tcPr>
          <w:p w14:paraId="747168C4" w14:textId="77777777" w:rsidR="004C2274" w:rsidRPr="008858FD" w:rsidRDefault="004C2274" w:rsidP="008858FD">
            <w:pPr>
              <w:spacing w:before="60" w:after="60" w:line="240" w:lineRule="auto"/>
              <w:ind w:left="147" w:right="57"/>
              <w:rPr>
                <w:rFonts w:ascii="Arial" w:hAnsi="Arial" w:cs="Arial"/>
                <w:b/>
                <w:sz w:val="20"/>
                <w:szCs w:val="20"/>
              </w:rPr>
            </w:pPr>
            <w:r w:rsidRPr="008858FD">
              <w:rPr>
                <w:rFonts w:ascii="Arial" w:hAnsi="Arial" w:cs="Arial"/>
                <w:b/>
                <w:sz w:val="20"/>
                <w:szCs w:val="20"/>
              </w:rPr>
              <w:t>Positive acute response definition</w:t>
            </w:r>
          </w:p>
        </w:tc>
        <w:tc>
          <w:tcPr>
            <w:tcW w:w="2144" w:type="pct"/>
          </w:tcPr>
          <w:p w14:paraId="3DCD0E61" w14:textId="7FE0A242" w:rsidR="004C2274" w:rsidRPr="008858FD" w:rsidRDefault="004C2274" w:rsidP="008858FD">
            <w:pPr>
              <w:spacing w:before="60" w:after="60" w:line="240" w:lineRule="auto"/>
              <w:ind w:left="142" w:right="57"/>
              <w:rPr>
                <w:rFonts w:ascii="Arial" w:hAnsi="Arial" w:cs="Arial"/>
                <w:i/>
                <w:sz w:val="20"/>
                <w:szCs w:val="20"/>
              </w:rPr>
            </w:pPr>
            <w:r w:rsidRPr="008858FD">
              <w:rPr>
                <w:rFonts w:ascii="Arial" w:hAnsi="Arial" w:cs="Arial"/>
                <w:i/>
                <w:sz w:val="20"/>
                <w:szCs w:val="20"/>
              </w:rPr>
              <w:t xml:space="preserve">The consensus definition of acute vasoreactivity is a fall in mPAP &gt;10 </w:t>
            </w:r>
            <w:r w:rsidR="00067504">
              <w:rPr>
                <w:rFonts w:ascii="Arial" w:hAnsi="Arial" w:cs="Arial"/>
                <w:i/>
                <w:sz w:val="20"/>
                <w:szCs w:val="20"/>
              </w:rPr>
              <w:t>mmHg</w:t>
            </w:r>
            <w:r w:rsidRPr="008858FD">
              <w:rPr>
                <w:rFonts w:ascii="Arial" w:hAnsi="Arial" w:cs="Arial"/>
                <w:i/>
                <w:sz w:val="20"/>
                <w:szCs w:val="20"/>
              </w:rPr>
              <w:t xml:space="preserve">, to an mPAP &lt;40 </w:t>
            </w:r>
            <w:r w:rsidR="00067504">
              <w:rPr>
                <w:rFonts w:ascii="Arial" w:hAnsi="Arial" w:cs="Arial"/>
                <w:i/>
                <w:sz w:val="20"/>
                <w:szCs w:val="20"/>
              </w:rPr>
              <w:t>mmHg</w:t>
            </w:r>
            <w:r w:rsidRPr="008858FD">
              <w:rPr>
                <w:rFonts w:ascii="Arial" w:hAnsi="Arial" w:cs="Arial"/>
                <w:i/>
                <w:sz w:val="20"/>
                <w:szCs w:val="20"/>
              </w:rPr>
              <w:t>, with an unchanged or increased CO.</w:t>
            </w:r>
          </w:p>
          <w:p w14:paraId="7EAD7DB8" w14:textId="77777777" w:rsidR="001F4168" w:rsidRPr="008858FD" w:rsidRDefault="001F4168" w:rsidP="009C556B">
            <w:pPr>
              <w:spacing w:before="60" w:after="60" w:line="240" w:lineRule="auto"/>
              <w:ind w:left="142" w:right="57"/>
              <w:rPr>
                <w:rFonts w:ascii="Arial" w:hAnsi="Arial" w:cs="Arial"/>
                <w:sz w:val="20"/>
                <w:szCs w:val="20"/>
              </w:rPr>
            </w:pPr>
            <w:r w:rsidRPr="008858FD">
              <w:rPr>
                <w:rFonts w:ascii="Arial" w:hAnsi="Arial" w:cs="Arial"/>
                <w:sz w:val="20"/>
                <w:szCs w:val="20"/>
              </w:rPr>
              <w:t>This guideline defers to a separate document for PAH in children. Other guidance defines a positive response in children is defined as ≥20% decrease in PAP and PVR with no decrease in cardiac output</w:t>
            </w:r>
            <w:r w:rsidR="009C556B" w:rsidRPr="009C556B">
              <w:rPr>
                <w:rFonts w:ascii="Arial" w:hAnsi="Arial" w:cs="Arial"/>
                <w:noProof/>
                <w:sz w:val="20"/>
                <w:szCs w:val="20"/>
                <w:vertAlign w:val="superscript"/>
              </w:rPr>
              <w:t>22, 23</w:t>
            </w:r>
            <w:r w:rsidRPr="008858FD">
              <w:rPr>
                <w:rFonts w:ascii="Arial" w:hAnsi="Arial" w:cs="Arial"/>
                <w:sz w:val="20"/>
                <w:szCs w:val="20"/>
              </w:rPr>
              <w:t xml:space="preserve">. </w:t>
            </w:r>
          </w:p>
        </w:tc>
        <w:tc>
          <w:tcPr>
            <w:tcW w:w="2144" w:type="pct"/>
          </w:tcPr>
          <w:p w14:paraId="60BCFDEB" w14:textId="77777777" w:rsidR="004C2274" w:rsidRPr="008858FD" w:rsidRDefault="004C2274" w:rsidP="008858FD">
            <w:pPr>
              <w:spacing w:before="60" w:after="60" w:line="240" w:lineRule="auto"/>
              <w:ind w:left="106" w:right="57"/>
              <w:rPr>
                <w:rFonts w:ascii="Arial" w:hAnsi="Arial" w:cs="Arial"/>
                <w:i/>
                <w:sz w:val="20"/>
                <w:szCs w:val="20"/>
              </w:rPr>
            </w:pPr>
            <w:r w:rsidRPr="008858FD">
              <w:rPr>
                <w:rFonts w:ascii="Arial" w:hAnsi="Arial" w:cs="Arial"/>
                <w:i/>
                <w:sz w:val="20"/>
                <w:szCs w:val="20"/>
              </w:rPr>
              <w:t xml:space="preserve">A positive response to vasoreactivity testing </w:t>
            </w:r>
            <w:proofErr w:type="gramStart"/>
            <w:r w:rsidRPr="008858FD">
              <w:rPr>
                <w:rFonts w:ascii="Arial" w:hAnsi="Arial" w:cs="Arial"/>
                <w:i/>
                <w:sz w:val="20"/>
                <w:szCs w:val="20"/>
              </w:rPr>
              <w:t>is defined</w:t>
            </w:r>
            <w:proofErr w:type="gramEnd"/>
            <w:r w:rsidRPr="008858FD">
              <w:rPr>
                <w:rFonts w:ascii="Arial" w:hAnsi="Arial" w:cs="Arial"/>
                <w:i/>
                <w:sz w:val="20"/>
                <w:szCs w:val="20"/>
              </w:rPr>
              <w:t xml:space="preserve"> as a reduction of mean PAP ≥10 mmHg to reach an absolute value of mean PAP ≤40 mmHg with an increased or unchanged cardiac output.</w:t>
            </w:r>
          </w:p>
        </w:tc>
      </w:tr>
      <w:tr w:rsidR="004C2274" w:rsidRPr="008858FD" w14:paraId="238EA4C7" w14:textId="77777777" w:rsidTr="002575FC">
        <w:tc>
          <w:tcPr>
            <w:tcW w:w="712" w:type="pct"/>
          </w:tcPr>
          <w:p w14:paraId="5E1FA590" w14:textId="77777777" w:rsidR="004C2274" w:rsidRPr="008858FD" w:rsidRDefault="004C2274" w:rsidP="008858FD">
            <w:pPr>
              <w:spacing w:before="60" w:after="60" w:line="240" w:lineRule="auto"/>
              <w:ind w:left="147" w:right="57"/>
              <w:rPr>
                <w:rFonts w:ascii="Arial" w:hAnsi="Arial" w:cs="Arial"/>
                <w:b/>
                <w:sz w:val="20"/>
                <w:szCs w:val="20"/>
              </w:rPr>
            </w:pPr>
            <w:r w:rsidRPr="008858FD">
              <w:rPr>
                <w:rFonts w:ascii="Arial" w:hAnsi="Arial" w:cs="Arial"/>
                <w:b/>
                <w:sz w:val="20"/>
                <w:szCs w:val="20"/>
              </w:rPr>
              <w:t>CCB dosage</w:t>
            </w:r>
          </w:p>
        </w:tc>
        <w:tc>
          <w:tcPr>
            <w:tcW w:w="2144" w:type="pct"/>
          </w:tcPr>
          <w:p w14:paraId="7F1F5CE6" w14:textId="7FB71FED" w:rsidR="004C2274" w:rsidRPr="008858FD" w:rsidRDefault="004C2274" w:rsidP="008858FD">
            <w:pPr>
              <w:spacing w:before="60" w:after="60" w:line="240" w:lineRule="auto"/>
              <w:ind w:left="142" w:right="57"/>
              <w:rPr>
                <w:rFonts w:ascii="Arial" w:hAnsi="Arial" w:cs="Arial"/>
                <w:i/>
                <w:sz w:val="20"/>
                <w:szCs w:val="20"/>
              </w:rPr>
            </w:pPr>
            <w:r w:rsidRPr="008858FD">
              <w:rPr>
                <w:rFonts w:ascii="Arial" w:hAnsi="Arial" w:cs="Arial"/>
                <w:i/>
                <w:sz w:val="20"/>
                <w:szCs w:val="20"/>
              </w:rPr>
              <w:t>Although the optimal dose remains uncertain, the typical dosage used is amlodipine 20-30</w:t>
            </w:r>
            <w:r w:rsidR="00067504">
              <w:rPr>
                <w:rFonts w:ascii="Arial" w:hAnsi="Arial" w:cs="Arial"/>
                <w:i/>
                <w:sz w:val="20"/>
                <w:szCs w:val="20"/>
              </w:rPr>
              <w:t xml:space="preserve"> mg</w:t>
            </w:r>
            <w:r w:rsidRPr="008858FD">
              <w:rPr>
                <w:rFonts w:ascii="Arial" w:hAnsi="Arial" w:cs="Arial"/>
                <w:i/>
                <w:sz w:val="20"/>
                <w:szCs w:val="20"/>
              </w:rPr>
              <w:t xml:space="preserve">/day, </w:t>
            </w:r>
            <w:proofErr w:type="spellStart"/>
            <w:r w:rsidRPr="008858FD">
              <w:rPr>
                <w:rFonts w:ascii="Arial" w:hAnsi="Arial" w:cs="Arial"/>
                <w:i/>
                <w:sz w:val="20"/>
                <w:szCs w:val="20"/>
              </w:rPr>
              <w:t>nifedipine</w:t>
            </w:r>
            <w:proofErr w:type="spellEnd"/>
            <w:r w:rsidRPr="008858FD">
              <w:rPr>
                <w:rFonts w:ascii="Arial" w:hAnsi="Arial" w:cs="Arial"/>
                <w:i/>
                <w:sz w:val="20"/>
                <w:szCs w:val="20"/>
              </w:rPr>
              <w:t xml:space="preserve"> 180-240</w:t>
            </w:r>
            <w:r w:rsidR="00067504">
              <w:rPr>
                <w:rFonts w:ascii="Arial" w:hAnsi="Arial" w:cs="Arial"/>
                <w:i/>
                <w:sz w:val="20"/>
                <w:szCs w:val="20"/>
              </w:rPr>
              <w:t xml:space="preserve"> mg</w:t>
            </w:r>
            <w:r w:rsidRPr="008858FD">
              <w:rPr>
                <w:rFonts w:ascii="Arial" w:hAnsi="Arial" w:cs="Arial"/>
                <w:i/>
                <w:sz w:val="20"/>
                <w:szCs w:val="20"/>
              </w:rPr>
              <w:t>/day, or diltiazem 720-960</w:t>
            </w:r>
            <w:r w:rsidR="00E42107">
              <w:rPr>
                <w:rFonts w:ascii="Arial" w:hAnsi="Arial" w:cs="Arial"/>
                <w:i/>
                <w:sz w:val="20"/>
                <w:szCs w:val="20"/>
              </w:rPr>
              <w:t xml:space="preserve"> </w:t>
            </w:r>
            <w:r w:rsidR="00067504">
              <w:rPr>
                <w:rFonts w:ascii="Arial" w:hAnsi="Arial" w:cs="Arial"/>
                <w:i/>
                <w:sz w:val="20"/>
                <w:szCs w:val="20"/>
              </w:rPr>
              <w:t>mg</w:t>
            </w:r>
            <w:r w:rsidRPr="008858FD">
              <w:rPr>
                <w:rFonts w:ascii="Arial" w:hAnsi="Arial" w:cs="Arial"/>
                <w:i/>
                <w:sz w:val="20"/>
                <w:szCs w:val="20"/>
              </w:rPr>
              <w:t>/day</w:t>
            </w:r>
            <w:r w:rsidR="00B835D2">
              <w:rPr>
                <w:rFonts w:ascii="Arial" w:hAnsi="Arial" w:cs="Arial"/>
                <w:i/>
                <w:sz w:val="20"/>
                <w:szCs w:val="20"/>
              </w:rPr>
              <w:t>.</w:t>
            </w:r>
          </w:p>
        </w:tc>
        <w:tc>
          <w:tcPr>
            <w:tcW w:w="2144" w:type="pct"/>
          </w:tcPr>
          <w:p w14:paraId="713BF0B8" w14:textId="7CAFA502" w:rsidR="004C2274" w:rsidRPr="008858FD" w:rsidRDefault="004C2274" w:rsidP="008858FD">
            <w:pPr>
              <w:spacing w:before="60" w:after="60" w:line="240" w:lineRule="auto"/>
              <w:ind w:left="106" w:right="57"/>
              <w:rPr>
                <w:rFonts w:ascii="Arial" w:hAnsi="Arial" w:cs="Arial"/>
                <w:i/>
                <w:sz w:val="20"/>
                <w:szCs w:val="20"/>
              </w:rPr>
            </w:pPr>
            <w:r w:rsidRPr="008858FD">
              <w:rPr>
                <w:rFonts w:ascii="Arial" w:hAnsi="Arial" w:cs="Arial"/>
                <w:i/>
                <w:sz w:val="20"/>
                <w:szCs w:val="20"/>
              </w:rPr>
              <w:t>The daily doses of these drugs that have shown efficacy in IPAH are relatively high: 120–240</w:t>
            </w:r>
            <w:r w:rsidR="00067504">
              <w:rPr>
                <w:rFonts w:ascii="Arial" w:hAnsi="Arial" w:cs="Arial"/>
                <w:i/>
                <w:sz w:val="20"/>
                <w:szCs w:val="20"/>
              </w:rPr>
              <w:t xml:space="preserve"> mg</w:t>
            </w:r>
            <w:r w:rsidRPr="008858FD">
              <w:rPr>
                <w:rFonts w:ascii="Arial" w:hAnsi="Arial" w:cs="Arial"/>
                <w:i/>
                <w:sz w:val="20"/>
                <w:szCs w:val="20"/>
              </w:rPr>
              <w:t xml:space="preserve"> for </w:t>
            </w:r>
            <w:proofErr w:type="spellStart"/>
            <w:r w:rsidRPr="008858FD">
              <w:rPr>
                <w:rFonts w:ascii="Arial" w:hAnsi="Arial" w:cs="Arial"/>
                <w:i/>
                <w:sz w:val="20"/>
                <w:szCs w:val="20"/>
              </w:rPr>
              <w:t>nifedipine</w:t>
            </w:r>
            <w:proofErr w:type="spellEnd"/>
            <w:r w:rsidRPr="008858FD">
              <w:rPr>
                <w:rFonts w:ascii="Arial" w:hAnsi="Arial" w:cs="Arial"/>
                <w:i/>
                <w:sz w:val="20"/>
                <w:szCs w:val="20"/>
              </w:rPr>
              <w:t>, 240–720</w:t>
            </w:r>
            <w:r w:rsidR="00067504">
              <w:rPr>
                <w:rFonts w:ascii="Arial" w:hAnsi="Arial" w:cs="Arial"/>
                <w:i/>
                <w:sz w:val="20"/>
                <w:szCs w:val="20"/>
              </w:rPr>
              <w:t xml:space="preserve"> mg</w:t>
            </w:r>
            <w:r w:rsidRPr="008858FD">
              <w:rPr>
                <w:rFonts w:ascii="Arial" w:hAnsi="Arial" w:cs="Arial"/>
                <w:i/>
                <w:sz w:val="20"/>
                <w:szCs w:val="20"/>
              </w:rPr>
              <w:t xml:space="preserve"> for diltiazem and up to 20 mg for amlodipine.</w:t>
            </w:r>
          </w:p>
        </w:tc>
      </w:tr>
      <w:tr w:rsidR="001D561A" w:rsidRPr="008858FD" w14:paraId="032A9849" w14:textId="77777777" w:rsidTr="002575FC">
        <w:tc>
          <w:tcPr>
            <w:tcW w:w="712" w:type="pct"/>
          </w:tcPr>
          <w:p w14:paraId="3254295B" w14:textId="77777777" w:rsidR="001D561A" w:rsidRPr="008858FD" w:rsidRDefault="004C2274" w:rsidP="008858FD">
            <w:pPr>
              <w:spacing w:before="60" w:after="60" w:line="240" w:lineRule="auto"/>
              <w:ind w:left="147" w:right="57"/>
              <w:rPr>
                <w:rFonts w:ascii="Arial" w:hAnsi="Arial" w:cs="Arial"/>
                <w:b/>
                <w:sz w:val="20"/>
                <w:szCs w:val="20"/>
              </w:rPr>
            </w:pPr>
            <w:r w:rsidRPr="008858FD">
              <w:rPr>
                <w:rFonts w:ascii="Arial" w:hAnsi="Arial" w:cs="Arial"/>
                <w:b/>
                <w:sz w:val="20"/>
                <w:szCs w:val="20"/>
              </w:rPr>
              <w:t>Follow-up</w:t>
            </w:r>
          </w:p>
        </w:tc>
        <w:tc>
          <w:tcPr>
            <w:tcW w:w="2144" w:type="pct"/>
          </w:tcPr>
          <w:p w14:paraId="61C35156" w14:textId="77777777" w:rsidR="001D561A" w:rsidRPr="008858FD" w:rsidRDefault="004C2274" w:rsidP="008858FD">
            <w:pPr>
              <w:spacing w:before="60" w:after="60" w:line="240" w:lineRule="auto"/>
              <w:ind w:left="142" w:right="57"/>
              <w:rPr>
                <w:rFonts w:ascii="Arial" w:hAnsi="Arial" w:cs="Arial"/>
                <w:i/>
                <w:sz w:val="20"/>
                <w:szCs w:val="20"/>
              </w:rPr>
            </w:pPr>
            <w:r w:rsidRPr="008858FD">
              <w:rPr>
                <w:rFonts w:ascii="Arial" w:hAnsi="Arial" w:cs="Arial"/>
                <w:i/>
                <w:sz w:val="20"/>
                <w:szCs w:val="20"/>
              </w:rPr>
              <w:t>Patients who respond to CCB therapy show dramatic clinical improvements within the first few months of treatment.</w:t>
            </w:r>
          </w:p>
        </w:tc>
        <w:tc>
          <w:tcPr>
            <w:tcW w:w="2144" w:type="pct"/>
          </w:tcPr>
          <w:p w14:paraId="1D1442CF" w14:textId="77777777" w:rsidR="001D561A" w:rsidRPr="008858FD" w:rsidRDefault="001D561A" w:rsidP="008858FD">
            <w:pPr>
              <w:spacing w:before="60" w:after="60" w:line="240" w:lineRule="auto"/>
              <w:ind w:left="106" w:right="57"/>
              <w:rPr>
                <w:rFonts w:ascii="Arial" w:hAnsi="Arial" w:cs="Arial"/>
                <w:i/>
                <w:sz w:val="20"/>
                <w:szCs w:val="20"/>
              </w:rPr>
            </w:pPr>
            <w:r w:rsidRPr="008858FD">
              <w:rPr>
                <w:rFonts w:ascii="Arial" w:hAnsi="Arial" w:cs="Arial"/>
                <w:i/>
                <w:sz w:val="20"/>
                <w:szCs w:val="20"/>
              </w:rPr>
              <w:t xml:space="preserve">Close follow-up with complete reassessment after 3–4 months of therapy (including RHC) </w:t>
            </w:r>
            <w:proofErr w:type="gramStart"/>
            <w:r w:rsidRPr="008858FD">
              <w:rPr>
                <w:rFonts w:ascii="Arial" w:hAnsi="Arial" w:cs="Arial"/>
                <w:i/>
                <w:sz w:val="20"/>
                <w:szCs w:val="20"/>
              </w:rPr>
              <w:t>is recommended</w:t>
            </w:r>
            <w:proofErr w:type="gramEnd"/>
            <w:r w:rsidRPr="008858FD">
              <w:rPr>
                <w:rFonts w:ascii="Arial" w:hAnsi="Arial" w:cs="Arial"/>
                <w:i/>
                <w:sz w:val="20"/>
                <w:szCs w:val="20"/>
              </w:rPr>
              <w:t xml:space="preserve"> in patients with IPAH, </w:t>
            </w:r>
            <w:r w:rsidR="004F0200" w:rsidRPr="008858FD">
              <w:rPr>
                <w:rFonts w:ascii="Arial" w:hAnsi="Arial" w:cs="Arial"/>
                <w:i/>
                <w:sz w:val="20"/>
                <w:szCs w:val="20"/>
              </w:rPr>
              <w:t>heritable</w:t>
            </w:r>
            <w:r w:rsidRPr="008858FD">
              <w:rPr>
                <w:rFonts w:ascii="Arial" w:hAnsi="Arial" w:cs="Arial"/>
                <w:i/>
                <w:sz w:val="20"/>
                <w:szCs w:val="20"/>
              </w:rPr>
              <w:t xml:space="preserve"> PAH and drug induced PAH treated by high doses of CCBs</w:t>
            </w:r>
            <w:r w:rsidR="00EE1F96">
              <w:rPr>
                <w:rFonts w:ascii="Arial" w:hAnsi="Arial" w:cs="Arial"/>
                <w:i/>
                <w:sz w:val="20"/>
                <w:szCs w:val="20"/>
              </w:rPr>
              <w:t>.</w:t>
            </w:r>
          </w:p>
          <w:p w14:paraId="2D53CEA0" w14:textId="77777777" w:rsidR="00C54635" w:rsidRPr="008858FD" w:rsidRDefault="00C54635" w:rsidP="008858FD">
            <w:pPr>
              <w:spacing w:before="60" w:after="60" w:line="240" w:lineRule="auto"/>
              <w:ind w:left="106" w:right="57"/>
              <w:rPr>
                <w:rFonts w:ascii="Arial" w:hAnsi="Arial" w:cs="Arial"/>
                <w:i/>
                <w:sz w:val="20"/>
                <w:szCs w:val="20"/>
              </w:rPr>
            </w:pPr>
            <w:r w:rsidRPr="008858FD">
              <w:rPr>
                <w:rFonts w:ascii="Arial" w:hAnsi="Arial" w:cs="Arial"/>
                <w:i/>
                <w:sz w:val="20"/>
                <w:szCs w:val="20"/>
              </w:rPr>
              <w:t>If the patient does not show an adequate response, defined as being in WHO-FC I or II and with a marked haemodynamic improvement (near normalization), additional PAH therapy should be instituted.</w:t>
            </w:r>
          </w:p>
        </w:tc>
      </w:tr>
      <w:tr w:rsidR="001D561A" w:rsidRPr="008858FD" w14:paraId="43CC5B2A" w14:textId="77777777" w:rsidTr="002575FC">
        <w:tc>
          <w:tcPr>
            <w:tcW w:w="712" w:type="pct"/>
          </w:tcPr>
          <w:p w14:paraId="1420D8ED" w14:textId="77777777" w:rsidR="001D561A" w:rsidRPr="008858FD" w:rsidRDefault="004C2274" w:rsidP="008858FD">
            <w:pPr>
              <w:spacing w:before="60" w:after="60" w:line="240" w:lineRule="auto"/>
              <w:ind w:left="147" w:right="57"/>
              <w:rPr>
                <w:rFonts w:ascii="Arial" w:hAnsi="Arial" w:cs="Arial"/>
                <w:b/>
                <w:sz w:val="20"/>
                <w:szCs w:val="20"/>
              </w:rPr>
            </w:pPr>
            <w:r w:rsidRPr="008858FD">
              <w:rPr>
                <w:rFonts w:ascii="Arial" w:hAnsi="Arial" w:cs="Arial"/>
                <w:b/>
                <w:sz w:val="20"/>
                <w:szCs w:val="20"/>
              </w:rPr>
              <w:lastRenderedPageBreak/>
              <w:t>Contraindications</w:t>
            </w:r>
          </w:p>
        </w:tc>
        <w:tc>
          <w:tcPr>
            <w:tcW w:w="2144" w:type="pct"/>
          </w:tcPr>
          <w:p w14:paraId="4B2EBC9D" w14:textId="77777777" w:rsidR="00C54635" w:rsidRPr="008858FD" w:rsidRDefault="00C54635" w:rsidP="008858FD">
            <w:pPr>
              <w:spacing w:before="60" w:after="60" w:line="240" w:lineRule="auto"/>
              <w:ind w:left="142" w:right="57"/>
              <w:rPr>
                <w:rFonts w:ascii="Arial" w:hAnsi="Arial" w:cs="Arial"/>
                <w:i/>
                <w:sz w:val="20"/>
                <w:szCs w:val="20"/>
              </w:rPr>
            </w:pPr>
            <w:r w:rsidRPr="008858FD">
              <w:rPr>
                <w:rFonts w:ascii="Arial" w:hAnsi="Arial" w:cs="Arial"/>
                <w:i/>
                <w:sz w:val="20"/>
                <w:szCs w:val="20"/>
              </w:rPr>
              <w:t xml:space="preserve">CCBs </w:t>
            </w:r>
            <w:proofErr w:type="gramStart"/>
            <w:r w:rsidRPr="008858FD">
              <w:rPr>
                <w:rFonts w:ascii="Arial" w:hAnsi="Arial" w:cs="Arial"/>
                <w:i/>
                <w:sz w:val="20"/>
                <w:szCs w:val="20"/>
              </w:rPr>
              <w:t>should not be used</w:t>
            </w:r>
            <w:proofErr w:type="gramEnd"/>
            <w:r w:rsidRPr="008858FD">
              <w:rPr>
                <w:rFonts w:ascii="Arial" w:hAnsi="Arial" w:cs="Arial"/>
                <w:i/>
                <w:sz w:val="20"/>
                <w:szCs w:val="20"/>
              </w:rPr>
              <w:t xml:space="preserve"> empirically to treat PAH in the absence of demonstrated acute vasoreactivity</w:t>
            </w:r>
            <w:r w:rsidR="00EE1F96">
              <w:rPr>
                <w:rFonts w:ascii="Arial" w:hAnsi="Arial" w:cs="Arial"/>
                <w:i/>
                <w:sz w:val="20"/>
                <w:szCs w:val="20"/>
              </w:rPr>
              <w:t>.</w:t>
            </w:r>
          </w:p>
          <w:p w14:paraId="5B06AC93" w14:textId="77777777" w:rsidR="001D561A" w:rsidRPr="008858FD" w:rsidRDefault="001D561A" w:rsidP="008858FD">
            <w:pPr>
              <w:spacing w:before="60" w:after="60" w:line="240" w:lineRule="auto"/>
              <w:ind w:left="142" w:right="57"/>
              <w:rPr>
                <w:rFonts w:ascii="Arial" w:hAnsi="Arial" w:cs="Arial"/>
                <w:i/>
                <w:sz w:val="20"/>
                <w:szCs w:val="20"/>
              </w:rPr>
            </w:pPr>
            <w:r w:rsidRPr="008858FD">
              <w:rPr>
                <w:rFonts w:ascii="Arial" w:hAnsi="Arial" w:cs="Arial"/>
                <w:i/>
                <w:sz w:val="20"/>
                <w:szCs w:val="20"/>
              </w:rPr>
              <w:t>Contraindications to acute vasoreactivity testing include a low systemic blood pressure, low cardiac output or the presence of FC IV symptoms.</w:t>
            </w:r>
          </w:p>
        </w:tc>
        <w:tc>
          <w:tcPr>
            <w:tcW w:w="2144" w:type="pct"/>
          </w:tcPr>
          <w:p w14:paraId="2A175F91" w14:textId="77777777" w:rsidR="001D561A" w:rsidRPr="008858FD" w:rsidRDefault="001D561A" w:rsidP="008858FD">
            <w:pPr>
              <w:spacing w:before="60" w:after="60" w:line="240" w:lineRule="auto"/>
              <w:ind w:left="106" w:right="57"/>
              <w:rPr>
                <w:rFonts w:ascii="Arial" w:hAnsi="Arial" w:cs="Arial"/>
                <w:i/>
                <w:sz w:val="20"/>
                <w:szCs w:val="20"/>
              </w:rPr>
            </w:pPr>
            <w:r w:rsidRPr="008858FD">
              <w:rPr>
                <w:rFonts w:ascii="Arial" w:hAnsi="Arial" w:cs="Arial"/>
                <w:i/>
                <w:sz w:val="20"/>
                <w:szCs w:val="20"/>
              </w:rPr>
              <w:t xml:space="preserve">High doses of CCBs </w:t>
            </w:r>
            <w:proofErr w:type="gramStart"/>
            <w:r w:rsidRPr="008858FD">
              <w:rPr>
                <w:rFonts w:ascii="Arial" w:hAnsi="Arial" w:cs="Arial"/>
                <w:i/>
                <w:sz w:val="20"/>
                <w:szCs w:val="20"/>
              </w:rPr>
              <w:t>are not indicated</w:t>
            </w:r>
            <w:proofErr w:type="gramEnd"/>
            <w:r w:rsidRPr="008858FD">
              <w:rPr>
                <w:rFonts w:ascii="Arial" w:hAnsi="Arial" w:cs="Arial"/>
                <w:i/>
                <w:sz w:val="20"/>
                <w:szCs w:val="20"/>
              </w:rPr>
              <w:t xml:space="preserve"> in patients without a vasoreactivity study or non-responders unless standard doses are prescribed for other indications (e.g. Raynaud’s phenomenon)</w:t>
            </w:r>
            <w:r w:rsidR="00EE1F96">
              <w:rPr>
                <w:rFonts w:ascii="Arial" w:hAnsi="Arial" w:cs="Arial"/>
                <w:i/>
                <w:sz w:val="20"/>
                <w:szCs w:val="20"/>
              </w:rPr>
              <w:t>.</w:t>
            </w:r>
          </w:p>
          <w:p w14:paraId="5DBA012F" w14:textId="77777777" w:rsidR="00C54635" w:rsidRPr="008858FD" w:rsidRDefault="00C54635" w:rsidP="008858FD">
            <w:pPr>
              <w:spacing w:before="60" w:after="60" w:line="240" w:lineRule="auto"/>
              <w:ind w:left="106" w:right="57"/>
              <w:rPr>
                <w:rFonts w:ascii="Arial" w:hAnsi="Arial" w:cs="Arial"/>
                <w:sz w:val="20"/>
                <w:szCs w:val="20"/>
              </w:rPr>
            </w:pPr>
            <w:r w:rsidRPr="008858FD">
              <w:rPr>
                <w:rFonts w:ascii="Arial" w:hAnsi="Arial" w:cs="Arial"/>
                <w:i/>
                <w:sz w:val="20"/>
                <w:szCs w:val="20"/>
              </w:rPr>
              <w:t xml:space="preserve">The use of CCBs </w:t>
            </w:r>
            <w:proofErr w:type="gramStart"/>
            <w:r w:rsidRPr="008858FD">
              <w:rPr>
                <w:rFonts w:ascii="Arial" w:hAnsi="Arial" w:cs="Arial"/>
                <w:i/>
                <w:sz w:val="20"/>
                <w:szCs w:val="20"/>
              </w:rPr>
              <w:t>is not recommended</w:t>
            </w:r>
            <w:proofErr w:type="gramEnd"/>
            <w:r w:rsidRPr="008858FD">
              <w:rPr>
                <w:rFonts w:ascii="Arial" w:hAnsi="Arial" w:cs="Arial"/>
                <w:i/>
                <w:sz w:val="20"/>
                <w:szCs w:val="20"/>
              </w:rPr>
              <w:t xml:space="preserve"> in patients with Eisenmenger syndrome.</w:t>
            </w:r>
          </w:p>
        </w:tc>
      </w:tr>
      <w:tr w:rsidR="00357C88" w:rsidRPr="008858FD" w14:paraId="0496C818" w14:textId="77777777" w:rsidTr="002575FC">
        <w:tc>
          <w:tcPr>
            <w:tcW w:w="712" w:type="pct"/>
          </w:tcPr>
          <w:p w14:paraId="11D2341A" w14:textId="77777777" w:rsidR="00357C88" w:rsidRPr="008858FD" w:rsidRDefault="004C2274" w:rsidP="008858FD">
            <w:pPr>
              <w:spacing w:before="60" w:after="60" w:line="240" w:lineRule="auto"/>
              <w:ind w:left="147" w:right="57"/>
              <w:rPr>
                <w:rFonts w:ascii="Arial" w:hAnsi="Arial" w:cs="Arial"/>
                <w:b/>
                <w:sz w:val="20"/>
                <w:szCs w:val="20"/>
              </w:rPr>
            </w:pPr>
            <w:r w:rsidRPr="008858FD">
              <w:rPr>
                <w:rFonts w:ascii="Arial" w:hAnsi="Arial" w:cs="Arial"/>
                <w:b/>
                <w:sz w:val="20"/>
                <w:szCs w:val="20"/>
              </w:rPr>
              <w:t>Potential adverse effects</w:t>
            </w:r>
          </w:p>
        </w:tc>
        <w:tc>
          <w:tcPr>
            <w:tcW w:w="2144" w:type="pct"/>
          </w:tcPr>
          <w:p w14:paraId="482574C1" w14:textId="77777777" w:rsidR="00357C88" w:rsidRPr="008858FD" w:rsidRDefault="00357C88" w:rsidP="008858FD">
            <w:pPr>
              <w:spacing w:before="60" w:after="60" w:line="240" w:lineRule="auto"/>
              <w:ind w:left="142" w:right="57"/>
              <w:rPr>
                <w:rFonts w:ascii="Arial" w:hAnsi="Arial" w:cs="Arial"/>
                <w:i/>
                <w:sz w:val="20"/>
                <w:szCs w:val="20"/>
              </w:rPr>
            </w:pPr>
            <w:r w:rsidRPr="008858FD">
              <w:rPr>
                <w:rFonts w:ascii="Arial" w:hAnsi="Arial" w:cs="Arial"/>
                <w:i/>
                <w:sz w:val="20"/>
                <w:szCs w:val="20"/>
              </w:rPr>
              <w:t xml:space="preserve">The use of CCBs in patients with PAH can cause systemic hypotension producing reflex tachycardia, sympathetic stimulation, and right ventricular ischemia. Reports of serious adverse events when CCBs </w:t>
            </w:r>
            <w:proofErr w:type="gramStart"/>
            <w:r w:rsidRPr="008858FD">
              <w:rPr>
                <w:rFonts w:ascii="Arial" w:hAnsi="Arial" w:cs="Arial"/>
                <w:i/>
                <w:sz w:val="20"/>
                <w:szCs w:val="20"/>
              </w:rPr>
              <w:t>are used</w:t>
            </w:r>
            <w:proofErr w:type="gramEnd"/>
            <w:r w:rsidRPr="008858FD">
              <w:rPr>
                <w:rFonts w:ascii="Arial" w:hAnsi="Arial" w:cs="Arial"/>
                <w:i/>
                <w:sz w:val="20"/>
                <w:szCs w:val="20"/>
              </w:rPr>
              <w:t xml:space="preserve"> inappropriately underscore that CCBs need to be used with caution.</w:t>
            </w:r>
          </w:p>
        </w:tc>
        <w:tc>
          <w:tcPr>
            <w:tcW w:w="2144" w:type="pct"/>
          </w:tcPr>
          <w:p w14:paraId="5FFCE980" w14:textId="77777777" w:rsidR="00357C88" w:rsidRPr="008858FD" w:rsidRDefault="00357C88" w:rsidP="008858FD">
            <w:pPr>
              <w:spacing w:before="60" w:after="60" w:line="240" w:lineRule="auto"/>
              <w:ind w:left="106" w:right="57"/>
              <w:rPr>
                <w:rFonts w:ascii="Arial" w:hAnsi="Arial" w:cs="Arial"/>
                <w:i/>
                <w:sz w:val="20"/>
                <w:szCs w:val="20"/>
              </w:rPr>
            </w:pPr>
            <w:r w:rsidRPr="008858FD">
              <w:rPr>
                <w:rFonts w:ascii="Arial" w:hAnsi="Arial" w:cs="Arial"/>
                <w:i/>
                <w:sz w:val="20"/>
                <w:szCs w:val="20"/>
              </w:rPr>
              <w:t xml:space="preserve">Patients who have not undergone a vasoreactivity study or those with a negative study </w:t>
            </w:r>
            <w:proofErr w:type="gramStart"/>
            <w:r w:rsidRPr="008858FD">
              <w:rPr>
                <w:rFonts w:ascii="Arial" w:hAnsi="Arial" w:cs="Arial"/>
                <w:i/>
                <w:sz w:val="20"/>
                <w:szCs w:val="20"/>
              </w:rPr>
              <w:t>should not be started</w:t>
            </w:r>
            <w:proofErr w:type="gramEnd"/>
            <w:r w:rsidRPr="008858FD">
              <w:rPr>
                <w:rFonts w:ascii="Arial" w:hAnsi="Arial" w:cs="Arial"/>
                <w:i/>
                <w:sz w:val="20"/>
                <w:szCs w:val="20"/>
              </w:rPr>
              <w:t xml:space="preserve"> on CCBs because of potential severe side effects (e.g. hypotension, syncope and RV failure</w:t>
            </w:r>
            <w:r w:rsidR="00FD08B5" w:rsidRPr="008858FD">
              <w:rPr>
                <w:rFonts w:ascii="Arial" w:hAnsi="Arial" w:cs="Arial"/>
                <w:i/>
                <w:sz w:val="20"/>
                <w:szCs w:val="20"/>
              </w:rPr>
              <w:t>)</w:t>
            </w:r>
            <w:r w:rsidR="00EE1F96">
              <w:rPr>
                <w:rFonts w:ascii="Arial" w:hAnsi="Arial" w:cs="Arial"/>
                <w:i/>
                <w:sz w:val="20"/>
                <w:szCs w:val="20"/>
              </w:rPr>
              <w:t>.</w:t>
            </w:r>
          </w:p>
        </w:tc>
      </w:tr>
    </w:tbl>
    <w:p w14:paraId="2786E61C" w14:textId="77777777" w:rsidR="001D561A" w:rsidRPr="008858FD" w:rsidRDefault="001D561A" w:rsidP="00121658">
      <w:pPr>
        <w:rPr>
          <w:rFonts w:ascii="Arial" w:hAnsi="Arial" w:cs="Arial"/>
          <w:sz w:val="20"/>
          <w:szCs w:val="20"/>
        </w:rPr>
      </w:pPr>
    </w:p>
    <w:p w14:paraId="7D368C25" w14:textId="77777777" w:rsidR="001D561A" w:rsidRDefault="001D561A" w:rsidP="00121658">
      <w:pPr>
        <w:sectPr w:rsidR="001D561A" w:rsidSect="00CF3FEC">
          <w:footnotePr>
            <w:numFmt w:val="chicago"/>
          </w:footnotePr>
          <w:pgSz w:w="16838" w:h="11906" w:orient="landscape"/>
          <w:pgMar w:top="1440" w:right="1440" w:bottom="1440" w:left="1440" w:header="708" w:footer="708" w:gutter="0"/>
          <w:cols w:space="708"/>
          <w:titlePg/>
          <w:docGrid w:linePitch="360"/>
        </w:sectPr>
      </w:pPr>
    </w:p>
    <w:p w14:paraId="30AB6EB0" w14:textId="77777777" w:rsidR="000A7F7B" w:rsidRPr="00CF3FEC" w:rsidRDefault="000A7F7B" w:rsidP="008858FD">
      <w:pPr>
        <w:pStyle w:val="BodyTextnospacebefore"/>
      </w:pPr>
      <w:r w:rsidRPr="00CF3FEC">
        <w:lastRenderedPageBreak/>
        <w:t>This distillation of treatment recommendations summarises the guidance</w:t>
      </w:r>
      <w:r>
        <w:t>. This</w:t>
      </w:r>
      <w:r w:rsidRPr="00CF3FEC">
        <w:t xml:space="preserve"> does not take into </w:t>
      </w:r>
      <w:proofErr w:type="gramStart"/>
      <w:r w:rsidRPr="00CF3FEC">
        <w:t>account updated</w:t>
      </w:r>
      <w:proofErr w:type="gramEnd"/>
      <w:r w:rsidRPr="00CF3FEC">
        <w:t xml:space="preserve"> data on the effectiveness of individual </w:t>
      </w:r>
      <w:r>
        <w:t>medicine</w:t>
      </w:r>
      <w:r w:rsidRPr="00CF3FEC">
        <w:t xml:space="preserve">s to achieve different outcomes (improvement in </w:t>
      </w:r>
      <w:r>
        <w:t>6MWD</w:t>
      </w:r>
      <w:r w:rsidRPr="00CF3FEC">
        <w:t xml:space="preserve"> or WHO Functional class, delay in clinical worsening </w:t>
      </w:r>
      <w:proofErr w:type="spellStart"/>
      <w:r w:rsidRPr="00CF3FEC">
        <w:t>etc</w:t>
      </w:r>
      <w:proofErr w:type="spellEnd"/>
      <w:r w:rsidRPr="00CF3FEC">
        <w:t>). These are included (where availabl</w:t>
      </w:r>
      <w:r w:rsidR="00EE1F96">
        <w:t>e) in the assessment for TOR 4.</w:t>
      </w:r>
    </w:p>
    <w:p w14:paraId="3BC22A88" w14:textId="77777777" w:rsidR="000A7F7B" w:rsidRPr="008858FD" w:rsidRDefault="000A7F7B" w:rsidP="008858FD">
      <w:pPr>
        <w:pStyle w:val="BodyTextnospacebefore"/>
      </w:pPr>
      <w:r w:rsidRPr="00CF3FEC">
        <w:t xml:space="preserve">Treatment and diagnostic algorithms from the published guidelines and selected </w:t>
      </w:r>
      <w:r w:rsidRPr="008858FD">
        <w:t xml:space="preserve">authoritative reviews </w:t>
      </w:r>
      <w:proofErr w:type="gramStart"/>
      <w:r w:rsidRPr="008858FD">
        <w:t>are given</w:t>
      </w:r>
      <w:proofErr w:type="gramEnd"/>
      <w:r w:rsidRPr="008858FD">
        <w:t xml:space="preserve"> in </w:t>
      </w:r>
      <w:r w:rsidR="00505D99">
        <w:t xml:space="preserve">Appendix </w:t>
      </w:r>
      <w:r w:rsidR="00505D99">
        <w:rPr>
          <w:noProof/>
        </w:rPr>
        <w:t>1.</w:t>
      </w:r>
    </w:p>
    <w:p w14:paraId="22E68005" w14:textId="77777777" w:rsidR="00E301BC" w:rsidRPr="008858FD" w:rsidRDefault="00505D99" w:rsidP="00121658">
      <w:pPr>
        <w:rPr>
          <w:rFonts w:asciiTheme="minorHAnsi" w:hAnsiTheme="minorHAnsi" w:cstheme="minorHAnsi"/>
        </w:rPr>
      </w:pPr>
      <w:r w:rsidRPr="00505D99">
        <w:rPr>
          <w:rFonts w:asciiTheme="minorHAnsi" w:hAnsiTheme="minorHAnsi"/>
        </w:rPr>
        <w:t>Figure 1.2</w:t>
      </w:r>
      <w:r w:rsidRPr="00505D99">
        <w:rPr>
          <w:rFonts w:asciiTheme="minorHAnsi" w:hAnsiTheme="minorHAnsi"/>
        </w:rPr>
        <w:tab/>
        <w:t xml:space="preserve">Treatment algorithm for PAH </w:t>
      </w:r>
      <w:r w:rsidR="00362707">
        <w:rPr>
          <w:rFonts w:asciiTheme="minorHAnsi" w:hAnsiTheme="minorHAnsi"/>
        </w:rPr>
        <w:t xml:space="preserve">2015 </w:t>
      </w:r>
      <w:r w:rsidRPr="00505D99">
        <w:rPr>
          <w:rFonts w:asciiTheme="minorHAnsi" w:hAnsiTheme="minorHAnsi"/>
        </w:rPr>
        <w:t>ESC/ERS Guideline</w:t>
      </w:r>
      <w:r w:rsidR="00362707">
        <w:rPr>
          <w:rFonts w:asciiTheme="minorHAnsi" w:hAnsiTheme="minorHAnsi" w:cstheme="minorHAnsi"/>
        </w:rPr>
        <w:t>s</w:t>
      </w:r>
    </w:p>
    <w:p w14:paraId="7FCA06C5" w14:textId="77777777" w:rsidR="00E301BC" w:rsidRPr="008858FD" w:rsidRDefault="00505D99" w:rsidP="00121658">
      <w:pPr>
        <w:rPr>
          <w:rFonts w:asciiTheme="minorHAnsi" w:hAnsiTheme="minorHAnsi" w:cstheme="minorHAnsi"/>
        </w:rPr>
      </w:pPr>
      <w:r w:rsidRPr="00505D99">
        <w:rPr>
          <w:rFonts w:asciiTheme="minorHAnsi" w:hAnsiTheme="minorHAnsi"/>
        </w:rPr>
        <w:t>Figure 1.3</w:t>
      </w:r>
      <w:r w:rsidRPr="00505D99">
        <w:rPr>
          <w:rFonts w:asciiTheme="minorHAnsi" w:hAnsiTheme="minorHAnsi"/>
        </w:rPr>
        <w:tab/>
        <w:t xml:space="preserve">Treatment algorithm from McLaughlin </w:t>
      </w:r>
      <w:r w:rsidRPr="00505D99">
        <w:rPr>
          <w:rFonts w:asciiTheme="minorHAnsi" w:hAnsiTheme="minorHAnsi"/>
          <w:i/>
        </w:rPr>
        <w:t>et al</w:t>
      </w:r>
      <w:r w:rsidRPr="00505D99">
        <w:rPr>
          <w:rFonts w:asciiTheme="minorHAnsi" w:hAnsiTheme="minorHAnsi"/>
        </w:rPr>
        <w:t xml:space="preserve"> (2015)</w:t>
      </w:r>
    </w:p>
    <w:p w14:paraId="0472B44C" w14:textId="77777777" w:rsidR="00E301BC" w:rsidRPr="008858FD" w:rsidRDefault="00505D99" w:rsidP="00121658">
      <w:pPr>
        <w:rPr>
          <w:rFonts w:asciiTheme="minorHAnsi" w:hAnsiTheme="minorHAnsi" w:cstheme="minorHAnsi"/>
        </w:rPr>
      </w:pPr>
      <w:r w:rsidRPr="00505D99">
        <w:rPr>
          <w:rFonts w:asciiTheme="minorHAnsi" w:hAnsiTheme="minorHAnsi"/>
        </w:rPr>
        <w:t>Figure 1.6</w:t>
      </w:r>
      <w:r w:rsidRPr="00505D99">
        <w:rPr>
          <w:rFonts w:asciiTheme="minorHAnsi" w:hAnsiTheme="minorHAnsi"/>
        </w:rPr>
        <w:tab/>
        <w:t>Treatment algorithm for Paediatric PAH (World Symposium)</w:t>
      </w:r>
    </w:p>
    <w:p w14:paraId="3F7B7D7C" w14:textId="77777777" w:rsidR="00E301BC" w:rsidRPr="008858FD" w:rsidRDefault="00505D99" w:rsidP="00121658">
      <w:pPr>
        <w:rPr>
          <w:rFonts w:asciiTheme="minorHAnsi" w:hAnsiTheme="minorHAnsi" w:cstheme="minorHAnsi"/>
        </w:rPr>
      </w:pPr>
      <w:r w:rsidRPr="00505D99">
        <w:rPr>
          <w:rFonts w:asciiTheme="minorHAnsi" w:hAnsiTheme="minorHAnsi"/>
        </w:rPr>
        <w:t>Figure 1.4</w:t>
      </w:r>
      <w:r w:rsidRPr="00505D99">
        <w:rPr>
          <w:rFonts w:asciiTheme="minorHAnsi" w:hAnsiTheme="minorHAnsi"/>
        </w:rPr>
        <w:tab/>
        <w:t xml:space="preserve">Diagnostic algorithm for PAH, </w:t>
      </w:r>
      <w:r w:rsidR="00362707">
        <w:rPr>
          <w:rFonts w:asciiTheme="minorHAnsi" w:hAnsiTheme="minorHAnsi"/>
        </w:rPr>
        <w:t xml:space="preserve">2015 </w:t>
      </w:r>
      <w:r w:rsidRPr="00505D99">
        <w:rPr>
          <w:rFonts w:asciiTheme="minorHAnsi" w:hAnsiTheme="minorHAnsi"/>
        </w:rPr>
        <w:t>ESC/ERS Guideline</w:t>
      </w:r>
      <w:r w:rsidR="00362707">
        <w:rPr>
          <w:rFonts w:asciiTheme="minorHAnsi" w:hAnsiTheme="minorHAnsi" w:cstheme="minorHAnsi"/>
        </w:rPr>
        <w:t>s</w:t>
      </w:r>
    </w:p>
    <w:p w14:paraId="7F89C886" w14:textId="77777777" w:rsidR="00E301BC" w:rsidRPr="008858FD" w:rsidRDefault="00505D99" w:rsidP="00121658">
      <w:pPr>
        <w:rPr>
          <w:rFonts w:asciiTheme="minorHAnsi" w:hAnsiTheme="minorHAnsi" w:cstheme="minorHAnsi"/>
        </w:rPr>
      </w:pPr>
      <w:r w:rsidRPr="00505D99">
        <w:rPr>
          <w:rFonts w:asciiTheme="minorHAnsi" w:hAnsiTheme="minorHAnsi"/>
        </w:rPr>
        <w:t>Figure 1.5</w:t>
      </w:r>
      <w:r w:rsidRPr="00505D99">
        <w:rPr>
          <w:rFonts w:asciiTheme="minorHAnsi" w:hAnsiTheme="minorHAnsi"/>
        </w:rPr>
        <w:tab/>
        <w:t>Diagnostic algorithm for PAH</w:t>
      </w:r>
    </w:p>
    <w:p w14:paraId="63DEABA6" w14:textId="77777777" w:rsidR="00E301BC" w:rsidRPr="008858FD" w:rsidRDefault="00505D99" w:rsidP="00121658">
      <w:pPr>
        <w:rPr>
          <w:rFonts w:asciiTheme="minorHAnsi" w:hAnsiTheme="minorHAnsi" w:cstheme="minorHAnsi"/>
        </w:rPr>
      </w:pPr>
      <w:r w:rsidRPr="00505D99">
        <w:rPr>
          <w:rFonts w:asciiTheme="minorHAnsi" w:hAnsiTheme="minorHAnsi"/>
        </w:rPr>
        <w:t>Figure 1.7</w:t>
      </w:r>
      <w:r w:rsidRPr="00505D99">
        <w:rPr>
          <w:rFonts w:asciiTheme="minorHAnsi" w:hAnsiTheme="minorHAnsi"/>
        </w:rPr>
        <w:tab/>
        <w:t>Diagnostic algorithm for Paediatric PAH</w:t>
      </w:r>
    </w:p>
    <w:p w14:paraId="706BD997" w14:textId="77777777" w:rsidR="000A7F7B" w:rsidRDefault="000A7F7B" w:rsidP="00121658">
      <w:pPr>
        <w:spacing w:before="0" w:line="240" w:lineRule="auto"/>
        <w:rPr>
          <w:rFonts w:cstheme="minorHAnsi"/>
        </w:rPr>
      </w:pPr>
    </w:p>
    <w:p w14:paraId="74877156" w14:textId="77777777" w:rsidR="000A7F7B" w:rsidRPr="004A5F12" w:rsidRDefault="000A7F7B" w:rsidP="008858FD">
      <w:pPr>
        <w:pStyle w:val="BodyTextnospacebefore"/>
      </w:pPr>
      <w:r>
        <w:t>The CHEST guideline</w:t>
      </w:r>
      <w:r w:rsidR="009C556B" w:rsidRPr="009C556B">
        <w:rPr>
          <w:noProof/>
          <w:vertAlign w:val="superscript"/>
        </w:rPr>
        <w:t>19</w:t>
      </w:r>
      <w:r w:rsidRPr="00CF3FEC">
        <w:t xml:space="preserve"> did not include a treatment algorithm</w:t>
      </w:r>
      <w:r>
        <w:t>. The</w:t>
      </w:r>
      <w:r w:rsidRPr="00CF3FEC">
        <w:t xml:space="preserve"> algorithm in the ACC/AHA 2009 consensus statement </w:t>
      </w:r>
      <w:proofErr w:type="gramStart"/>
      <w:r>
        <w:t>has been omitted</w:t>
      </w:r>
      <w:proofErr w:type="gramEnd"/>
      <w:r>
        <w:t xml:space="preserve"> as</w:t>
      </w:r>
      <w:r w:rsidRPr="00CF3FEC">
        <w:t xml:space="preserve"> it was simplified and missing </w:t>
      </w:r>
      <w:r w:rsidR="00670DB9">
        <w:t>several</w:t>
      </w:r>
      <w:r w:rsidRPr="00CF3FEC">
        <w:t xml:space="preserve"> </w:t>
      </w:r>
      <w:r>
        <w:t>new</w:t>
      </w:r>
      <w:r w:rsidRPr="00CF3FEC">
        <w:t xml:space="preserve"> oral </w:t>
      </w:r>
      <w:r>
        <w:t>PAH medicines. T</w:t>
      </w:r>
      <w:r w:rsidRPr="00CF3FEC">
        <w:t>he lead author of that consensus statement</w:t>
      </w:r>
      <w:r w:rsidR="0072071B">
        <w:t xml:space="preserve"> recently co-authored a review with several other PAH</w:t>
      </w:r>
      <w:r w:rsidRPr="00CF3FEC">
        <w:t xml:space="preserve"> key opinion leaders that includes an</w:t>
      </w:r>
      <w:r w:rsidR="0072071B">
        <w:t xml:space="preserve"> </w:t>
      </w:r>
      <w:proofErr w:type="gramStart"/>
      <w:r w:rsidRPr="00CF3FEC">
        <w:t xml:space="preserve">algorithm </w:t>
      </w:r>
      <w:r>
        <w:t>which</w:t>
      </w:r>
      <w:proofErr w:type="gramEnd"/>
      <w:r w:rsidRPr="00CF3FEC">
        <w:t xml:space="preserve"> has been included for comparison</w:t>
      </w:r>
      <w:r w:rsidR="009C556B" w:rsidRPr="009C556B">
        <w:rPr>
          <w:noProof/>
          <w:vertAlign w:val="superscript"/>
        </w:rPr>
        <w:t>29</w:t>
      </w:r>
      <w:r w:rsidRPr="00CF3FEC">
        <w:t xml:space="preserve"> (</w:t>
      </w:r>
      <w:r w:rsidR="00505D99">
        <w:t>Figure 1.3</w:t>
      </w:r>
      <w:r w:rsidRPr="00CF3FEC">
        <w:t>)</w:t>
      </w:r>
      <w:r>
        <w:t>. A</w:t>
      </w:r>
      <w:r w:rsidRPr="00CF3FEC">
        <w:t xml:space="preserve"> useful diagnostic algorithm has </w:t>
      </w:r>
      <w:r>
        <w:t xml:space="preserve">also </w:t>
      </w:r>
      <w:r w:rsidRPr="00CF3FEC">
        <w:t>been included from a literature review on echoc</w:t>
      </w:r>
      <w:r>
        <w:t>ardiography</w:t>
      </w:r>
      <w:r w:rsidR="009C556B" w:rsidRPr="009C556B">
        <w:rPr>
          <w:noProof/>
          <w:vertAlign w:val="superscript"/>
        </w:rPr>
        <w:t>30</w:t>
      </w:r>
      <w:r w:rsidRPr="00CF3FEC">
        <w:t xml:space="preserve"> as it reflects the interventions recommended in the various guidelines</w:t>
      </w:r>
      <w:r w:rsidR="0043729C">
        <w:t>.</w:t>
      </w:r>
    </w:p>
    <w:p w14:paraId="0B13D746" w14:textId="77777777" w:rsidR="001D561A" w:rsidRPr="00CF3FEC" w:rsidRDefault="00C96D07" w:rsidP="008858FD">
      <w:pPr>
        <w:pStyle w:val="BodyTextnospacebefore"/>
      </w:pPr>
      <w:r>
        <w:t xml:space="preserve">The best evidence-based assessment </w:t>
      </w:r>
      <w:proofErr w:type="gramStart"/>
      <w:r>
        <w:t>was found</w:t>
      </w:r>
      <w:proofErr w:type="gramEnd"/>
      <w:r>
        <w:t xml:space="preserve"> in the CADTH review</w:t>
      </w:r>
      <w:r w:rsidR="009C556B" w:rsidRPr="009C556B">
        <w:rPr>
          <w:noProof/>
          <w:vertAlign w:val="superscript"/>
        </w:rPr>
        <w:t>25</w:t>
      </w:r>
      <w:r>
        <w:t xml:space="preserve">. </w:t>
      </w:r>
      <w:r w:rsidR="001D561A" w:rsidRPr="00CF3FEC">
        <w:t xml:space="preserve">CADTH evaluated evidence for monotherapy across WHO FC I-IV and found that </w:t>
      </w:r>
      <w:r w:rsidR="001D561A" w:rsidRPr="00CF3FEC">
        <w:rPr>
          <w:i/>
        </w:rPr>
        <w:t>“the available drugs used in monotherapy are similarly efficacious for improving the key trial outcomes of FC worsening and clinical worsening”</w:t>
      </w:r>
      <w:r w:rsidR="00FD08B5">
        <w:t xml:space="preserve"> (</w:t>
      </w:r>
      <w:r w:rsidR="00AF191D">
        <w:t>PDE</w:t>
      </w:r>
      <w:r w:rsidR="00AF191D">
        <w:noBreakHyphen/>
        <w:t>5</w:t>
      </w:r>
      <w:r w:rsidR="00FD08B5">
        <w:t xml:space="preserve"> inhibitors </w:t>
      </w:r>
      <w:proofErr w:type="gramStart"/>
      <w:r w:rsidR="00FD08B5">
        <w:t>we</w:t>
      </w:r>
      <w:r w:rsidR="001D561A" w:rsidRPr="00CF3FEC">
        <w:t>re recommended</w:t>
      </w:r>
      <w:proofErr w:type="gramEnd"/>
      <w:r w:rsidR="001D561A" w:rsidRPr="00CF3FEC">
        <w:t xml:space="preserve"> based on cost)</w:t>
      </w:r>
      <w:r w:rsidR="001D561A">
        <w:t xml:space="preserve">. </w:t>
      </w:r>
      <w:r w:rsidR="001D561A" w:rsidRPr="00CF3FEC">
        <w:t xml:space="preserve">The review goes on to state that there was </w:t>
      </w:r>
      <w:r w:rsidR="001D561A" w:rsidRPr="00CF3FEC">
        <w:rPr>
          <w:i/>
        </w:rPr>
        <w:t>“no evidence to guide the duration of treatment [</w:t>
      </w:r>
      <w:r w:rsidR="00FD08B5">
        <w:rPr>
          <w:i/>
        </w:rPr>
        <w:t>…</w:t>
      </w:r>
      <w:r w:rsidR="001D561A" w:rsidRPr="00CF3FEC">
        <w:rPr>
          <w:i/>
        </w:rPr>
        <w:t>] before changing to or adding another drug. The decision to change from or add to initial therapy […] should be based on patient-specific factors and response”</w:t>
      </w:r>
      <w:r w:rsidR="0072071B">
        <w:rPr>
          <w:i/>
        </w:rPr>
        <w:t>.</w:t>
      </w:r>
    </w:p>
    <w:p w14:paraId="1336429E" w14:textId="77777777" w:rsidR="001D561A" w:rsidRPr="009C074C" w:rsidRDefault="001D561A" w:rsidP="00121658">
      <w:pPr>
        <w:rPr>
          <w:rFonts w:asciiTheme="minorHAnsi" w:hAnsiTheme="minorHAnsi" w:cstheme="minorHAnsi"/>
        </w:rPr>
      </w:pPr>
      <w:r w:rsidRPr="009C074C">
        <w:rPr>
          <w:rFonts w:asciiTheme="minorHAnsi" w:hAnsiTheme="minorHAnsi" w:cstheme="minorHAnsi"/>
        </w:rPr>
        <w:t>Regarding treatment of patients with PAH</w:t>
      </w:r>
      <w:r w:rsidR="0003499D" w:rsidRPr="009C074C">
        <w:rPr>
          <w:rFonts w:asciiTheme="minorHAnsi" w:hAnsiTheme="minorHAnsi" w:cstheme="minorHAnsi"/>
        </w:rPr>
        <w:t>-</w:t>
      </w:r>
      <w:r w:rsidRPr="009C074C">
        <w:rPr>
          <w:rFonts w:asciiTheme="minorHAnsi" w:hAnsiTheme="minorHAnsi" w:cstheme="minorHAnsi"/>
        </w:rPr>
        <w:t xml:space="preserve">CTD, or </w:t>
      </w:r>
      <w:r w:rsidR="0003499D" w:rsidRPr="009C074C">
        <w:rPr>
          <w:rFonts w:asciiTheme="minorHAnsi" w:hAnsiTheme="minorHAnsi" w:cstheme="minorHAnsi"/>
        </w:rPr>
        <w:t>PAH-</w:t>
      </w:r>
      <w:r w:rsidRPr="009C074C">
        <w:rPr>
          <w:rFonts w:asciiTheme="minorHAnsi" w:hAnsiTheme="minorHAnsi" w:cstheme="minorHAnsi"/>
        </w:rPr>
        <w:t xml:space="preserve">CHD or drug and toxin induced PAH there are no fundamental differences to </w:t>
      </w:r>
      <w:proofErr w:type="gramStart"/>
      <w:r w:rsidRPr="009C074C">
        <w:rPr>
          <w:rFonts w:asciiTheme="minorHAnsi" w:hAnsiTheme="minorHAnsi" w:cstheme="minorHAnsi"/>
        </w:rPr>
        <w:t>be highlighted</w:t>
      </w:r>
      <w:proofErr w:type="gramEnd"/>
      <w:r w:rsidRPr="009C074C">
        <w:rPr>
          <w:rFonts w:asciiTheme="minorHAnsi" w:hAnsiTheme="minorHAnsi" w:cstheme="minorHAnsi"/>
        </w:rPr>
        <w:t xml:space="preserve"> in the proposed pharmacotherapy pathways as this is focusing on choice of PAH </w:t>
      </w:r>
      <w:r w:rsidR="00517C17" w:rsidRPr="009C074C">
        <w:rPr>
          <w:rFonts w:asciiTheme="minorHAnsi" w:hAnsiTheme="minorHAnsi" w:cstheme="minorHAnsi"/>
        </w:rPr>
        <w:t>medicine</w:t>
      </w:r>
      <w:r w:rsidRPr="009C074C">
        <w:rPr>
          <w:rFonts w:asciiTheme="minorHAnsi" w:hAnsiTheme="minorHAnsi" w:cstheme="minorHAnsi"/>
        </w:rPr>
        <w:t xml:space="preserve"> only. The clinical features in those different subtypes may however affect the prognostic factors and drive different treatment strategies. For example, patients with scleroderma (systemic sclerosis) tend to progress more quickly and have poorer survival. There were no specific recommendations for HIV infection or patients with portal hypertension either. ERAs remain indicated for the latter in spite of the hepatotoxicity risk, noting that macitentan and ambrisentan have a better safety profile for this endpoint </w:t>
      </w:r>
      <w:r w:rsidR="00D80D09" w:rsidRPr="009C074C">
        <w:rPr>
          <w:rFonts w:asciiTheme="minorHAnsi" w:hAnsiTheme="minorHAnsi" w:cstheme="minorHAnsi"/>
        </w:rPr>
        <w:t xml:space="preserve">in principle </w:t>
      </w:r>
      <w:r w:rsidRPr="009C074C">
        <w:rPr>
          <w:rFonts w:asciiTheme="minorHAnsi" w:hAnsiTheme="minorHAnsi" w:cstheme="minorHAnsi"/>
        </w:rPr>
        <w:t xml:space="preserve">but </w:t>
      </w:r>
      <w:proofErr w:type="gramStart"/>
      <w:r w:rsidRPr="009C074C">
        <w:rPr>
          <w:rFonts w:asciiTheme="minorHAnsi" w:hAnsiTheme="minorHAnsi" w:cstheme="minorHAnsi"/>
        </w:rPr>
        <w:t>have not been studied</w:t>
      </w:r>
      <w:proofErr w:type="gramEnd"/>
      <w:r w:rsidRPr="009C074C">
        <w:rPr>
          <w:rFonts w:asciiTheme="minorHAnsi" w:hAnsiTheme="minorHAnsi" w:cstheme="minorHAnsi"/>
        </w:rPr>
        <w:t xml:space="preserve"> to the same extent as bosentan</w:t>
      </w:r>
      <w:r w:rsidR="009C556B" w:rsidRPr="009C074C">
        <w:rPr>
          <w:rFonts w:asciiTheme="minorHAnsi" w:hAnsiTheme="minorHAnsi" w:cstheme="minorHAnsi"/>
          <w:noProof/>
          <w:vertAlign w:val="superscript"/>
        </w:rPr>
        <w:t>8</w:t>
      </w:r>
      <w:r w:rsidRPr="009C074C">
        <w:rPr>
          <w:rFonts w:asciiTheme="minorHAnsi" w:hAnsiTheme="minorHAnsi" w:cstheme="minorHAnsi"/>
        </w:rPr>
        <w:t>.</w:t>
      </w:r>
    </w:p>
    <w:p w14:paraId="23A664FE" w14:textId="77777777" w:rsidR="00226063" w:rsidRPr="008858FD" w:rsidRDefault="000A7F7B" w:rsidP="0015688E">
      <w:pPr>
        <w:spacing w:after="200"/>
        <w:rPr>
          <w:rFonts w:asciiTheme="minorHAnsi" w:hAnsiTheme="minorHAnsi" w:cstheme="minorHAnsi"/>
        </w:rPr>
      </w:pPr>
      <w:r w:rsidRPr="008858FD">
        <w:rPr>
          <w:rFonts w:asciiTheme="minorHAnsi" w:hAnsiTheme="minorHAnsi" w:cstheme="minorHAnsi"/>
        </w:rPr>
        <w:lastRenderedPageBreak/>
        <w:t>T</w:t>
      </w:r>
      <w:r w:rsidR="002F0F70" w:rsidRPr="008858FD">
        <w:rPr>
          <w:rFonts w:asciiTheme="minorHAnsi" w:hAnsiTheme="minorHAnsi" w:cstheme="minorHAnsi"/>
        </w:rPr>
        <w:t xml:space="preserve">he </w:t>
      </w:r>
      <w:r w:rsidR="00362707">
        <w:rPr>
          <w:rFonts w:asciiTheme="minorHAnsi" w:hAnsiTheme="minorHAnsi" w:cstheme="minorHAnsi"/>
        </w:rPr>
        <w:t xml:space="preserve">2015 </w:t>
      </w:r>
      <w:r w:rsidR="002F0F70" w:rsidRPr="008858FD">
        <w:rPr>
          <w:rFonts w:asciiTheme="minorHAnsi" w:hAnsiTheme="minorHAnsi" w:cstheme="minorHAnsi"/>
        </w:rPr>
        <w:t>ESC/ERS guideline</w:t>
      </w:r>
      <w:r w:rsidR="00362707">
        <w:rPr>
          <w:rFonts w:asciiTheme="minorHAnsi" w:hAnsiTheme="minorHAnsi" w:cstheme="minorHAnsi"/>
        </w:rPr>
        <w:t>s</w:t>
      </w:r>
      <w:r w:rsidR="002F0F70" w:rsidRPr="008858FD">
        <w:rPr>
          <w:rFonts w:asciiTheme="minorHAnsi" w:hAnsiTheme="minorHAnsi" w:cstheme="minorHAnsi"/>
        </w:rPr>
        <w:t xml:space="preserve"> state that </w:t>
      </w:r>
      <w:r w:rsidR="002F0F70" w:rsidRPr="008858FD">
        <w:rPr>
          <w:rFonts w:asciiTheme="minorHAnsi" w:hAnsiTheme="minorHAnsi" w:cstheme="minorHAnsi"/>
          <w:i/>
        </w:rPr>
        <w:t xml:space="preserve">“The medical treatment strategy for patients with PAH associated with </w:t>
      </w:r>
      <w:r w:rsidR="0003499D" w:rsidRPr="008858FD">
        <w:rPr>
          <w:rFonts w:asciiTheme="minorHAnsi" w:hAnsiTheme="minorHAnsi" w:cstheme="minorHAnsi"/>
          <w:i/>
        </w:rPr>
        <w:t>[congenital heart disease]</w:t>
      </w:r>
      <w:r w:rsidR="002F0F70" w:rsidRPr="008858FD">
        <w:rPr>
          <w:rFonts w:asciiTheme="minorHAnsi" w:hAnsiTheme="minorHAnsi" w:cstheme="minorHAnsi"/>
          <w:i/>
        </w:rPr>
        <w:t>, and in particular for subjects with Eisenmenger syndrome, is mainly based on the clinical experience of experts rather than being formally evidence-based”.</w:t>
      </w:r>
      <w:bookmarkStart w:id="163" w:name="_Toc473291080"/>
      <w:bookmarkStart w:id="164" w:name="_Toc480371883"/>
      <w:bookmarkEnd w:id="144"/>
      <w:bookmarkEnd w:id="145"/>
      <w:bookmarkEnd w:id="146"/>
      <w:bookmarkEnd w:id="147"/>
      <w:bookmarkEnd w:id="148"/>
      <w:bookmarkEnd w:id="149"/>
      <w:bookmarkEnd w:id="150"/>
      <w:r w:rsidR="0072071B" w:rsidRPr="008858FD">
        <w:rPr>
          <w:rFonts w:asciiTheme="minorHAnsi" w:hAnsiTheme="minorHAnsi" w:cstheme="minorHAnsi"/>
        </w:rPr>
        <w:t xml:space="preserve"> </w:t>
      </w:r>
      <w:r w:rsidR="00226063" w:rsidRPr="008858FD">
        <w:rPr>
          <w:rFonts w:asciiTheme="minorHAnsi" w:hAnsiTheme="minorHAnsi" w:cstheme="minorHAnsi"/>
        </w:rPr>
        <w:t xml:space="preserve">Regarding children, </w:t>
      </w:r>
      <w:r w:rsidR="0072071B" w:rsidRPr="008858FD">
        <w:rPr>
          <w:rFonts w:asciiTheme="minorHAnsi" w:hAnsiTheme="minorHAnsi" w:cstheme="minorHAnsi"/>
        </w:rPr>
        <w:t>it</w:t>
      </w:r>
      <w:r w:rsidR="00226063" w:rsidRPr="008858FD">
        <w:rPr>
          <w:rFonts w:asciiTheme="minorHAnsi" w:hAnsiTheme="minorHAnsi" w:cstheme="minorHAnsi"/>
        </w:rPr>
        <w:t xml:space="preserve"> </w:t>
      </w:r>
      <w:proofErr w:type="gramStart"/>
      <w:r w:rsidR="00226063" w:rsidRPr="008858FD">
        <w:rPr>
          <w:rFonts w:asciiTheme="minorHAnsi" w:hAnsiTheme="minorHAnsi" w:cstheme="minorHAnsi"/>
        </w:rPr>
        <w:t>states that</w:t>
      </w:r>
      <w:proofErr w:type="gramEnd"/>
      <w:r w:rsidR="00226063" w:rsidRPr="008858FD">
        <w:rPr>
          <w:rFonts w:asciiTheme="minorHAnsi" w:hAnsiTheme="minorHAnsi" w:cstheme="minorHAnsi"/>
        </w:rPr>
        <w:t xml:space="preserve"> “</w:t>
      </w:r>
      <w:r w:rsidR="00226063" w:rsidRPr="008858FD">
        <w:rPr>
          <w:rFonts w:asciiTheme="minorHAnsi" w:hAnsiTheme="minorHAnsi" w:cstheme="minorHAnsi"/>
          <w:i/>
        </w:rPr>
        <w:t>The general scheme of the diagnostic algorithm for adult patients may also be adopted in children, with some adaptation related to the different epidemiology”</w:t>
      </w:r>
      <w:r w:rsidR="009C556B" w:rsidRPr="008858FD">
        <w:rPr>
          <w:rFonts w:asciiTheme="minorHAnsi" w:hAnsiTheme="minorHAnsi" w:cstheme="minorHAnsi"/>
          <w:noProof/>
          <w:vertAlign w:val="superscript"/>
        </w:rPr>
        <w:t>8</w:t>
      </w:r>
      <w:r w:rsidR="0043729C">
        <w:rPr>
          <w:rFonts w:asciiTheme="minorHAnsi" w:hAnsiTheme="minorHAnsi" w:cstheme="minorHAnsi"/>
        </w:rPr>
        <w:t>.</w:t>
      </w:r>
    </w:p>
    <w:p w14:paraId="417D2397" w14:textId="77777777" w:rsidR="00EC3162" w:rsidRPr="00B92CC9" w:rsidRDefault="00EC3162" w:rsidP="00121658">
      <w:pPr>
        <w:pStyle w:val="Heading3"/>
        <w:jc w:val="left"/>
      </w:pPr>
      <w:bookmarkStart w:id="165" w:name="_Toc38377505"/>
      <w:r>
        <w:t xml:space="preserve">Diagnostic </w:t>
      </w:r>
      <w:r w:rsidR="00054996">
        <w:t xml:space="preserve">and monitoring </w:t>
      </w:r>
      <w:r>
        <w:t>recommendations</w:t>
      </w:r>
      <w:bookmarkEnd w:id="165"/>
    </w:p>
    <w:p w14:paraId="78CB1DFC" w14:textId="77777777" w:rsidR="00054996" w:rsidRPr="00F53D1B" w:rsidRDefault="00054996" w:rsidP="00121658">
      <w:pPr>
        <w:pStyle w:val="Heading4"/>
        <w:jc w:val="left"/>
      </w:pPr>
      <w:r w:rsidRPr="00F53D1B">
        <w:t>Right heart catheterisation (RHC)</w:t>
      </w:r>
    </w:p>
    <w:p w14:paraId="234A4D5A" w14:textId="77777777" w:rsidR="00054996" w:rsidRDefault="00054996" w:rsidP="008858FD">
      <w:pPr>
        <w:pStyle w:val="BodyTextnospacebefore"/>
      </w:pPr>
      <w:r w:rsidRPr="00F53D1B">
        <w:t xml:space="preserve">Pulmonary hypertension </w:t>
      </w:r>
      <w:proofErr w:type="gramStart"/>
      <w:r w:rsidRPr="00F53D1B">
        <w:t>is defined</w:t>
      </w:r>
      <w:proofErr w:type="gramEnd"/>
      <w:r w:rsidRPr="00F53D1B">
        <w:t xml:space="preserve"> as a resting mPAP of 25 mmHg or more by RHC. </w:t>
      </w:r>
      <w:r>
        <w:t>RHC</w:t>
      </w:r>
      <w:r w:rsidRPr="00F53D1B">
        <w:t xml:space="preserve"> is the gold standard for PAH diagnosis and </w:t>
      </w:r>
      <w:proofErr w:type="gramStart"/>
      <w:r w:rsidRPr="00F53D1B">
        <w:t>is used</w:t>
      </w:r>
      <w:proofErr w:type="gramEnd"/>
      <w:r w:rsidRPr="00F53D1B">
        <w:t xml:space="preserve"> to measure </w:t>
      </w:r>
      <w:r>
        <w:t>this and other parameters such as RAP</w:t>
      </w:r>
      <w:r w:rsidR="00FD08B5">
        <w:t>, other dimensions of the right heart</w:t>
      </w:r>
      <w:r w:rsidRPr="00F53D1B">
        <w:t xml:space="preserve"> and cardiac performance</w:t>
      </w:r>
      <w:r>
        <w:t xml:space="preserve">. </w:t>
      </w:r>
      <w:r w:rsidRPr="00F53D1B">
        <w:t>RHC is recommended as essential prior to making treatment decisions, unless contraindicated (</w:t>
      </w:r>
      <w:r w:rsidR="00505D99">
        <w:t>Table 1.9</w:t>
      </w:r>
      <w:r w:rsidR="00505D99" w:rsidRPr="00F75B8B">
        <w:t xml:space="preserve"> </w:t>
      </w:r>
      <w:r w:rsidR="00505D99">
        <w:tab/>
        <w:t>Guideline diagnostic recommendations for PAH</w:t>
      </w:r>
      <w:r w:rsidR="007A1023">
        <w:t xml:space="preserve">). </w:t>
      </w:r>
      <w:r w:rsidRPr="00F53D1B">
        <w:t xml:space="preserve">RHC </w:t>
      </w:r>
      <w:proofErr w:type="gramStart"/>
      <w:r w:rsidRPr="00F53D1B">
        <w:t>should be performed</w:t>
      </w:r>
      <w:proofErr w:type="gramEnd"/>
      <w:r w:rsidRPr="00F53D1B">
        <w:t xml:space="preserve"> once the </w:t>
      </w:r>
      <w:r w:rsidR="002F0F70">
        <w:t>non-invasive</w:t>
      </w:r>
      <w:r w:rsidRPr="00F53D1B">
        <w:t xml:space="preserve"> assessments have been completed</w:t>
      </w:r>
      <w:r w:rsidR="0043729C">
        <w:t>.</w:t>
      </w:r>
    </w:p>
    <w:p w14:paraId="74863276" w14:textId="77777777" w:rsidR="00826896" w:rsidRPr="00F53D1B" w:rsidRDefault="00826896" w:rsidP="00121658">
      <w:pPr>
        <w:pStyle w:val="Heading4"/>
        <w:numPr>
          <w:ilvl w:val="0"/>
          <w:numId w:val="0"/>
        </w:numPr>
        <w:jc w:val="left"/>
      </w:pPr>
      <w:r w:rsidRPr="00F53D1B">
        <w:t>Transthoracic Echocardiography</w:t>
      </w:r>
    </w:p>
    <w:p w14:paraId="5B4ABE9E" w14:textId="77777777" w:rsidR="00826896" w:rsidRDefault="00826896" w:rsidP="008858FD">
      <w:pPr>
        <w:pStyle w:val="BodyTextnospacebefore"/>
      </w:pPr>
      <w:r w:rsidRPr="00F53D1B">
        <w:t xml:space="preserve">A chest echocardiogram is the key </w:t>
      </w:r>
      <w:r w:rsidR="002F0F70">
        <w:t>non-invasive</w:t>
      </w:r>
      <w:r>
        <w:t xml:space="preserve"> method</w:t>
      </w:r>
      <w:r w:rsidRPr="00F53D1B">
        <w:t xml:space="preserve"> to determine if PAH </w:t>
      </w:r>
      <w:proofErr w:type="gramStart"/>
      <w:r w:rsidRPr="00F53D1B">
        <w:t>is suspected</w:t>
      </w:r>
      <w:proofErr w:type="gramEnd"/>
      <w:r w:rsidRPr="00F53D1B">
        <w:t xml:space="preserve"> and whether RHC is indicated. PAP cannot be measured directly using echocardiography and</w:t>
      </w:r>
      <w:r>
        <w:t xml:space="preserve"> </w:t>
      </w:r>
      <w:proofErr w:type="gramStart"/>
      <w:r>
        <w:t>must be inferred</w:t>
      </w:r>
      <w:proofErr w:type="gramEnd"/>
      <w:r>
        <w:t xml:space="preserve"> from </w:t>
      </w:r>
      <w:r w:rsidRPr="00F53D1B">
        <w:t>peak tricuspid regurgitation velocity (TRV)</w:t>
      </w:r>
      <w:r>
        <w:t xml:space="preserve"> and mean </w:t>
      </w:r>
      <w:r w:rsidR="008F6AA4">
        <w:t xml:space="preserve">right atrial pressure </w:t>
      </w:r>
      <w:r>
        <w:t>(m</w:t>
      </w:r>
      <w:r w:rsidRPr="00F53D1B">
        <w:t>RAP</w:t>
      </w:r>
      <w:r>
        <w:t xml:space="preserve">). </w:t>
      </w:r>
      <w:r w:rsidRPr="00F53D1B">
        <w:t>The tricuspid valve lies between the right atrium and the right ventricle</w:t>
      </w:r>
      <w:r>
        <w:t xml:space="preserve">. </w:t>
      </w:r>
      <w:r w:rsidRPr="00F53D1B">
        <w:t xml:space="preserve">Regurgitation results from the leaking tricuspid valve allowing blood flow back into the right atrium, instead of the blood flowing as it should (right atrium </w:t>
      </w:r>
      <w:r>
        <w:t>–</w:t>
      </w:r>
      <w:r w:rsidRPr="00F53D1B">
        <w:t xml:space="preserve">&gt; right ventricle </w:t>
      </w:r>
      <w:r>
        <w:t>–</w:t>
      </w:r>
      <w:r w:rsidRPr="00F53D1B">
        <w:t>&gt; pulmonary artery)</w:t>
      </w:r>
      <w:r w:rsidR="0043729C">
        <w:t>.</w:t>
      </w:r>
    </w:p>
    <w:p w14:paraId="5D7FA703" w14:textId="77777777" w:rsidR="00826896" w:rsidRDefault="00826896" w:rsidP="0084407B">
      <w:r w:rsidRPr="00F53D1B">
        <w:t>This method is less effective in patients with mild PAH as regurgitation may not be apparent, or in those who have underlying lung disease. If TRV is not measurable, the other signs of PAH</w:t>
      </w:r>
      <w:r>
        <w:t xml:space="preserve"> on echocardiography</w:t>
      </w:r>
      <w:r w:rsidRPr="00F53D1B">
        <w:t xml:space="preserve"> become key to </w:t>
      </w:r>
      <w:r>
        <w:t xml:space="preserve">determining </w:t>
      </w:r>
      <w:r w:rsidRPr="00F53D1B">
        <w:t>the likelihood of PAH</w:t>
      </w:r>
      <w:r>
        <w:t xml:space="preserve"> </w:t>
      </w:r>
      <w:r w:rsidRPr="00F53D1B">
        <w:t>(</w:t>
      </w:r>
      <w:r w:rsidR="00505D99">
        <w:t>Table 1.</w:t>
      </w:r>
      <w:r w:rsidR="00505D99">
        <w:rPr>
          <w:noProof/>
        </w:rPr>
        <w:t>9</w:t>
      </w:r>
      <w:r w:rsidRPr="00F53D1B">
        <w:t>) and a decision to proceed to RHC</w:t>
      </w:r>
      <w:r>
        <w:t xml:space="preserve">. </w:t>
      </w:r>
      <w:r w:rsidR="00670DB9">
        <w:t>The lack of reliably measureable</w:t>
      </w:r>
      <w:r w:rsidRPr="00F53D1B">
        <w:t xml:space="preserve"> TRV in </w:t>
      </w:r>
      <w:r w:rsidR="00670DB9">
        <w:t>some patients</w:t>
      </w:r>
      <w:r w:rsidR="00CC7275">
        <w:t xml:space="preserve"> rules out </w:t>
      </w:r>
      <w:r w:rsidRPr="00F53D1B">
        <w:t xml:space="preserve">echocardiography as </w:t>
      </w:r>
      <w:r>
        <w:t>the key</w:t>
      </w:r>
      <w:r w:rsidRPr="00F53D1B">
        <w:t xml:space="preserve"> diagnostic test</w:t>
      </w:r>
      <w:r>
        <w:t>.</w:t>
      </w:r>
    </w:p>
    <w:p w14:paraId="05370259" w14:textId="77777777" w:rsidR="00670DB9" w:rsidRPr="00BB3BA9" w:rsidRDefault="00670DB9" w:rsidP="00121658">
      <w:pPr>
        <w:pStyle w:val="Heading4"/>
        <w:jc w:val="left"/>
        <w:rPr>
          <w:rFonts w:eastAsiaTheme="minorEastAsia"/>
        </w:rPr>
      </w:pPr>
      <w:r>
        <w:rPr>
          <w:rFonts w:eastAsiaTheme="minorEastAsia"/>
        </w:rPr>
        <w:t>Risk categories and prognostic characteristics</w:t>
      </w:r>
    </w:p>
    <w:p w14:paraId="2A61C528" w14:textId="77777777" w:rsidR="00670DB9" w:rsidRPr="00F53D1B" w:rsidRDefault="00670DB9" w:rsidP="008858FD">
      <w:pPr>
        <w:pStyle w:val="BodyTextnospacebefore"/>
      </w:pPr>
      <w:r>
        <w:t>A</w:t>
      </w:r>
      <w:r w:rsidRPr="00F53D1B">
        <w:t xml:space="preserve">n essential component of </w:t>
      </w:r>
      <w:r>
        <w:t>PAH</w:t>
      </w:r>
      <w:r w:rsidRPr="00F53D1B">
        <w:t xml:space="preserve"> diagnosis </w:t>
      </w:r>
      <w:r>
        <w:t xml:space="preserve">and treatment decisions </w:t>
      </w:r>
      <w:r w:rsidRPr="00F53D1B">
        <w:t xml:space="preserve">is the </w:t>
      </w:r>
      <w:r>
        <w:t>suite of</w:t>
      </w:r>
      <w:r w:rsidRPr="00F53D1B">
        <w:t xml:space="preserve"> baseline characteristics to provide a measure of risk </w:t>
      </w:r>
      <w:r>
        <w:t>of PAH disease deterioration or</w:t>
      </w:r>
      <w:r w:rsidRPr="00F53D1B">
        <w:t xml:space="preserve"> prognosis</w:t>
      </w:r>
      <w:r>
        <w:t>, and then for monitoring of response.</w:t>
      </w:r>
    </w:p>
    <w:p w14:paraId="03D56B8C" w14:textId="77777777" w:rsidR="00670DB9" w:rsidRDefault="00670DB9" w:rsidP="008858FD">
      <w:pPr>
        <w:pStyle w:val="BodyTextnospacebefore"/>
      </w:pPr>
      <w:r w:rsidRPr="00AE134B">
        <w:t xml:space="preserve">Current treatment recommendations </w:t>
      </w:r>
      <w:proofErr w:type="gramStart"/>
      <w:r w:rsidRPr="00AE134B">
        <w:t>are informed</w:t>
      </w:r>
      <w:proofErr w:type="gramEnd"/>
      <w:r w:rsidRPr="00AE134B">
        <w:t xml:space="preserve"> by considering patient risk factors based on their sympto</w:t>
      </w:r>
      <w:r>
        <w:t>ms and other clinical features – several different approaches are described in</w:t>
      </w:r>
      <w:r w:rsidR="007B0F54">
        <w:t xml:space="preserve"> </w:t>
      </w:r>
      <w:r w:rsidR="00CE16FA">
        <w:t>Table 1.10</w:t>
      </w:r>
      <w:r>
        <w:t xml:space="preserve">, referring to examples of recommended risk factor assessments in </w:t>
      </w:r>
      <w:r w:rsidR="00505D99">
        <w:t>Table 1.</w:t>
      </w:r>
      <w:r w:rsidR="00505D99">
        <w:rPr>
          <w:noProof/>
        </w:rPr>
        <w:t>11</w:t>
      </w:r>
      <w:r>
        <w:t xml:space="preserve">, </w:t>
      </w:r>
      <w:r w:rsidR="00505D99">
        <w:t>Table 1.</w:t>
      </w:r>
      <w:r w:rsidR="00505D99">
        <w:rPr>
          <w:noProof/>
        </w:rPr>
        <w:t>12</w:t>
      </w:r>
      <w:r>
        <w:t xml:space="preserve"> and </w:t>
      </w:r>
      <w:r w:rsidR="00505D99">
        <w:t>Figure 1.1</w:t>
      </w:r>
      <w:r w:rsidR="0043729C">
        <w:t>.</w:t>
      </w:r>
    </w:p>
    <w:p w14:paraId="2D8B8F6F" w14:textId="77777777" w:rsidR="00670DB9" w:rsidRPr="00054996" w:rsidRDefault="00670DB9" w:rsidP="00121658">
      <w:pPr>
        <w:tabs>
          <w:tab w:val="left" w:pos="3663"/>
        </w:tabs>
      </w:pPr>
    </w:p>
    <w:p w14:paraId="5E0A6A4B" w14:textId="77777777" w:rsidR="00054996" w:rsidRDefault="00054996" w:rsidP="00121658">
      <w:pPr>
        <w:tabs>
          <w:tab w:val="left" w:pos="3663"/>
        </w:tabs>
        <w:sectPr w:rsidR="00054996" w:rsidSect="00C978EB">
          <w:headerReference w:type="even" r:id="rId26"/>
          <w:headerReference w:type="default" r:id="rId27"/>
          <w:footerReference w:type="default" r:id="rId28"/>
          <w:headerReference w:type="first" r:id="rId29"/>
          <w:footerReference w:type="first" r:id="rId30"/>
          <w:footnotePr>
            <w:numFmt w:val="chicago"/>
          </w:footnotePr>
          <w:pgSz w:w="11906" w:h="16838"/>
          <w:pgMar w:top="1440" w:right="1440" w:bottom="1440" w:left="1440" w:header="708" w:footer="708" w:gutter="0"/>
          <w:cols w:space="708"/>
          <w:titlePg/>
          <w:docGrid w:linePitch="360"/>
        </w:sectPr>
      </w:pPr>
    </w:p>
    <w:p w14:paraId="509C9856" w14:textId="77777777" w:rsidR="00054996" w:rsidRDefault="00F75B8B" w:rsidP="00F75B8B">
      <w:pPr>
        <w:pStyle w:val="Caption"/>
        <w:jc w:val="left"/>
      </w:pPr>
      <w:bookmarkStart w:id="166" w:name="_Ref510795151"/>
      <w:bookmarkStart w:id="167" w:name="_Ref508896653"/>
      <w:bookmarkStart w:id="168" w:name="_Toc29377255"/>
      <w:r>
        <w:lastRenderedPageBreak/>
        <w:t>Table 1.</w:t>
      </w:r>
      <w:r w:rsidR="00505D99">
        <w:rPr>
          <w:noProof/>
        </w:rPr>
        <w:t>9</w:t>
      </w:r>
      <w:bookmarkEnd w:id="166"/>
      <w:r w:rsidRPr="00F75B8B">
        <w:t xml:space="preserve"> </w:t>
      </w:r>
      <w:r>
        <w:tab/>
        <w:t>Guideline diagnostic recommendations for PAH</w:t>
      </w:r>
      <w:bookmarkEnd w:id="167"/>
      <w:bookmarkEnd w:id="168"/>
    </w:p>
    <w:tbl>
      <w:tblPr>
        <w:tblStyle w:val="TableGrid"/>
        <w:tblW w:w="5000" w:type="pct"/>
        <w:shd w:val="clear" w:color="auto" w:fill="FFFFFF" w:themeFill="background1"/>
        <w:tblLayout w:type="fixed"/>
        <w:tblLook w:val="04A0" w:firstRow="1" w:lastRow="0" w:firstColumn="1" w:lastColumn="0" w:noHBand="0" w:noVBand="1"/>
        <w:tblCaption w:val="Guideline diagnostic recommendations for PAH"/>
      </w:tblPr>
      <w:tblGrid>
        <w:gridCol w:w="1847"/>
        <w:gridCol w:w="12101"/>
      </w:tblGrid>
      <w:tr w:rsidR="00054996" w:rsidRPr="00FF7A00" w14:paraId="54FC4700" w14:textId="77777777" w:rsidTr="00FF7A00">
        <w:trPr>
          <w:cnfStyle w:val="100000000000" w:firstRow="1" w:lastRow="0" w:firstColumn="0" w:lastColumn="0" w:oddVBand="0" w:evenVBand="0" w:oddHBand="0" w:evenHBand="0" w:firstRowFirstColumn="0" w:firstRowLastColumn="0" w:lastRowFirstColumn="0" w:lastRowLastColumn="0"/>
        </w:trPr>
        <w:tc>
          <w:tcPr>
            <w:tcW w:w="662" w:type="pct"/>
            <w:shd w:val="clear" w:color="auto" w:fill="BFBFBF" w:themeFill="background1" w:themeFillShade="BF"/>
          </w:tcPr>
          <w:p w14:paraId="228CF3F6" w14:textId="77777777" w:rsidR="00054996" w:rsidRPr="00FF7A00" w:rsidRDefault="00054996" w:rsidP="00FF7A00">
            <w:pPr>
              <w:spacing w:before="0" w:line="240" w:lineRule="auto"/>
              <w:ind w:left="147" w:right="57"/>
              <w:rPr>
                <w:rFonts w:ascii="Arial" w:hAnsi="Arial" w:cs="Arial"/>
                <w:b/>
                <w:sz w:val="20"/>
                <w:szCs w:val="20"/>
              </w:rPr>
            </w:pPr>
            <w:r w:rsidRPr="00FF7A00">
              <w:rPr>
                <w:rFonts w:ascii="Arial" w:hAnsi="Arial" w:cs="Arial"/>
                <w:b/>
                <w:sz w:val="20"/>
                <w:szCs w:val="20"/>
              </w:rPr>
              <w:t>Issue</w:t>
            </w:r>
          </w:p>
        </w:tc>
        <w:tc>
          <w:tcPr>
            <w:tcW w:w="4338" w:type="pct"/>
            <w:shd w:val="clear" w:color="auto" w:fill="BFBFBF" w:themeFill="background1" w:themeFillShade="BF"/>
          </w:tcPr>
          <w:p w14:paraId="1477DA3E" w14:textId="77777777" w:rsidR="00054996" w:rsidRPr="00FF7A00" w:rsidRDefault="00054996" w:rsidP="00FF7A00">
            <w:pPr>
              <w:spacing w:before="0" w:line="240" w:lineRule="auto"/>
              <w:ind w:left="141" w:right="57"/>
              <w:rPr>
                <w:rFonts w:ascii="Arial" w:hAnsi="Arial" w:cs="Arial"/>
                <w:b/>
                <w:sz w:val="20"/>
                <w:szCs w:val="20"/>
              </w:rPr>
            </w:pPr>
            <w:r w:rsidRPr="00FF7A00">
              <w:rPr>
                <w:rFonts w:ascii="Arial" w:hAnsi="Arial" w:cs="Arial"/>
                <w:b/>
                <w:sz w:val="20"/>
                <w:szCs w:val="20"/>
              </w:rPr>
              <w:t>Details</w:t>
            </w:r>
          </w:p>
        </w:tc>
      </w:tr>
      <w:tr w:rsidR="00054996" w:rsidRPr="00FF7A00" w14:paraId="4DB7394F" w14:textId="77777777" w:rsidTr="00FF7A00">
        <w:tc>
          <w:tcPr>
            <w:tcW w:w="5000" w:type="pct"/>
            <w:gridSpan w:val="2"/>
            <w:shd w:val="clear" w:color="auto" w:fill="FFFFFF" w:themeFill="background1"/>
          </w:tcPr>
          <w:p w14:paraId="6D3CB9F7" w14:textId="77777777" w:rsidR="00054996" w:rsidRPr="00FF7A00" w:rsidRDefault="00054996" w:rsidP="00FF7A00">
            <w:pPr>
              <w:spacing w:before="0" w:line="240" w:lineRule="auto"/>
              <w:ind w:left="141" w:right="57"/>
              <w:rPr>
                <w:rFonts w:ascii="Arial" w:hAnsi="Arial" w:cs="Arial"/>
                <w:b/>
                <w:sz w:val="20"/>
                <w:szCs w:val="20"/>
              </w:rPr>
            </w:pPr>
            <w:r w:rsidRPr="00FF7A00">
              <w:rPr>
                <w:rFonts w:ascii="Arial" w:hAnsi="Arial" w:cs="Arial"/>
                <w:b/>
                <w:sz w:val="20"/>
                <w:szCs w:val="20"/>
              </w:rPr>
              <w:t>Right Heart Catheterisation (RHC)</w:t>
            </w:r>
          </w:p>
        </w:tc>
      </w:tr>
      <w:tr w:rsidR="00054996" w:rsidRPr="00FF7A00" w14:paraId="695627BD" w14:textId="77777777" w:rsidTr="00FF7A00">
        <w:tc>
          <w:tcPr>
            <w:tcW w:w="662" w:type="pct"/>
            <w:shd w:val="clear" w:color="auto" w:fill="FFFFFF" w:themeFill="background1"/>
          </w:tcPr>
          <w:p w14:paraId="091E59DA" w14:textId="77777777" w:rsidR="00054996" w:rsidRPr="00FF7A00" w:rsidRDefault="00054996" w:rsidP="00FF7A00">
            <w:pPr>
              <w:spacing w:before="0" w:line="240" w:lineRule="auto"/>
              <w:ind w:left="147" w:right="57"/>
              <w:rPr>
                <w:rFonts w:ascii="Arial" w:hAnsi="Arial" w:cs="Arial"/>
                <w:sz w:val="20"/>
                <w:szCs w:val="20"/>
              </w:rPr>
            </w:pPr>
            <w:r w:rsidRPr="00FF7A00">
              <w:rPr>
                <w:rFonts w:ascii="Arial" w:hAnsi="Arial" w:cs="Arial"/>
                <w:sz w:val="20"/>
                <w:szCs w:val="20"/>
              </w:rPr>
              <w:t>Haemodynamic definition of PAH</w:t>
            </w:r>
          </w:p>
        </w:tc>
        <w:tc>
          <w:tcPr>
            <w:tcW w:w="4338" w:type="pct"/>
            <w:shd w:val="clear" w:color="auto" w:fill="FFFFFF" w:themeFill="background1"/>
          </w:tcPr>
          <w:p w14:paraId="6C69C4FA" w14:textId="5376F48E" w:rsidR="00054996" w:rsidRPr="00FF7A00" w:rsidRDefault="00054996" w:rsidP="00FF7A00">
            <w:pPr>
              <w:spacing w:before="0" w:line="240" w:lineRule="auto"/>
              <w:ind w:left="141" w:right="57"/>
              <w:rPr>
                <w:rFonts w:ascii="Arial" w:hAnsi="Arial" w:cs="Arial"/>
                <w:sz w:val="20"/>
                <w:szCs w:val="20"/>
              </w:rPr>
            </w:pPr>
            <w:r w:rsidRPr="00FF7A00">
              <w:rPr>
                <w:rFonts w:ascii="Arial" w:hAnsi="Arial" w:cs="Arial"/>
                <w:sz w:val="20"/>
                <w:szCs w:val="20"/>
              </w:rPr>
              <w:t xml:space="preserve">Pulmonary </w:t>
            </w:r>
            <w:r w:rsidR="00C40AC4" w:rsidRPr="00FF7A00">
              <w:rPr>
                <w:rFonts w:ascii="Arial" w:hAnsi="Arial" w:cs="Arial"/>
                <w:sz w:val="20"/>
                <w:szCs w:val="20"/>
              </w:rPr>
              <w:t>hypertension</w:t>
            </w:r>
            <w:r w:rsidRPr="00FF7A00">
              <w:rPr>
                <w:rFonts w:ascii="Arial" w:hAnsi="Arial" w:cs="Arial"/>
                <w:sz w:val="20"/>
                <w:szCs w:val="20"/>
              </w:rPr>
              <w:t xml:space="preserve"> </w:t>
            </w:r>
            <w:proofErr w:type="gramStart"/>
            <w:r w:rsidRPr="00FF7A00">
              <w:rPr>
                <w:rFonts w:ascii="Arial" w:hAnsi="Arial" w:cs="Arial"/>
                <w:sz w:val="20"/>
                <w:szCs w:val="20"/>
              </w:rPr>
              <w:t>is defined</w:t>
            </w:r>
            <w:proofErr w:type="gramEnd"/>
            <w:r w:rsidRPr="00FF7A00">
              <w:rPr>
                <w:rFonts w:ascii="Arial" w:hAnsi="Arial" w:cs="Arial"/>
                <w:sz w:val="20"/>
                <w:szCs w:val="20"/>
              </w:rPr>
              <w:t xml:space="preserve"> as an increase in mean pulmonary artery pressure (mPAP) ≥25 mmHg at rest as assessed by right heart catheterisation (RHC). This is in comparison to a normal mPAP, which at rest is 14±3 mmHg with an upper limit of normal of approximately 20</w:t>
            </w:r>
            <w:r w:rsidR="00E42107">
              <w:rPr>
                <w:rFonts w:ascii="Arial" w:hAnsi="Arial" w:cs="Arial"/>
                <w:sz w:val="20"/>
                <w:szCs w:val="20"/>
              </w:rPr>
              <w:t xml:space="preserve"> </w:t>
            </w:r>
            <w:r w:rsidRPr="00FF7A00">
              <w:rPr>
                <w:rFonts w:ascii="Arial" w:hAnsi="Arial" w:cs="Arial"/>
                <w:sz w:val="20"/>
                <w:szCs w:val="20"/>
              </w:rPr>
              <w:t>mmHg</w:t>
            </w:r>
            <w:r w:rsidR="009C556B" w:rsidRPr="009C556B">
              <w:rPr>
                <w:rFonts w:ascii="Arial" w:hAnsi="Arial" w:cs="Arial"/>
                <w:noProof/>
                <w:sz w:val="20"/>
                <w:szCs w:val="20"/>
                <w:vertAlign w:val="superscript"/>
              </w:rPr>
              <w:t>21, 24</w:t>
            </w:r>
            <w:r w:rsidRPr="00FF7A00">
              <w:rPr>
                <w:rFonts w:ascii="Arial" w:hAnsi="Arial" w:cs="Arial"/>
                <w:sz w:val="20"/>
                <w:szCs w:val="20"/>
              </w:rPr>
              <w:t>.</w:t>
            </w:r>
          </w:p>
          <w:p w14:paraId="30B6A149" w14:textId="5A2507E5" w:rsidR="00054996" w:rsidRPr="00FF7A00" w:rsidRDefault="00054996" w:rsidP="0055334C">
            <w:pPr>
              <w:spacing w:before="0" w:line="240" w:lineRule="auto"/>
              <w:ind w:left="141" w:right="57"/>
              <w:rPr>
                <w:rFonts w:ascii="Arial" w:hAnsi="Arial" w:cs="Arial"/>
                <w:i/>
                <w:sz w:val="20"/>
                <w:szCs w:val="20"/>
              </w:rPr>
            </w:pPr>
            <w:r w:rsidRPr="00FF7A00">
              <w:rPr>
                <w:rFonts w:ascii="Arial" w:hAnsi="Arial" w:cs="Arial"/>
                <w:sz w:val="20"/>
                <w:szCs w:val="20"/>
              </w:rPr>
              <w:t>The patient should be confirmed to have normal pulmonary artery wedge pressure (PAWP) ≤15</w:t>
            </w:r>
            <w:r w:rsidR="00E42107">
              <w:rPr>
                <w:rFonts w:ascii="Arial" w:hAnsi="Arial" w:cs="Arial"/>
                <w:sz w:val="20"/>
                <w:szCs w:val="20"/>
              </w:rPr>
              <w:t xml:space="preserve"> </w:t>
            </w:r>
            <w:r w:rsidRPr="00FF7A00">
              <w:rPr>
                <w:rFonts w:ascii="Arial" w:hAnsi="Arial" w:cs="Arial"/>
                <w:sz w:val="20"/>
                <w:szCs w:val="20"/>
              </w:rPr>
              <w:t>mmHg (as an indication of left ventricular pressure) and a pulmonary vascular resistance</w:t>
            </w:r>
            <w:r w:rsidR="0055334C">
              <w:rPr>
                <w:rFonts w:ascii="Arial" w:hAnsi="Arial" w:cs="Arial"/>
                <w:sz w:val="20"/>
                <w:szCs w:val="20"/>
              </w:rPr>
              <w:t xml:space="preserve"> (PVR)</w:t>
            </w:r>
            <w:r w:rsidRPr="00FF7A00">
              <w:rPr>
                <w:rFonts w:ascii="Arial" w:hAnsi="Arial" w:cs="Arial"/>
                <w:sz w:val="20"/>
                <w:szCs w:val="20"/>
              </w:rPr>
              <w:t xml:space="preserve"> of &gt;3 Wood units in the absence of other causes of precapillary PH such as PH due to lung diseases or CTEPH. In children, the definition is the same except PVR should be &gt;2 Wood units</w:t>
            </w:r>
            <w:r w:rsidR="009C556B" w:rsidRPr="009C556B">
              <w:rPr>
                <w:rFonts w:ascii="Arial" w:hAnsi="Arial" w:cs="Arial"/>
                <w:noProof/>
                <w:sz w:val="20"/>
                <w:szCs w:val="20"/>
                <w:vertAlign w:val="superscript"/>
              </w:rPr>
              <w:t>22</w:t>
            </w:r>
            <w:r w:rsidR="00433046">
              <w:rPr>
                <w:rFonts w:ascii="Arial" w:hAnsi="Arial" w:cs="Arial"/>
                <w:sz w:val="20"/>
                <w:szCs w:val="20"/>
              </w:rPr>
              <w:t>.</w:t>
            </w:r>
          </w:p>
        </w:tc>
      </w:tr>
      <w:tr w:rsidR="00054996" w:rsidRPr="00FF7A00" w14:paraId="4FBD9351" w14:textId="77777777" w:rsidTr="00FF7A00">
        <w:tc>
          <w:tcPr>
            <w:tcW w:w="662" w:type="pct"/>
            <w:shd w:val="clear" w:color="auto" w:fill="FFFFFF" w:themeFill="background1"/>
          </w:tcPr>
          <w:p w14:paraId="293F5CAC" w14:textId="77777777" w:rsidR="00054996" w:rsidRPr="00FF7A00" w:rsidRDefault="00054996" w:rsidP="00FF7A00">
            <w:pPr>
              <w:spacing w:before="0" w:line="240" w:lineRule="auto"/>
              <w:ind w:left="147" w:right="57"/>
              <w:rPr>
                <w:rFonts w:ascii="Arial" w:hAnsi="Arial" w:cs="Arial"/>
                <w:sz w:val="20"/>
                <w:szCs w:val="20"/>
              </w:rPr>
            </w:pPr>
            <w:r w:rsidRPr="00FF7A00">
              <w:rPr>
                <w:rFonts w:ascii="Arial" w:hAnsi="Arial" w:cs="Arial"/>
                <w:sz w:val="20"/>
                <w:szCs w:val="20"/>
              </w:rPr>
              <w:t>Contraindications for RHC</w:t>
            </w:r>
          </w:p>
        </w:tc>
        <w:tc>
          <w:tcPr>
            <w:tcW w:w="4338" w:type="pct"/>
            <w:shd w:val="clear" w:color="auto" w:fill="FFFFFF" w:themeFill="background1"/>
          </w:tcPr>
          <w:p w14:paraId="7ED2F23F" w14:textId="77777777" w:rsidR="00192520" w:rsidRDefault="00192520" w:rsidP="00192520">
            <w:pPr>
              <w:keepNext/>
              <w:spacing w:before="0" w:line="240" w:lineRule="auto"/>
              <w:ind w:left="141" w:right="57"/>
              <w:rPr>
                <w:rFonts w:ascii="Arial" w:eastAsia="Times New Roman" w:hAnsi="Arial" w:cs="Arial"/>
                <w:sz w:val="20"/>
                <w:szCs w:val="20"/>
                <w:lang w:eastAsia="en-AU"/>
              </w:rPr>
            </w:pPr>
            <w:r w:rsidRPr="00FF7A00">
              <w:rPr>
                <w:rFonts w:ascii="Arial" w:eastAsia="Times New Roman" w:hAnsi="Arial" w:cs="Arial"/>
                <w:sz w:val="20"/>
                <w:szCs w:val="20"/>
                <w:lang w:eastAsia="en-AU"/>
              </w:rPr>
              <w:t>Absolute contraindications:</w:t>
            </w:r>
          </w:p>
          <w:p w14:paraId="7DA44AD3" w14:textId="77777777" w:rsidR="00192520" w:rsidRPr="00FF7A00" w:rsidRDefault="00192520" w:rsidP="00192520">
            <w:pPr>
              <w:keepNext/>
              <w:spacing w:before="0" w:line="240" w:lineRule="auto"/>
              <w:ind w:left="3600" w:right="57"/>
              <w:rPr>
                <w:rFonts w:ascii="Arial" w:eastAsia="Times New Roman" w:hAnsi="Arial" w:cs="Arial"/>
                <w:sz w:val="20"/>
                <w:szCs w:val="20"/>
                <w:lang w:eastAsia="en-AU"/>
              </w:rPr>
            </w:pPr>
            <w:r w:rsidRPr="00FF7A00">
              <w:rPr>
                <w:rFonts w:ascii="Arial" w:eastAsia="Times New Roman" w:hAnsi="Arial" w:cs="Arial"/>
                <w:sz w:val="20"/>
                <w:szCs w:val="20"/>
                <w:lang w:eastAsia="en-AU"/>
              </w:rPr>
              <w:t>Mechanical tricuspid or pulmonic valve</w:t>
            </w:r>
          </w:p>
          <w:p w14:paraId="22D78F3E" w14:textId="77777777" w:rsidR="00192520" w:rsidRPr="00FF7A00" w:rsidRDefault="00192520" w:rsidP="00192520">
            <w:pPr>
              <w:keepNext/>
              <w:spacing w:before="0" w:line="240" w:lineRule="auto"/>
              <w:ind w:left="3600" w:right="57"/>
              <w:rPr>
                <w:rFonts w:ascii="Arial" w:eastAsia="Times New Roman" w:hAnsi="Arial" w:cs="Arial"/>
                <w:sz w:val="20"/>
                <w:szCs w:val="20"/>
                <w:lang w:eastAsia="en-AU"/>
              </w:rPr>
            </w:pPr>
            <w:r w:rsidRPr="00FF7A00">
              <w:rPr>
                <w:rFonts w:ascii="Arial" w:eastAsia="Times New Roman" w:hAnsi="Arial" w:cs="Arial"/>
                <w:sz w:val="20"/>
                <w:szCs w:val="20"/>
                <w:lang w:eastAsia="en-AU"/>
              </w:rPr>
              <w:t>Right heart masses (thrombus or tumour)</w:t>
            </w:r>
          </w:p>
          <w:p w14:paraId="429F0A7A" w14:textId="77777777" w:rsidR="00192520" w:rsidRDefault="00192520" w:rsidP="00B835D2">
            <w:pPr>
              <w:spacing w:before="0" w:after="240" w:line="240" w:lineRule="auto"/>
              <w:ind w:left="3600" w:right="57"/>
              <w:rPr>
                <w:rFonts w:ascii="Arial" w:eastAsia="Times New Roman" w:hAnsi="Arial" w:cs="Arial"/>
                <w:sz w:val="20"/>
                <w:szCs w:val="20"/>
                <w:lang w:eastAsia="en-AU"/>
              </w:rPr>
            </w:pPr>
            <w:r w:rsidRPr="00FF7A00">
              <w:rPr>
                <w:rFonts w:ascii="Arial" w:eastAsia="Times New Roman" w:hAnsi="Arial" w:cs="Arial"/>
                <w:sz w:val="20"/>
                <w:szCs w:val="20"/>
                <w:lang w:eastAsia="en-AU"/>
              </w:rPr>
              <w:t>Right-sided endocarditis</w:t>
            </w:r>
          </w:p>
          <w:p w14:paraId="6A61B2B3" w14:textId="77777777" w:rsidR="00192520" w:rsidRDefault="00192520" w:rsidP="00192520">
            <w:pPr>
              <w:spacing w:before="0" w:line="240" w:lineRule="auto"/>
              <w:ind w:right="57" w:firstLine="140"/>
              <w:rPr>
                <w:rFonts w:ascii="Arial" w:eastAsia="Times New Roman" w:hAnsi="Arial" w:cs="Arial"/>
                <w:sz w:val="20"/>
                <w:szCs w:val="20"/>
                <w:lang w:eastAsia="en-AU"/>
              </w:rPr>
            </w:pPr>
            <w:r w:rsidRPr="00FF7A00">
              <w:rPr>
                <w:rFonts w:ascii="Arial" w:eastAsia="Times New Roman" w:hAnsi="Arial" w:cs="Arial"/>
                <w:sz w:val="20"/>
                <w:szCs w:val="20"/>
                <w:lang w:eastAsia="en-AU"/>
              </w:rPr>
              <w:t>Relative contraindications:</w:t>
            </w:r>
          </w:p>
          <w:p w14:paraId="411168B3" w14:textId="77777777" w:rsidR="00192520" w:rsidRPr="00FF7A00" w:rsidRDefault="00192520" w:rsidP="00192520">
            <w:pPr>
              <w:keepNext/>
              <w:spacing w:before="0" w:line="240" w:lineRule="auto"/>
              <w:ind w:left="3600" w:right="57"/>
              <w:rPr>
                <w:rFonts w:ascii="Arial" w:eastAsia="Times New Roman" w:hAnsi="Arial" w:cs="Arial"/>
                <w:sz w:val="20"/>
                <w:szCs w:val="20"/>
                <w:lang w:eastAsia="en-AU"/>
              </w:rPr>
            </w:pPr>
            <w:r w:rsidRPr="00FF7A00">
              <w:rPr>
                <w:rFonts w:ascii="Arial" w:eastAsia="Times New Roman" w:hAnsi="Arial" w:cs="Arial"/>
                <w:sz w:val="20"/>
                <w:szCs w:val="20"/>
                <w:lang w:eastAsia="en-AU"/>
              </w:rPr>
              <w:t>Coagulopathy</w:t>
            </w:r>
          </w:p>
          <w:p w14:paraId="53EA758A" w14:textId="77777777" w:rsidR="00192520" w:rsidRPr="00FF7A00" w:rsidRDefault="00192520" w:rsidP="00192520">
            <w:pPr>
              <w:keepNext/>
              <w:spacing w:before="0" w:line="240" w:lineRule="auto"/>
              <w:ind w:left="3600" w:right="57"/>
              <w:rPr>
                <w:rFonts w:ascii="Arial" w:eastAsia="Times New Roman" w:hAnsi="Arial" w:cs="Arial"/>
                <w:sz w:val="20"/>
                <w:szCs w:val="20"/>
                <w:lang w:eastAsia="en-AU"/>
              </w:rPr>
            </w:pPr>
            <w:r w:rsidRPr="00FF7A00">
              <w:rPr>
                <w:rFonts w:ascii="Arial" w:eastAsia="Times New Roman" w:hAnsi="Arial" w:cs="Arial"/>
                <w:sz w:val="20"/>
                <w:szCs w:val="20"/>
                <w:lang w:eastAsia="en-AU"/>
              </w:rPr>
              <w:t>Pacemaker</w:t>
            </w:r>
          </w:p>
          <w:p w14:paraId="64AC1928" w14:textId="77777777" w:rsidR="00192520" w:rsidRPr="00FF7A00" w:rsidRDefault="00192520" w:rsidP="00192520">
            <w:pPr>
              <w:keepNext/>
              <w:spacing w:before="0" w:line="240" w:lineRule="auto"/>
              <w:ind w:left="3600" w:right="57"/>
              <w:rPr>
                <w:rFonts w:ascii="Arial" w:eastAsia="Times New Roman" w:hAnsi="Arial" w:cs="Arial"/>
                <w:sz w:val="20"/>
                <w:szCs w:val="20"/>
                <w:lang w:eastAsia="en-AU"/>
              </w:rPr>
            </w:pPr>
            <w:proofErr w:type="spellStart"/>
            <w:r w:rsidRPr="00FF7A00">
              <w:rPr>
                <w:rFonts w:ascii="Arial" w:eastAsia="Times New Roman" w:hAnsi="Arial" w:cs="Arial"/>
                <w:sz w:val="20"/>
                <w:szCs w:val="20"/>
                <w:lang w:eastAsia="en-AU"/>
              </w:rPr>
              <w:t>Bioprosthetic</w:t>
            </w:r>
            <w:proofErr w:type="spellEnd"/>
            <w:r w:rsidRPr="00FF7A00">
              <w:rPr>
                <w:rFonts w:ascii="Arial" w:eastAsia="Times New Roman" w:hAnsi="Arial" w:cs="Arial"/>
                <w:sz w:val="20"/>
                <w:szCs w:val="20"/>
                <w:lang w:eastAsia="en-AU"/>
              </w:rPr>
              <w:t xml:space="preserve"> tricuspid or pulmonic valve</w:t>
            </w:r>
          </w:p>
          <w:p w14:paraId="394DEE32" w14:textId="77777777" w:rsidR="00192520" w:rsidRPr="00FF7A00" w:rsidRDefault="00192520" w:rsidP="00192520">
            <w:pPr>
              <w:keepNext/>
              <w:spacing w:before="0" w:line="240" w:lineRule="auto"/>
              <w:ind w:left="3600" w:right="57"/>
              <w:rPr>
                <w:rFonts w:ascii="Arial" w:eastAsia="Times New Roman" w:hAnsi="Arial" w:cs="Arial"/>
                <w:sz w:val="20"/>
                <w:szCs w:val="20"/>
                <w:lang w:eastAsia="en-AU"/>
              </w:rPr>
            </w:pPr>
            <w:r w:rsidRPr="00FF7A00">
              <w:rPr>
                <w:rFonts w:ascii="Arial" w:eastAsia="Times New Roman" w:hAnsi="Arial" w:cs="Arial"/>
                <w:sz w:val="20"/>
                <w:szCs w:val="20"/>
                <w:lang w:eastAsia="en-AU"/>
              </w:rPr>
              <w:t>Left bundle branch block</w:t>
            </w:r>
          </w:p>
          <w:p w14:paraId="7DB7C5C2" w14:textId="77777777" w:rsidR="00192520" w:rsidRPr="00FF7A00" w:rsidRDefault="00192520" w:rsidP="00192520">
            <w:pPr>
              <w:keepNext/>
              <w:spacing w:before="0" w:line="240" w:lineRule="auto"/>
              <w:ind w:left="3600" w:right="57"/>
              <w:rPr>
                <w:rFonts w:ascii="Arial" w:eastAsia="Times New Roman" w:hAnsi="Arial" w:cs="Arial"/>
                <w:sz w:val="20"/>
                <w:szCs w:val="20"/>
                <w:lang w:eastAsia="en-AU"/>
              </w:rPr>
            </w:pPr>
            <w:r w:rsidRPr="00FF7A00">
              <w:rPr>
                <w:rFonts w:ascii="Arial" w:eastAsia="Times New Roman" w:hAnsi="Arial" w:cs="Arial"/>
                <w:sz w:val="20"/>
                <w:szCs w:val="20"/>
                <w:lang w:eastAsia="en-AU"/>
              </w:rPr>
              <w:t>Arrhythmias</w:t>
            </w:r>
          </w:p>
          <w:p w14:paraId="0E2A9C44" w14:textId="77777777" w:rsidR="00192520" w:rsidRDefault="00192520" w:rsidP="00192520">
            <w:pPr>
              <w:spacing w:before="0" w:line="240" w:lineRule="auto"/>
              <w:ind w:left="3459" w:right="57" w:firstLine="83"/>
              <w:rPr>
                <w:rFonts w:ascii="Arial" w:eastAsia="Times New Roman" w:hAnsi="Arial" w:cs="Arial"/>
                <w:sz w:val="20"/>
                <w:szCs w:val="20"/>
                <w:lang w:eastAsia="en-AU"/>
              </w:rPr>
            </w:pPr>
            <w:r w:rsidRPr="00FF7A00">
              <w:rPr>
                <w:rFonts w:ascii="Arial" w:eastAsia="Times New Roman" w:hAnsi="Arial" w:cs="Arial"/>
                <w:sz w:val="20"/>
                <w:szCs w:val="20"/>
                <w:lang w:eastAsia="en-AU"/>
              </w:rPr>
              <w:t>Skin site infections</w:t>
            </w:r>
          </w:p>
          <w:p w14:paraId="13B988B0" w14:textId="77777777" w:rsidR="00054996" w:rsidRPr="00FF7A00" w:rsidRDefault="00054996" w:rsidP="00192520">
            <w:pPr>
              <w:spacing w:before="0" w:after="200" w:line="240" w:lineRule="auto"/>
              <w:ind w:right="57" w:firstLine="140"/>
              <w:contextualSpacing/>
              <w:rPr>
                <w:rFonts w:ascii="Arial" w:eastAsiaTheme="minorEastAsia" w:hAnsi="Arial" w:cs="Arial"/>
                <w:sz w:val="20"/>
                <w:szCs w:val="20"/>
                <w:lang w:eastAsia="en-AU"/>
              </w:rPr>
            </w:pPr>
            <w:r w:rsidRPr="00FF7A00">
              <w:rPr>
                <w:rFonts w:ascii="Arial" w:eastAsiaTheme="minorEastAsia" w:hAnsi="Arial" w:cs="Arial"/>
                <w:sz w:val="20"/>
                <w:szCs w:val="20"/>
                <w:lang w:eastAsia="en-AU"/>
              </w:rPr>
              <w:t xml:space="preserve">Source: </w:t>
            </w:r>
            <w:proofErr w:type="spellStart"/>
            <w:r w:rsidRPr="00FF7A00">
              <w:rPr>
                <w:rFonts w:ascii="Arial" w:eastAsiaTheme="minorEastAsia" w:hAnsi="Arial" w:cs="Arial"/>
                <w:sz w:val="20"/>
                <w:szCs w:val="20"/>
                <w:lang w:eastAsia="en-AU"/>
              </w:rPr>
              <w:t>Rosenkranz</w:t>
            </w:r>
            <w:proofErr w:type="spellEnd"/>
            <w:r w:rsidRPr="00FF7A00">
              <w:rPr>
                <w:rFonts w:ascii="Arial" w:eastAsiaTheme="minorEastAsia" w:hAnsi="Arial" w:cs="Arial"/>
                <w:i/>
                <w:sz w:val="20"/>
                <w:szCs w:val="20"/>
                <w:lang w:eastAsia="en-AU"/>
              </w:rPr>
              <w:t xml:space="preserve"> et al</w:t>
            </w:r>
            <w:r w:rsidRPr="00FF7A00">
              <w:rPr>
                <w:rFonts w:ascii="Arial" w:eastAsiaTheme="minorEastAsia" w:hAnsi="Arial" w:cs="Arial"/>
                <w:sz w:val="20"/>
                <w:szCs w:val="20"/>
                <w:lang w:eastAsia="en-AU"/>
              </w:rPr>
              <w:t xml:space="preserve"> 2015</w:t>
            </w:r>
            <w:r w:rsidR="009C556B" w:rsidRPr="009C556B">
              <w:rPr>
                <w:rFonts w:ascii="Arial" w:eastAsiaTheme="minorEastAsia" w:hAnsi="Arial" w:cs="Arial"/>
                <w:noProof/>
                <w:sz w:val="20"/>
                <w:szCs w:val="20"/>
                <w:vertAlign w:val="superscript"/>
                <w:lang w:eastAsia="en-AU"/>
              </w:rPr>
              <w:t>31</w:t>
            </w:r>
          </w:p>
        </w:tc>
      </w:tr>
      <w:tr w:rsidR="00054996" w:rsidRPr="00FF7A00" w14:paraId="39C1655B" w14:textId="77777777" w:rsidTr="00FF7A00">
        <w:tc>
          <w:tcPr>
            <w:tcW w:w="662" w:type="pct"/>
            <w:shd w:val="clear" w:color="auto" w:fill="FFFFFF" w:themeFill="background1"/>
          </w:tcPr>
          <w:p w14:paraId="36C959ED" w14:textId="77777777" w:rsidR="00054996" w:rsidRPr="00FF7A00" w:rsidRDefault="00054996" w:rsidP="00FF7A00">
            <w:pPr>
              <w:spacing w:before="0" w:line="240" w:lineRule="auto"/>
              <w:ind w:left="147" w:right="57"/>
              <w:rPr>
                <w:rFonts w:ascii="Arial" w:hAnsi="Arial" w:cs="Arial"/>
                <w:sz w:val="20"/>
                <w:szCs w:val="20"/>
              </w:rPr>
            </w:pPr>
            <w:r w:rsidRPr="00FF7A00">
              <w:rPr>
                <w:rFonts w:ascii="Arial" w:hAnsi="Arial" w:cs="Arial"/>
                <w:sz w:val="20"/>
                <w:szCs w:val="20"/>
              </w:rPr>
              <w:t>Parameters for RHC</w:t>
            </w:r>
          </w:p>
        </w:tc>
        <w:tc>
          <w:tcPr>
            <w:tcW w:w="4338" w:type="pct"/>
            <w:shd w:val="clear" w:color="auto" w:fill="FFFFFF" w:themeFill="background1"/>
          </w:tcPr>
          <w:p w14:paraId="658BA838" w14:textId="77777777" w:rsidR="00054996" w:rsidRPr="00FF7A00" w:rsidRDefault="00054996" w:rsidP="0055334C">
            <w:pPr>
              <w:spacing w:before="0" w:line="240" w:lineRule="auto"/>
              <w:ind w:left="141" w:right="57"/>
              <w:rPr>
                <w:rFonts w:ascii="Arial" w:hAnsi="Arial" w:cs="Arial"/>
                <w:sz w:val="20"/>
                <w:szCs w:val="20"/>
              </w:rPr>
            </w:pPr>
            <w:r w:rsidRPr="00FF7A00">
              <w:rPr>
                <w:rFonts w:ascii="Arial" w:hAnsi="Arial" w:cs="Arial"/>
                <w:sz w:val="20"/>
                <w:szCs w:val="20"/>
              </w:rPr>
              <w:t>For diagnosis of PAH, RHC should include measurement of cardiac output, mixed venous oxygen saturation (SvO</w:t>
            </w:r>
            <w:r w:rsidRPr="002614AE">
              <w:rPr>
                <w:rFonts w:ascii="Arial" w:hAnsi="Arial" w:cs="Arial"/>
                <w:sz w:val="20"/>
                <w:szCs w:val="20"/>
                <w:vertAlign w:val="subscript"/>
              </w:rPr>
              <w:t>2</w:t>
            </w:r>
            <w:r w:rsidRPr="00FF7A00">
              <w:rPr>
                <w:rFonts w:ascii="Arial" w:hAnsi="Arial" w:cs="Arial"/>
                <w:sz w:val="20"/>
                <w:szCs w:val="20"/>
              </w:rPr>
              <w:t xml:space="preserve">), PAP, PAWP, RAP and right ventricular pressure. Parameters calculated from these measurements include the </w:t>
            </w:r>
            <w:proofErr w:type="spellStart"/>
            <w:r w:rsidRPr="00FF7A00">
              <w:rPr>
                <w:rFonts w:ascii="Arial" w:hAnsi="Arial" w:cs="Arial"/>
                <w:sz w:val="20"/>
                <w:szCs w:val="20"/>
              </w:rPr>
              <w:t>transpulmonary</w:t>
            </w:r>
            <w:proofErr w:type="spellEnd"/>
            <w:r w:rsidRPr="00FF7A00">
              <w:rPr>
                <w:rFonts w:ascii="Arial" w:hAnsi="Arial" w:cs="Arial"/>
                <w:sz w:val="20"/>
                <w:szCs w:val="20"/>
              </w:rPr>
              <w:t xml:space="preserve"> pressure gradient, diastolic pressure gradient,</w:t>
            </w:r>
            <w:r w:rsidR="00631656" w:rsidRPr="00FF7A00">
              <w:rPr>
                <w:rFonts w:ascii="Arial" w:hAnsi="Arial" w:cs="Arial"/>
                <w:sz w:val="20"/>
                <w:szCs w:val="20"/>
              </w:rPr>
              <w:t xml:space="preserve"> </w:t>
            </w:r>
            <w:r w:rsidRPr="00FF7A00">
              <w:rPr>
                <w:rFonts w:ascii="Arial" w:hAnsi="Arial" w:cs="Arial"/>
                <w:sz w:val="20"/>
                <w:szCs w:val="20"/>
              </w:rPr>
              <w:t>PVR and cardiac index</w:t>
            </w:r>
            <w:r w:rsidR="009C556B" w:rsidRPr="009C556B">
              <w:rPr>
                <w:rFonts w:ascii="Arial" w:hAnsi="Arial" w:cs="Arial"/>
                <w:noProof/>
                <w:sz w:val="20"/>
                <w:szCs w:val="20"/>
                <w:vertAlign w:val="superscript"/>
              </w:rPr>
              <w:t>24, 31</w:t>
            </w:r>
            <w:r w:rsidRPr="00FF7A00">
              <w:rPr>
                <w:rFonts w:ascii="Arial" w:hAnsi="Arial" w:cs="Arial"/>
                <w:sz w:val="20"/>
                <w:szCs w:val="20"/>
              </w:rPr>
              <w:t>.</w:t>
            </w:r>
          </w:p>
        </w:tc>
      </w:tr>
      <w:tr w:rsidR="00054996" w:rsidRPr="00FF7A00" w14:paraId="5E87A6DE" w14:textId="77777777" w:rsidTr="00FF7A00">
        <w:tc>
          <w:tcPr>
            <w:tcW w:w="662" w:type="pct"/>
            <w:shd w:val="clear" w:color="auto" w:fill="FFFFFF" w:themeFill="background1"/>
          </w:tcPr>
          <w:p w14:paraId="4B5A14F2" w14:textId="77777777" w:rsidR="00054996" w:rsidRPr="00FF7A00" w:rsidRDefault="00054996" w:rsidP="00FF7A00">
            <w:pPr>
              <w:spacing w:before="0" w:line="240" w:lineRule="auto"/>
              <w:ind w:left="147" w:right="57"/>
              <w:rPr>
                <w:rFonts w:ascii="Arial" w:hAnsi="Arial" w:cs="Arial"/>
                <w:sz w:val="20"/>
                <w:szCs w:val="20"/>
              </w:rPr>
            </w:pPr>
            <w:r w:rsidRPr="00FF7A00">
              <w:rPr>
                <w:rFonts w:ascii="Arial" w:hAnsi="Arial" w:cs="Arial"/>
                <w:sz w:val="20"/>
                <w:szCs w:val="20"/>
              </w:rPr>
              <w:t>Safety of RHC</w:t>
            </w:r>
          </w:p>
        </w:tc>
        <w:tc>
          <w:tcPr>
            <w:tcW w:w="4338" w:type="pct"/>
            <w:shd w:val="clear" w:color="auto" w:fill="FFFFFF" w:themeFill="background1"/>
          </w:tcPr>
          <w:p w14:paraId="59E26D4A" w14:textId="77777777" w:rsidR="00054996" w:rsidRPr="00FF7A00" w:rsidRDefault="00054996" w:rsidP="008F6AA4">
            <w:pPr>
              <w:spacing w:before="0" w:line="240" w:lineRule="auto"/>
              <w:ind w:left="141" w:right="57"/>
              <w:rPr>
                <w:rFonts w:ascii="Arial" w:hAnsi="Arial" w:cs="Arial"/>
                <w:sz w:val="20"/>
                <w:szCs w:val="20"/>
              </w:rPr>
            </w:pPr>
            <w:r w:rsidRPr="00FF7A00">
              <w:rPr>
                <w:rFonts w:ascii="Arial" w:hAnsi="Arial" w:cs="Arial"/>
                <w:sz w:val="20"/>
                <w:szCs w:val="20"/>
              </w:rPr>
              <w:t xml:space="preserve">The </w:t>
            </w:r>
            <w:r w:rsidR="008F6AA4">
              <w:rPr>
                <w:rFonts w:ascii="Arial" w:hAnsi="Arial" w:cs="Arial"/>
                <w:sz w:val="20"/>
                <w:szCs w:val="20"/>
              </w:rPr>
              <w:t>2015 ESC/ERS Guidelines</w:t>
            </w:r>
            <w:r w:rsidR="009C556B" w:rsidRPr="00FF7A00">
              <w:rPr>
                <w:rFonts w:ascii="Arial" w:hAnsi="Arial" w:cs="Arial"/>
                <w:noProof/>
                <w:sz w:val="20"/>
                <w:szCs w:val="20"/>
                <w:vertAlign w:val="superscript"/>
              </w:rPr>
              <w:t>8</w:t>
            </w:r>
            <w:r w:rsidRPr="00FF7A00">
              <w:rPr>
                <w:rFonts w:ascii="Arial" w:hAnsi="Arial" w:cs="Arial"/>
                <w:sz w:val="20"/>
                <w:szCs w:val="20"/>
              </w:rPr>
              <w:t xml:space="preserve"> </w:t>
            </w:r>
            <w:proofErr w:type="gramStart"/>
            <w:r w:rsidRPr="00FF7A00">
              <w:rPr>
                <w:rFonts w:ascii="Arial" w:hAnsi="Arial" w:cs="Arial"/>
                <w:sz w:val="20"/>
                <w:szCs w:val="20"/>
              </w:rPr>
              <w:t>observe that</w:t>
            </w:r>
            <w:proofErr w:type="gramEnd"/>
            <w:r w:rsidR="00C40AC4" w:rsidRPr="00FF7A00">
              <w:rPr>
                <w:rFonts w:ascii="Arial" w:hAnsi="Arial" w:cs="Arial"/>
                <w:sz w:val="20"/>
                <w:szCs w:val="20"/>
              </w:rPr>
              <w:t xml:space="preserve"> </w:t>
            </w:r>
            <w:r w:rsidRPr="00FF7A00">
              <w:rPr>
                <w:rFonts w:ascii="Arial" w:hAnsi="Arial" w:cs="Arial"/>
                <w:i/>
                <w:sz w:val="20"/>
                <w:szCs w:val="20"/>
              </w:rPr>
              <w:t xml:space="preserve">“when performed at expert centres, [RHC] should have low morbidity (1.1%) and mortality (0.055%) rates.” </w:t>
            </w:r>
            <w:r w:rsidRPr="00FF7A00">
              <w:rPr>
                <w:rFonts w:ascii="Arial" w:hAnsi="Arial" w:cs="Arial"/>
                <w:sz w:val="20"/>
                <w:szCs w:val="20"/>
              </w:rPr>
              <w:t>On the other hand, with inexpert administration, balloon inflation can result in ruptured pulmonary arteries</w:t>
            </w:r>
            <w:r w:rsidR="009C556B" w:rsidRPr="009C556B">
              <w:rPr>
                <w:rFonts w:ascii="Arial" w:hAnsi="Arial" w:cs="Arial"/>
                <w:noProof/>
                <w:sz w:val="20"/>
                <w:szCs w:val="20"/>
                <w:vertAlign w:val="superscript"/>
              </w:rPr>
              <w:t>24</w:t>
            </w:r>
            <w:r w:rsidRPr="00FF7A00">
              <w:rPr>
                <w:rFonts w:ascii="Arial" w:hAnsi="Arial" w:cs="Arial"/>
                <w:sz w:val="20"/>
                <w:szCs w:val="20"/>
              </w:rPr>
              <w:t xml:space="preserve">. </w:t>
            </w:r>
          </w:p>
        </w:tc>
      </w:tr>
      <w:tr w:rsidR="00054996" w:rsidRPr="00FF7A00" w14:paraId="536C7045" w14:textId="77777777" w:rsidTr="00FF7A00">
        <w:tc>
          <w:tcPr>
            <w:tcW w:w="662" w:type="pct"/>
            <w:shd w:val="clear" w:color="auto" w:fill="FFFFFF" w:themeFill="background1"/>
          </w:tcPr>
          <w:p w14:paraId="15197D93" w14:textId="77777777" w:rsidR="00054996" w:rsidRPr="00FF7A00" w:rsidRDefault="00054996" w:rsidP="00FF7A00">
            <w:pPr>
              <w:spacing w:before="0" w:line="240" w:lineRule="auto"/>
              <w:ind w:left="147" w:right="57"/>
              <w:rPr>
                <w:rFonts w:ascii="Arial" w:hAnsi="Arial" w:cs="Arial"/>
                <w:sz w:val="20"/>
                <w:szCs w:val="20"/>
              </w:rPr>
            </w:pPr>
            <w:r w:rsidRPr="00FF7A00">
              <w:rPr>
                <w:rFonts w:ascii="Arial" w:hAnsi="Arial" w:cs="Arial"/>
                <w:sz w:val="20"/>
                <w:szCs w:val="20"/>
              </w:rPr>
              <w:t>RHC in children</w:t>
            </w:r>
          </w:p>
        </w:tc>
        <w:tc>
          <w:tcPr>
            <w:tcW w:w="4338" w:type="pct"/>
            <w:shd w:val="clear" w:color="auto" w:fill="FFFFFF" w:themeFill="background1"/>
          </w:tcPr>
          <w:p w14:paraId="0DF32B99" w14:textId="77777777" w:rsidR="00054996" w:rsidRPr="00FF7A00" w:rsidRDefault="00054996" w:rsidP="00FF7A00">
            <w:pPr>
              <w:spacing w:before="0" w:line="240" w:lineRule="auto"/>
              <w:ind w:left="141" w:right="57"/>
              <w:rPr>
                <w:rFonts w:ascii="Arial" w:hAnsi="Arial" w:cs="Arial"/>
                <w:sz w:val="20"/>
                <w:szCs w:val="20"/>
              </w:rPr>
            </w:pPr>
            <w:r w:rsidRPr="00FF7A00">
              <w:rPr>
                <w:rFonts w:ascii="Arial" w:hAnsi="Arial" w:cs="Arial"/>
                <w:sz w:val="20"/>
                <w:szCs w:val="20"/>
              </w:rPr>
              <w:t>RHC requires general anaesthesia or conscious sedation in most children under 15 years</w:t>
            </w:r>
            <w:r w:rsidR="009C556B" w:rsidRPr="009C556B">
              <w:rPr>
                <w:rFonts w:ascii="Arial" w:hAnsi="Arial" w:cs="Arial"/>
                <w:noProof/>
                <w:sz w:val="20"/>
                <w:szCs w:val="20"/>
                <w:vertAlign w:val="superscript"/>
              </w:rPr>
              <w:t>22</w:t>
            </w:r>
            <w:r w:rsidRPr="00FF7A00">
              <w:rPr>
                <w:rFonts w:ascii="Arial" w:hAnsi="Arial" w:cs="Arial"/>
                <w:sz w:val="20"/>
                <w:szCs w:val="20"/>
              </w:rPr>
              <w:t xml:space="preserve">. </w:t>
            </w:r>
          </w:p>
          <w:p w14:paraId="44DC5317" w14:textId="77777777" w:rsidR="00364153" w:rsidRPr="00FF7A00" w:rsidRDefault="00364153" w:rsidP="009C556B">
            <w:pPr>
              <w:spacing w:before="0" w:line="240" w:lineRule="auto"/>
              <w:ind w:left="141" w:right="57"/>
              <w:rPr>
                <w:rFonts w:ascii="Arial" w:hAnsi="Arial" w:cs="Arial"/>
                <w:i/>
                <w:sz w:val="20"/>
                <w:szCs w:val="20"/>
              </w:rPr>
            </w:pPr>
            <w:r w:rsidRPr="00FF7A00">
              <w:rPr>
                <w:rFonts w:ascii="Arial" w:hAnsi="Arial" w:cs="Arial"/>
                <w:i/>
                <w:sz w:val="20"/>
                <w:szCs w:val="20"/>
              </w:rPr>
              <w:t>[S]</w:t>
            </w:r>
            <w:proofErr w:type="spellStart"/>
            <w:r w:rsidRPr="00FF7A00">
              <w:rPr>
                <w:rFonts w:ascii="Arial" w:hAnsi="Arial" w:cs="Arial"/>
                <w:i/>
                <w:sz w:val="20"/>
                <w:szCs w:val="20"/>
              </w:rPr>
              <w:t>erial</w:t>
            </w:r>
            <w:proofErr w:type="spellEnd"/>
            <w:r w:rsidRPr="00FF7A00">
              <w:rPr>
                <w:rFonts w:ascii="Arial" w:hAnsi="Arial" w:cs="Arial"/>
                <w:i/>
                <w:sz w:val="20"/>
                <w:szCs w:val="20"/>
              </w:rPr>
              <w:t xml:space="preserve"> echocardiography and serial RHC </w:t>
            </w:r>
            <w:proofErr w:type="gramStart"/>
            <w:r w:rsidRPr="00FF7A00">
              <w:rPr>
                <w:rFonts w:ascii="Arial" w:hAnsi="Arial" w:cs="Arial"/>
                <w:i/>
                <w:sz w:val="20"/>
                <w:szCs w:val="20"/>
              </w:rPr>
              <w:t>are […] indicated</w:t>
            </w:r>
            <w:proofErr w:type="gramEnd"/>
            <w:r w:rsidRPr="00FF7A00">
              <w:rPr>
                <w:rFonts w:ascii="Arial" w:hAnsi="Arial" w:cs="Arial"/>
                <w:i/>
                <w:sz w:val="20"/>
                <w:szCs w:val="20"/>
              </w:rPr>
              <w:t xml:space="preserve"> as they are in adults to monitor initial response and potentially on clinical worsening to look for evidence of right heart deterioration</w:t>
            </w:r>
            <w:r w:rsidR="009C556B" w:rsidRPr="009C556B">
              <w:rPr>
                <w:rFonts w:ascii="Arial" w:hAnsi="Arial" w:cs="Arial"/>
                <w:i/>
                <w:noProof/>
                <w:sz w:val="20"/>
                <w:szCs w:val="20"/>
                <w:vertAlign w:val="superscript"/>
              </w:rPr>
              <w:t>22</w:t>
            </w:r>
            <w:r w:rsidR="00433046">
              <w:rPr>
                <w:rFonts w:ascii="Arial" w:hAnsi="Arial" w:cs="Arial"/>
                <w:i/>
                <w:sz w:val="20"/>
                <w:szCs w:val="20"/>
              </w:rPr>
              <w:t>.</w:t>
            </w:r>
          </w:p>
        </w:tc>
      </w:tr>
      <w:tr w:rsidR="00054996" w:rsidRPr="00FF7A00" w14:paraId="069AC766" w14:textId="77777777" w:rsidTr="00FF7A00">
        <w:tc>
          <w:tcPr>
            <w:tcW w:w="5000" w:type="pct"/>
            <w:gridSpan w:val="2"/>
            <w:shd w:val="clear" w:color="auto" w:fill="FFFFFF" w:themeFill="background1"/>
          </w:tcPr>
          <w:p w14:paraId="021BFBE2" w14:textId="77777777" w:rsidR="00054996" w:rsidRPr="00FF7A00" w:rsidRDefault="00054996" w:rsidP="00FF7A00">
            <w:pPr>
              <w:spacing w:before="0" w:line="240" w:lineRule="auto"/>
              <w:ind w:left="141" w:right="57"/>
              <w:rPr>
                <w:rFonts w:ascii="Arial" w:hAnsi="Arial" w:cs="Arial"/>
                <w:b/>
                <w:sz w:val="20"/>
                <w:szCs w:val="20"/>
              </w:rPr>
            </w:pPr>
            <w:r w:rsidRPr="00FF7A00">
              <w:rPr>
                <w:rFonts w:ascii="Arial" w:hAnsi="Arial" w:cs="Arial"/>
                <w:b/>
                <w:sz w:val="20"/>
                <w:szCs w:val="20"/>
              </w:rPr>
              <w:t>Echocardiography</w:t>
            </w:r>
          </w:p>
        </w:tc>
      </w:tr>
      <w:tr w:rsidR="00054996" w:rsidRPr="00FF7A00" w14:paraId="37353D4E" w14:textId="77777777" w:rsidTr="00FF7A00">
        <w:tc>
          <w:tcPr>
            <w:tcW w:w="662" w:type="pct"/>
            <w:shd w:val="clear" w:color="auto" w:fill="FFFFFF" w:themeFill="background1"/>
          </w:tcPr>
          <w:p w14:paraId="7AE053AB" w14:textId="77777777" w:rsidR="00054996" w:rsidRPr="00FF7A00" w:rsidRDefault="00054996" w:rsidP="00FF7A00">
            <w:pPr>
              <w:spacing w:before="0" w:line="240" w:lineRule="auto"/>
              <w:ind w:left="147" w:right="57"/>
              <w:rPr>
                <w:rFonts w:ascii="Arial" w:hAnsi="Arial" w:cs="Arial"/>
                <w:sz w:val="20"/>
                <w:szCs w:val="20"/>
              </w:rPr>
            </w:pPr>
            <w:r w:rsidRPr="00FF7A00">
              <w:rPr>
                <w:rFonts w:ascii="Arial" w:hAnsi="Arial" w:cs="Arial"/>
                <w:sz w:val="20"/>
                <w:szCs w:val="20"/>
              </w:rPr>
              <w:t>Methodology/ equipment</w:t>
            </w:r>
          </w:p>
        </w:tc>
        <w:tc>
          <w:tcPr>
            <w:tcW w:w="4338" w:type="pct"/>
            <w:shd w:val="clear" w:color="auto" w:fill="FFFFFF" w:themeFill="background1"/>
          </w:tcPr>
          <w:p w14:paraId="0AF6C020" w14:textId="77777777" w:rsidR="00054996" w:rsidRPr="00FF7A00" w:rsidRDefault="00054996" w:rsidP="009C556B">
            <w:pPr>
              <w:spacing w:before="0" w:line="240" w:lineRule="auto"/>
              <w:ind w:left="141" w:right="57"/>
              <w:rPr>
                <w:rFonts w:ascii="Arial" w:hAnsi="Arial" w:cs="Arial"/>
                <w:sz w:val="20"/>
                <w:szCs w:val="20"/>
              </w:rPr>
            </w:pPr>
            <w:r w:rsidRPr="00FF7A00">
              <w:rPr>
                <w:rFonts w:ascii="Arial" w:hAnsi="Arial" w:cs="Arial"/>
                <w:sz w:val="20"/>
                <w:szCs w:val="20"/>
              </w:rPr>
              <w:t xml:space="preserve">Specifically, continuous wave Doppler transthoracic echocardiography </w:t>
            </w:r>
            <w:proofErr w:type="gramStart"/>
            <w:r w:rsidRPr="00FF7A00">
              <w:rPr>
                <w:rFonts w:ascii="Arial" w:hAnsi="Arial" w:cs="Arial"/>
                <w:sz w:val="20"/>
                <w:szCs w:val="20"/>
              </w:rPr>
              <w:t>should be performed</w:t>
            </w:r>
            <w:proofErr w:type="gramEnd"/>
            <w:r w:rsidRPr="00FF7A00">
              <w:rPr>
                <w:rFonts w:ascii="Arial" w:hAnsi="Arial" w:cs="Arial"/>
                <w:sz w:val="20"/>
                <w:szCs w:val="20"/>
              </w:rPr>
              <w:t xml:space="preserve">, conducted in a patient at rest in line with current guidance on cardiac imaging. Either 2D or 3D methods </w:t>
            </w:r>
            <w:proofErr w:type="gramStart"/>
            <w:r w:rsidRPr="00FF7A00">
              <w:rPr>
                <w:rFonts w:ascii="Arial" w:hAnsi="Arial" w:cs="Arial"/>
                <w:sz w:val="20"/>
                <w:szCs w:val="20"/>
              </w:rPr>
              <w:t>can be used</w:t>
            </w:r>
            <w:proofErr w:type="gramEnd"/>
            <w:r w:rsidRPr="00FF7A00">
              <w:rPr>
                <w:rFonts w:ascii="Arial" w:hAnsi="Arial" w:cs="Arial"/>
                <w:sz w:val="20"/>
                <w:szCs w:val="20"/>
              </w:rPr>
              <w:t>, though 3D is superior in evaluation of right ventricular volumes and ejection fraction according to the American College of Radiology PAH imaging guidance</w:t>
            </w:r>
            <w:r w:rsidR="009C556B" w:rsidRPr="009C556B">
              <w:rPr>
                <w:rFonts w:ascii="Arial" w:hAnsi="Arial" w:cs="Arial"/>
                <w:noProof/>
                <w:sz w:val="20"/>
                <w:szCs w:val="20"/>
                <w:vertAlign w:val="superscript"/>
              </w:rPr>
              <w:t>21</w:t>
            </w:r>
            <w:r w:rsidR="00433046">
              <w:rPr>
                <w:rFonts w:ascii="Arial" w:hAnsi="Arial" w:cs="Arial"/>
                <w:sz w:val="20"/>
                <w:szCs w:val="20"/>
              </w:rPr>
              <w:t>.</w:t>
            </w:r>
          </w:p>
        </w:tc>
      </w:tr>
      <w:tr w:rsidR="00054996" w:rsidRPr="00FF7A00" w14:paraId="6ECA423D" w14:textId="77777777" w:rsidTr="00FF7A00">
        <w:tc>
          <w:tcPr>
            <w:tcW w:w="662" w:type="pct"/>
            <w:shd w:val="clear" w:color="auto" w:fill="FFFFFF" w:themeFill="background1"/>
          </w:tcPr>
          <w:p w14:paraId="107D9D39" w14:textId="77777777" w:rsidR="00054996" w:rsidRPr="00FF7A00" w:rsidRDefault="00054996" w:rsidP="00FF7A00">
            <w:pPr>
              <w:spacing w:before="0" w:line="240" w:lineRule="auto"/>
              <w:ind w:left="147" w:right="57"/>
              <w:rPr>
                <w:rFonts w:ascii="Arial" w:hAnsi="Arial" w:cs="Arial"/>
                <w:sz w:val="20"/>
                <w:szCs w:val="20"/>
              </w:rPr>
            </w:pPr>
            <w:r w:rsidRPr="00FF7A00">
              <w:rPr>
                <w:rFonts w:ascii="Arial" w:hAnsi="Arial" w:cs="Arial"/>
                <w:sz w:val="20"/>
                <w:szCs w:val="20"/>
              </w:rPr>
              <w:lastRenderedPageBreak/>
              <w:t>Indication</w:t>
            </w:r>
          </w:p>
        </w:tc>
        <w:tc>
          <w:tcPr>
            <w:tcW w:w="4338" w:type="pct"/>
            <w:shd w:val="clear" w:color="auto" w:fill="FFFFFF" w:themeFill="background1"/>
          </w:tcPr>
          <w:p w14:paraId="3E055CEA" w14:textId="77777777" w:rsidR="00054996" w:rsidRPr="00FF7A00" w:rsidRDefault="00054996" w:rsidP="008F6AA4">
            <w:pPr>
              <w:spacing w:before="0" w:line="240" w:lineRule="auto"/>
              <w:ind w:left="141" w:right="57"/>
              <w:rPr>
                <w:rFonts w:ascii="Arial" w:hAnsi="Arial" w:cs="Arial"/>
                <w:sz w:val="20"/>
                <w:szCs w:val="20"/>
              </w:rPr>
            </w:pPr>
            <w:r w:rsidRPr="00FF7A00">
              <w:rPr>
                <w:rFonts w:ascii="Arial" w:hAnsi="Arial" w:cs="Arial"/>
                <w:sz w:val="20"/>
                <w:szCs w:val="20"/>
              </w:rPr>
              <w:t xml:space="preserve">The </w:t>
            </w:r>
            <w:r w:rsidR="008F6AA4">
              <w:rPr>
                <w:rFonts w:ascii="Arial" w:hAnsi="Arial" w:cs="Arial"/>
                <w:sz w:val="20"/>
                <w:szCs w:val="20"/>
              </w:rPr>
              <w:t>2015 ESC/ERS Guidelines</w:t>
            </w:r>
            <w:r w:rsidRPr="00FF7A00">
              <w:rPr>
                <w:rFonts w:ascii="Arial" w:hAnsi="Arial" w:cs="Arial"/>
                <w:sz w:val="20"/>
                <w:szCs w:val="20"/>
              </w:rPr>
              <w:t xml:space="preserve"> state</w:t>
            </w:r>
            <w:r w:rsidR="009C556B" w:rsidRPr="00FF7A00">
              <w:rPr>
                <w:rFonts w:ascii="Arial" w:hAnsi="Arial" w:cs="Arial"/>
                <w:noProof/>
                <w:sz w:val="20"/>
                <w:szCs w:val="20"/>
                <w:vertAlign w:val="superscript"/>
              </w:rPr>
              <w:t>8</w:t>
            </w:r>
            <w:r w:rsidRPr="00FF7A00">
              <w:rPr>
                <w:rFonts w:ascii="Arial" w:hAnsi="Arial" w:cs="Arial"/>
                <w:sz w:val="20"/>
                <w:szCs w:val="20"/>
              </w:rPr>
              <w:t xml:space="preserve"> </w:t>
            </w:r>
            <w:r w:rsidRPr="00FF7A00">
              <w:rPr>
                <w:rFonts w:ascii="Arial" w:hAnsi="Arial" w:cs="Arial"/>
                <w:i/>
                <w:sz w:val="20"/>
                <w:szCs w:val="20"/>
              </w:rPr>
              <w:t>“Echocardiography should always be performed when PAH is suspected. […] When treatment of PAH itself is being considered, echocardiography alone is not sufficient to support a treatment decision and cardiac catheterization is required.”</w:t>
            </w:r>
          </w:p>
        </w:tc>
      </w:tr>
      <w:tr w:rsidR="00054996" w:rsidRPr="00FF7A00" w14:paraId="6B959446" w14:textId="77777777" w:rsidTr="00FF7A00">
        <w:tc>
          <w:tcPr>
            <w:tcW w:w="662" w:type="pct"/>
            <w:shd w:val="clear" w:color="auto" w:fill="FFFFFF" w:themeFill="background1"/>
          </w:tcPr>
          <w:p w14:paraId="605C1811" w14:textId="77777777" w:rsidR="00054996" w:rsidRPr="00FF7A00" w:rsidRDefault="00054996" w:rsidP="00FF7A00">
            <w:pPr>
              <w:spacing w:before="0" w:line="240" w:lineRule="auto"/>
              <w:ind w:left="147" w:right="57"/>
              <w:rPr>
                <w:rFonts w:ascii="Arial" w:hAnsi="Arial" w:cs="Arial"/>
                <w:sz w:val="20"/>
                <w:szCs w:val="20"/>
              </w:rPr>
            </w:pPr>
            <w:r w:rsidRPr="00FF7A00">
              <w:rPr>
                <w:rFonts w:ascii="Arial" w:hAnsi="Arial" w:cs="Arial"/>
                <w:sz w:val="20"/>
                <w:szCs w:val="20"/>
              </w:rPr>
              <w:t>Key parameter – Tricuspid Regurgitation Velocity (TRV)</w:t>
            </w:r>
          </w:p>
        </w:tc>
        <w:tc>
          <w:tcPr>
            <w:tcW w:w="4338" w:type="pct"/>
            <w:shd w:val="clear" w:color="auto" w:fill="FFFFFF" w:themeFill="background1"/>
          </w:tcPr>
          <w:p w14:paraId="48143265" w14:textId="77777777" w:rsidR="00054996" w:rsidRPr="00FF7A00" w:rsidRDefault="00054996" w:rsidP="00FF7A00">
            <w:pPr>
              <w:spacing w:before="0" w:line="240" w:lineRule="auto"/>
              <w:ind w:left="141" w:right="57"/>
              <w:rPr>
                <w:rFonts w:ascii="Arial" w:hAnsi="Arial" w:cs="Arial"/>
                <w:sz w:val="20"/>
                <w:szCs w:val="20"/>
              </w:rPr>
            </w:pPr>
            <w:r w:rsidRPr="00FF7A00">
              <w:rPr>
                <w:rFonts w:ascii="Arial" w:hAnsi="Arial" w:cs="Arial"/>
                <w:sz w:val="20"/>
                <w:szCs w:val="20"/>
              </w:rPr>
              <w:t>PAH is likely if TRV is ≥2.9ms−1 and additional echocardiographic variables suggestive of PH are present, or if TRV is ≥3.4 m·s−1 with no other signs</w:t>
            </w:r>
            <w:r w:rsidR="009C556B" w:rsidRPr="00FF7A00">
              <w:rPr>
                <w:rFonts w:ascii="Arial" w:hAnsi="Arial" w:cs="Arial"/>
                <w:noProof/>
                <w:sz w:val="20"/>
                <w:szCs w:val="20"/>
                <w:vertAlign w:val="superscript"/>
              </w:rPr>
              <w:t>8</w:t>
            </w:r>
            <w:r w:rsidRPr="00FF7A00">
              <w:rPr>
                <w:rFonts w:ascii="Arial" w:hAnsi="Arial" w:cs="Arial"/>
                <w:sz w:val="20"/>
                <w:szCs w:val="20"/>
              </w:rPr>
              <w:t xml:space="preserve">; described in more detail in </w:t>
            </w:r>
            <w:proofErr w:type="spellStart"/>
            <w:r w:rsidRPr="00FF7A00">
              <w:rPr>
                <w:rFonts w:ascii="Arial" w:hAnsi="Arial" w:cs="Arial"/>
                <w:sz w:val="20"/>
                <w:szCs w:val="20"/>
              </w:rPr>
              <w:t>Grunig</w:t>
            </w:r>
            <w:proofErr w:type="spellEnd"/>
            <w:r w:rsidRPr="00FF7A00">
              <w:rPr>
                <w:rFonts w:ascii="Arial" w:hAnsi="Arial" w:cs="Arial"/>
                <w:sz w:val="20"/>
                <w:szCs w:val="20"/>
              </w:rPr>
              <w:t xml:space="preserve"> at al 2015</w:t>
            </w:r>
            <w:r w:rsidR="009C556B" w:rsidRPr="009C556B">
              <w:rPr>
                <w:rFonts w:ascii="Arial" w:hAnsi="Arial" w:cs="Arial"/>
                <w:noProof/>
                <w:sz w:val="20"/>
                <w:szCs w:val="20"/>
                <w:vertAlign w:val="superscript"/>
              </w:rPr>
              <w:t>32</w:t>
            </w:r>
            <w:r w:rsidRPr="00FF7A00">
              <w:rPr>
                <w:rFonts w:ascii="Arial" w:hAnsi="Arial" w:cs="Arial"/>
                <w:sz w:val="20"/>
                <w:szCs w:val="20"/>
              </w:rPr>
              <w:t xml:space="preserve">. </w:t>
            </w:r>
          </w:p>
          <w:p w14:paraId="49DE2DF3" w14:textId="77777777" w:rsidR="00054996" w:rsidRPr="00FF7A00" w:rsidRDefault="00054996" w:rsidP="008F6AA4">
            <w:pPr>
              <w:spacing w:before="0" w:line="240" w:lineRule="auto"/>
              <w:ind w:left="141" w:right="57"/>
              <w:rPr>
                <w:rFonts w:ascii="Arial" w:hAnsi="Arial" w:cs="Arial"/>
                <w:sz w:val="20"/>
                <w:szCs w:val="20"/>
              </w:rPr>
            </w:pPr>
            <w:r w:rsidRPr="00FF7A00">
              <w:rPr>
                <w:rFonts w:ascii="Arial" w:hAnsi="Arial" w:cs="Arial"/>
                <w:sz w:val="20"/>
                <w:szCs w:val="20"/>
              </w:rPr>
              <w:t xml:space="preserve">The </w:t>
            </w:r>
            <w:r w:rsidR="008F6AA4">
              <w:rPr>
                <w:rFonts w:ascii="Arial" w:hAnsi="Arial" w:cs="Arial"/>
                <w:sz w:val="20"/>
                <w:szCs w:val="20"/>
              </w:rPr>
              <w:t>2015 ESC/ERS Guidelines</w:t>
            </w:r>
            <w:r w:rsidR="009C556B" w:rsidRPr="00FF7A00">
              <w:rPr>
                <w:rFonts w:ascii="Arial" w:hAnsi="Arial" w:cs="Arial"/>
                <w:noProof/>
                <w:sz w:val="20"/>
                <w:szCs w:val="20"/>
                <w:vertAlign w:val="superscript"/>
              </w:rPr>
              <w:t>8</w:t>
            </w:r>
            <w:r w:rsidRPr="00FF7A00">
              <w:rPr>
                <w:rFonts w:ascii="Arial" w:hAnsi="Arial" w:cs="Arial"/>
                <w:sz w:val="20"/>
                <w:szCs w:val="20"/>
              </w:rPr>
              <w:t xml:space="preserve"> state that </w:t>
            </w:r>
            <w:r w:rsidRPr="00FF7A00">
              <w:rPr>
                <w:rFonts w:ascii="Arial" w:hAnsi="Arial" w:cs="Arial"/>
                <w:i/>
                <w:sz w:val="20"/>
                <w:szCs w:val="20"/>
              </w:rPr>
              <w:t>“given the inaccuracies of RAP estimation and the amplification of measurement errors by using derived variables, we recommend using the continuous wave Doppler measurement of peak TRV as the main variable for assigning the echocardiographic probability of PH”</w:t>
            </w:r>
            <w:r w:rsidR="00433046">
              <w:rPr>
                <w:rFonts w:ascii="Arial" w:hAnsi="Arial" w:cs="Arial"/>
                <w:i/>
                <w:sz w:val="20"/>
                <w:szCs w:val="20"/>
              </w:rPr>
              <w:t>.</w:t>
            </w:r>
          </w:p>
        </w:tc>
      </w:tr>
      <w:tr w:rsidR="00054996" w:rsidRPr="00FF7A00" w14:paraId="0512717C" w14:textId="77777777" w:rsidTr="00FF7A00">
        <w:tc>
          <w:tcPr>
            <w:tcW w:w="662" w:type="pct"/>
            <w:shd w:val="clear" w:color="auto" w:fill="FFFFFF" w:themeFill="background1"/>
          </w:tcPr>
          <w:p w14:paraId="646628D4" w14:textId="77777777" w:rsidR="00054996" w:rsidRPr="00FF7A00" w:rsidRDefault="00054996" w:rsidP="00FF7A00">
            <w:pPr>
              <w:spacing w:before="0" w:line="240" w:lineRule="auto"/>
              <w:ind w:left="147" w:right="57"/>
              <w:rPr>
                <w:rFonts w:ascii="Arial" w:hAnsi="Arial" w:cs="Arial"/>
                <w:sz w:val="20"/>
                <w:szCs w:val="20"/>
              </w:rPr>
            </w:pPr>
            <w:r w:rsidRPr="00FF7A00">
              <w:rPr>
                <w:rFonts w:ascii="Arial" w:hAnsi="Arial" w:cs="Arial"/>
                <w:sz w:val="20"/>
                <w:szCs w:val="20"/>
              </w:rPr>
              <w:t>Other signs of PAH on echocardiography (than TRV)</w:t>
            </w:r>
          </w:p>
        </w:tc>
        <w:tc>
          <w:tcPr>
            <w:tcW w:w="4338" w:type="pct"/>
            <w:shd w:val="clear" w:color="auto" w:fill="FFFFFF" w:themeFill="background1"/>
          </w:tcPr>
          <w:tbl>
            <w:tblPr>
              <w:tblStyle w:val="TableGrid"/>
              <w:tblW w:w="12043" w:type="dxa"/>
              <w:tblLayout w:type="fixed"/>
              <w:tblLook w:val="04A0" w:firstRow="1" w:lastRow="0" w:firstColumn="1" w:lastColumn="0" w:noHBand="0" w:noVBand="1"/>
              <w:tblCaption w:val="Other signs of PAH on echocardiography (than TRV)"/>
            </w:tblPr>
            <w:tblGrid>
              <w:gridCol w:w="3659"/>
              <w:gridCol w:w="4111"/>
              <w:gridCol w:w="4273"/>
            </w:tblGrid>
            <w:tr w:rsidR="00054996" w:rsidRPr="00FF7A00" w14:paraId="5F819AD1" w14:textId="77777777" w:rsidTr="00FF7A00">
              <w:trPr>
                <w:cnfStyle w:val="100000000000" w:firstRow="1" w:lastRow="0" w:firstColumn="0" w:lastColumn="0" w:oddVBand="0" w:evenVBand="0" w:oddHBand="0" w:evenHBand="0" w:firstRowFirstColumn="0" w:firstRowLastColumn="0" w:lastRowFirstColumn="0" w:lastRowLastColumn="0"/>
              </w:trPr>
              <w:tc>
                <w:tcPr>
                  <w:tcW w:w="3659" w:type="dxa"/>
                  <w:shd w:val="clear" w:color="auto" w:fill="BFBFBF" w:themeFill="background1" w:themeFillShade="BF"/>
                </w:tcPr>
                <w:p w14:paraId="3E394055" w14:textId="77777777" w:rsidR="00054996" w:rsidRPr="00FF7A00" w:rsidRDefault="00054996" w:rsidP="00FF7A00">
                  <w:pPr>
                    <w:pStyle w:val="TableText"/>
                    <w:ind w:left="141" w:right="57"/>
                    <w:rPr>
                      <w:rFonts w:ascii="Arial" w:hAnsi="Arial"/>
                      <w:b/>
                      <w:szCs w:val="20"/>
                    </w:rPr>
                  </w:pPr>
                  <w:r w:rsidRPr="00FF7A00">
                    <w:rPr>
                      <w:rFonts w:ascii="Arial" w:hAnsi="Arial"/>
                      <w:b/>
                      <w:szCs w:val="20"/>
                    </w:rPr>
                    <w:t>A: The ventricles</w:t>
                  </w:r>
                </w:p>
              </w:tc>
              <w:tc>
                <w:tcPr>
                  <w:tcW w:w="4111" w:type="dxa"/>
                  <w:shd w:val="clear" w:color="auto" w:fill="BFBFBF" w:themeFill="background1" w:themeFillShade="BF"/>
                </w:tcPr>
                <w:p w14:paraId="3565C543" w14:textId="77777777" w:rsidR="00054996" w:rsidRPr="00FF7A00" w:rsidRDefault="00054996" w:rsidP="00FF7A00">
                  <w:pPr>
                    <w:pStyle w:val="TableText"/>
                    <w:ind w:left="141" w:right="57"/>
                    <w:rPr>
                      <w:rFonts w:ascii="Arial" w:hAnsi="Arial"/>
                      <w:b/>
                      <w:szCs w:val="20"/>
                    </w:rPr>
                  </w:pPr>
                  <w:r w:rsidRPr="00FF7A00">
                    <w:rPr>
                      <w:rFonts w:ascii="Arial" w:hAnsi="Arial"/>
                      <w:b/>
                      <w:szCs w:val="20"/>
                    </w:rPr>
                    <w:t>B: Pulmonary artery</w:t>
                  </w:r>
                </w:p>
              </w:tc>
              <w:tc>
                <w:tcPr>
                  <w:tcW w:w="4273" w:type="dxa"/>
                  <w:shd w:val="clear" w:color="auto" w:fill="BFBFBF" w:themeFill="background1" w:themeFillShade="BF"/>
                </w:tcPr>
                <w:p w14:paraId="1C4D60A7" w14:textId="77777777" w:rsidR="00054996" w:rsidRPr="00FF7A00" w:rsidRDefault="00054996" w:rsidP="00FF7A00">
                  <w:pPr>
                    <w:pStyle w:val="TableText"/>
                    <w:ind w:left="141" w:right="57"/>
                    <w:rPr>
                      <w:rFonts w:ascii="Arial" w:hAnsi="Arial"/>
                      <w:b/>
                      <w:szCs w:val="20"/>
                    </w:rPr>
                  </w:pPr>
                  <w:r w:rsidRPr="00FF7A00">
                    <w:rPr>
                      <w:rFonts w:ascii="Arial" w:hAnsi="Arial"/>
                      <w:b/>
                      <w:szCs w:val="20"/>
                    </w:rPr>
                    <w:t>C: Inferior vena cava and right atrium</w:t>
                  </w:r>
                </w:p>
              </w:tc>
            </w:tr>
            <w:tr w:rsidR="00054996" w:rsidRPr="00FF7A00" w14:paraId="48EF9C3A" w14:textId="77777777" w:rsidTr="00FF7A00">
              <w:tc>
                <w:tcPr>
                  <w:tcW w:w="3659" w:type="dxa"/>
                </w:tcPr>
                <w:p w14:paraId="0A1D2DF4" w14:textId="77777777" w:rsidR="00054996" w:rsidRPr="00FF7A00" w:rsidRDefault="00054996" w:rsidP="00FF7A00">
                  <w:pPr>
                    <w:pStyle w:val="TableText"/>
                    <w:ind w:left="141" w:right="57"/>
                    <w:rPr>
                      <w:rFonts w:ascii="Arial" w:hAnsi="Arial"/>
                      <w:szCs w:val="20"/>
                    </w:rPr>
                  </w:pPr>
                  <w:r w:rsidRPr="00FF7A00">
                    <w:rPr>
                      <w:rFonts w:ascii="Arial" w:hAnsi="Arial"/>
                      <w:szCs w:val="20"/>
                    </w:rPr>
                    <w:t>Right ventricle/ left ventricle basal diameter ratio &gt;1.0</w:t>
                  </w:r>
                </w:p>
              </w:tc>
              <w:tc>
                <w:tcPr>
                  <w:tcW w:w="4111" w:type="dxa"/>
                </w:tcPr>
                <w:p w14:paraId="1C789DF1" w14:textId="77777777" w:rsidR="00054996" w:rsidRPr="00FF7A00" w:rsidRDefault="00054996" w:rsidP="00FF7A00">
                  <w:pPr>
                    <w:pStyle w:val="TableText"/>
                    <w:ind w:left="141" w:right="57"/>
                    <w:rPr>
                      <w:rFonts w:ascii="Arial" w:hAnsi="Arial"/>
                      <w:szCs w:val="20"/>
                    </w:rPr>
                  </w:pPr>
                  <w:r w:rsidRPr="00FF7A00">
                    <w:rPr>
                      <w:rFonts w:ascii="Arial" w:hAnsi="Arial"/>
                      <w:szCs w:val="20"/>
                    </w:rPr>
                    <w:t xml:space="preserve">Right ventricular outflow Doppler acceleration time &lt;105msec and/or </w:t>
                  </w:r>
                  <w:proofErr w:type="spellStart"/>
                  <w:r w:rsidRPr="00FF7A00">
                    <w:rPr>
                      <w:rFonts w:ascii="Arial" w:hAnsi="Arial"/>
                      <w:szCs w:val="20"/>
                    </w:rPr>
                    <w:t>midsystolic</w:t>
                  </w:r>
                  <w:proofErr w:type="spellEnd"/>
                  <w:r w:rsidRPr="00FF7A00">
                    <w:rPr>
                      <w:rFonts w:ascii="Arial" w:hAnsi="Arial"/>
                      <w:szCs w:val="20"/>
                    </w:rPr>
                    <w:t xml:space="preserve"> notching</w:t>
                  </w:r>
                </w:p>
              </w:tc>
              <w:tc>
                <w:tcPr>
                  <w:tcW w:w="4273" w:type="dxa"/>
                </w:tcPr>
                <w:p w14:paraId="5A4FF825" w14:textId="77777777" w:rsidR="00054996" w:rsidRPr="00FF7A00" w:rsidRDefault="00054996" w:rsidP="00FF7A00">
                  <w:pPr>
                    <w:pStyle w:val="TableText"/>
                    <w:ind w:left="141" w:right="57"/>
                    <w:rPr>
                      <w:rFonts w:ascii="Arial" w:hAnsi="Arial"/>
                      <w:szCs w:val="20"/>
                    </w:rPr>
                  </w:pPr>
                  <w:r w:rsidRPr="00FF7A00">
                    <w:rPr>
                      <w:rFonts w:ascii="Arial" w:hAnsi="Arial"/>
                      <w:szCs w:val="20"/>
                    </w:rPr>
                    <w:t>Inferior cava diameter &gt;21mm with decreased inspiratory collapse (&lt;50% with a sniff or &lt;20% with quiet inspiration)</w:t>
                  </w:r>
                </w:p>
              </w:tc>
            </w:tr>
            <w:tr w:rsidR="00054996" w:rsidRPr="00FF7A00" w14:paraId="45BD01E0" w14:textId="77777777" w:rsidTr="00FF7A00">
              <w:tc>
                <w:tcPr>
                  <w:tcW w:w="3659" w:type="dxa"/>
                </w:tcPr>
                <w:p w14:paraId="2B492F6B" w14:textId="77777777" w:rsidR="00054996" w:rsidRPr="00FF7A00" w:rsidRDefault="00054996" w:rsidP="00FF7A00">
                  <w:pPr>
                    <w:pStyle w:val="TableText"/>
                    <w:ind w:left="141" w:right="57"/>
                    <w:rPr>
                      <w:rFonts w:ascii="Arial" w:hAnsi="Arial"/>
                      <w:szCs w:val="20"/>
                    </w:rPr>
                  </w:pPr>
                  <w:r w:rsidRPr="00FF7A00">
                    <w:rPr>
                      <w:rFonts w:ascii="Arial" w:hAnsi="Arial"/>
                      <w:szCs w:val="20"/>
                    </w:rPr>
                    <w:t>Flattening of the interventricular septum (left ventricular eccentricity index &gt;1.1 in systole and/or diastole)</w:t>
                  </w:r>
                </w:p>
              </w:tc>
              <w:tc>
                <w:tcPr>
                  <w:tcW w:w="4111" w:type="dxa"/>
                </w:tcPr>
                <w:p w14:paraId="31ACE740" w14:textId="77777777" w:rsidR="00054996" w:rsidRPr="00FF7A00" w:rsidRDefault="00054996" w:rsidP="00FF7A00">
                  <w:pPr>
                    <w:pStyle w:val="TableText"/>
                    <w:ind w:left="141" w:right="57"/>
                    <w:rPr>
                      <w:rFonts w:ascii="Arial" w:hAnsi="Arial"/>
                      <w:szCs w:val="20"/>
                    </w:rPr>
                  </w:pPr>
                  <w:r w:rsidRPr="00FF7A00">
                    <w:rPr>
                      <w:rFonts w:ascii="Arial" w:hAnsi="Arial"/>
                      <w:szCs w:val="20"/>
                    </w:rPr>
                    <w:t>Early diastolic pulmonary regurgitation velocity &gt;2.2m/sec</w:t>
                  </w:r>
                </w:p>
              </w:tc>
              <w:tc>
                <w:tcPr>
                  <w:tcW w:w="4273" w:type="dxa"/>
                </w:tcPr>
                <w:p w14:paraId="513051C0" w14:textId="77777777" w:rsidR="00054996" w:rsidRPr="00FF7A00" w:rsidRDefault="00054996" w:rsidP="00FF7A00">
                  <w:pPr>
                    <w:pStyle w:val="TableText"/>
                    <w:ind w:left="141" w:right="57"/>
                    <w:rPr>
                      <w:rFonts w:ascii="Arial" w:hAnsi="Arial"/>
                      <w:szCs w:val="20"/>
                    </w:rPr>
                  </w:pPr>
                  <w:r w:rsidRPr="00FF7A00">
                    <w:rPr>
                      <w:rFonts w:ascii="Arial" w:hAnsi="Arial"/>
                      <w:szCs w:val="20"/>
                    </w:rPr>
                    <w:t>Right atrial area (end-systole) &gt;18cm</w:t>
                  </w:r>
                  <w:r w:rsidRPr="00FF7A00">
                    <w:rPr>
                      <w:rFonts w:ascii="Arial" w:hAnsi="Arial"/>
                      <w:szCs w:val="20"/>
                      <w:vertAlign w:val="superscript"/>
                    </w:rPr>
                    <w:t>2</w:t>
                  </w:r>
                </w:p>
              </w:tc>
            </w:tr>
            <w:tr w:rsidR="00054996" w:rsidRPr="00FF7A00" w14:paraId="7249C8F3" w14:textId="77777777" w:rsidTr="00FF7A00">
              <w:tc>
                <w:tcPr>
                  <w:tcW w:w="3659" w:type="dxa"/>
                </w:tcPr>
                <w:p w14:paraId="7EFDC104" w14:textId="77777777" w:rsidR="00054996" w:rsidRPr="00FF7A00" w:rsidRDefault="00054996" w:rsidP="00FF7A00">
                  <w:pPr>
                    <w:pStyle w:val="TableText"/>
                    <w:ind w:left="141" w:right="57"/>
                    <w:rPr>
                      <w:rFonts w:ascii="Arial" w:hAnsi="Arial"/>
                      <w:szCs w:val="20"/>
                    </w:rPr>
                  </w:pPr>
                </w:p>
              </w:tc>
              <w:tc>
                <w:tcPr>
                  <w:tcW w:w="4111" w:type="dxa"/>
                </w:tcPr>
                <w:p w14:paraId="67E2C411" w14:textId="77777777" w:rsidR="00054996" w:rsidRPr="00FF7A00" w:rsidRDefault="00054996" w:rsidP="00FF7A00">
                  <w:pPr>
                    <w:pStyle w:val="TableText"/>
                    <w:ind w:left="141" w:right="57"/>
                    <w:rPr>
                      <w:rFonts w:ascii="Arial" w:hAnsi="Arial"/>
                      <w:szCs w:val="20"/>
                    </w:rPr>
                  </w:pPr>
                  <w:r w:rsidRPr="00FF7A00">
                    <w:rPr>
                      <w:rFonts w:ascii="Arial" w:hAnsi="Arial"/>
                      <w:szCs w:val="20"/>
                    </w:rPr>
                    <w:t>PA diameter &gt;25 mm</w:t>
                  </w:r>
                </w:p>
              </w:tc>
              <w:tc>
                <w:tcPr>
                  <w:tcW w:w="4273" w:type="dxa"/>
                </w:tcPr>
                <w:p w14:paraId="0188A5B5" w14:textId="77777777" w:rsidR="00054996" w:rsidRPr="00FF7A00" w:rsidRDefault="00054996" w:rsidP="00FF7A00">
                  <w:pPr>
                    <w:pStyle w:val="TableText"/>
                    <w:ind w:left="141" w:right="57"/>
                    <w:rPr>
                      <w:rFonts w:ascii="Arial" w:hAnsi="Arial"/>
                      <w:szCs w:val="20"/>
                    </w:rPr>
                  </w:pPr>
                </w:p>
              </w:tc>
            </w:tr>
          </w:tbl>
          <w:p w14:paraId="13AEF4F6" w14:textId="77777777" w:rsidR="00054996" w:rsidRPr="00FF7A00" w:rsidRDefault="00054996" w:rsidP="00FF7A00">
            <w:pPr>
              <w:pStyle w:val="Tablenote"/>
              <w:ind w:left="141" w:right="57"/>
              <w:rPr>
                <w:rFonts w:ascii="Arial" w:hAnsi="Arial" w:cs="Arial"/>
              </w:rPr>
            </w:pPr>
            <w:r w:rsidRPr="00FF7A00">
              <w:rPr>
                <w:rFonts w:ascii="Arial" w:hAnsi="Arial" w:cs="Arial"/>
              </w:rPr>
              <w:t>Notes: Echocardiographic signs from at least two different categories (A/B/C) from the list should be present to alter the level of echocardiographic probability of pulmonary hypertension</w:t>
            </w:r>
            <w:r w:rsidR="00433046">
              <w:rPr>
                <w:rFonts w:ascii="Arial" w:hAnsi="Arial" w:cs="Arial"/>
              </w:rPr>
              <w:t>.</w:t>
            </w:r>
          </w:p>
          <w:p w14:paraId="39F848ED" w14:textId="77777777" w:rsidR="00054996" w:rsidRPr="00FF7A00" w:rsidRDefault="00054996" w:rsidP="009C556B">
            <w:pPr>
              <w:pStyle w:val="Tablenote"/>
              <w:ind w:left="141" w:right="57"/>
              <w:rPr>
                <w:rFonts w:ascii="Arial" w:hAnsi="Arial" w:cs="Arial"/>
              </w:rPr>
            </w:pPr>
            <w:r w:rsidRPr="00FF7A00">
              <w:rPr>
                <w:rFonts w:ascii="Arial" w:hAnsi="Arial" w:cs="Arial"/>
              </w:rPr>
              <w:t xml:space="preserve">Source: </w:t>
            </w:r>
            <w:proofErr w:type="spellStart"/>
            <w:r w:rsidRPr="00FF7A00">
              <w:rPr>
                <w:rFonts w:ascii="Arial" w:hAnsi="Arial" w:cs="Arial"/>
              </w:rPr>
              <w:t>Galie</w:t>
            </w:r>
            <w:proofErr w:type="spellEnd"/>
            <w:r w:rsidRPr="00FF7A00">
              <w:rPr>
                <w:rFonts w:ascii="Arial" w:hAnsi="Arial" w:cs="Arial"/>
              </w:rPr>
              <w:t xml:space="preserve"> </w:t>
            </w:r>
            <w:r w:rsidRPr="00FF7A00">
              <w:rPr>
                <w:rFonts w:ascii="Arial" w:hAnsi="Arial" w:cs="Arial"/>
                <w:i/>
              </w:rPr>
              <w:t xml:space="preserve">et al </w:t>
            </w:r>
            <w:r w:rsidRPr="00FF7A00">
              <w:rPr>
                <w:rFonts w:ascii="Arial" w:hAnsi="Arial" w:cs="Arial"/>
              </w:rPr>
              <w:t>2015</w:t>
            </w:r>
            <w:r w:rsidR="009C556B" w:rsidRPr="00FF7A00">
              <w:rPr>
                <w:rFonts w:ascii="Arial" w:hAnsi="Arial" w:cs="Arial"/>
                <w:noProof/>
                <w:vertAlign w:val="superscript"/>
              </w:rPr>
              <w:t>8</w:t>
            </w:r>
          </w:p>
        </w:tc>
      </w:tr>
      <w:tr w:rsidR="00054996" w:rsidRPr="00FF7A00" w14:paraId="089BD1F0" w14:textId="77777777" w:rsidTr="00D94C73">
        <w:trPr>
          <w:trHeight w:val="892"/>
        </w:trPr>
        <w:tc>
          <w:tcPr>
            <w:tcW w:w="662" w:type="pct"/>
            <w:shd w:val="clear" w:color="auto" w:fill="FFFFFF" w:themeFill="background1"/>
          </w:tcPr>
          <w:p w14:paraId="2F985D2B" w14:textId="77777777" w:rsidR="00054996" w:rsidRPr="00FF7A00" w:rsidRDefault="00054996" w:rsidP="00FF7A00">
            <w:pPr>
              <w:spacing w:before="0" w:line="240" w:lineRule="auto"/>
              <w:ind w:left="147" w:right="57"/>
              <w:rPr>
                <w:rFonts w:ascii="Arial" w:hAnsi="Arial" w:cs="Arial"/>
                <w:sz w:val="20"/>
                <w:szCs w:val="20"/>
              </w:rPr>
            </w:pPr>
            <w:r w:rsidRPr="00FF7A00">
              <w:rPr>
                <w:rFonts w:ascii="Arial" w:hAnsi="Arial" w:cs="Arial"/>
                <w:sz w:val="20"/>
                <w:szCs w:val="20"/>
              </w:rPr>
              <w:t>Whether to estimate mRAP</w:t>
            </w:r>
          </w:p>
        </w:tc>
        <w:tc>
          <w:tcPr>
            <w:tcW w:w="4338" w:type="pct"/>
            <w:shd w:val="clear" w:color="auto" w:fill="FFFFFF" w:themeFill="background1"/>
          </w:tcPr>
          <w:p w14:paraId="033AFA2A" w14:textId="77777777" w:rsidR="00054996" w:rsidRPr="00FF7A00" w:rsidRDefault="00054996" w:rsidP="009C556B">
            <w:pPr>
              <w:spacing w:before="0" w:line="240" w:lineRule="auto"/>
              <w:ind w:left="141" w:right="57"/>
              <w:rPr>
                <w:rFonts w:ascii="Arial" w:hAnsi="Arial" w:cs="Arial"/>
                <w:sz w:val="20"/>
                <w:szCs w:val="20"/>
              </w:rPr>
            </w:pPr>
            <w:r w:rsidRPr="00FF7A00">
              <w:rPr>
                <w:rFonts w:ascii="Arial" w:hAnsi="Arial" w:cs="Arial"/>
                <w:sz w:val="20"/>
                <w:szCs w:val="20"/>
              </w:rPr>
              <w:t>The method to estimate RAP can be clinical estimation from jugular venous pressure; using a fixed value from 5mmHg to 10mmHg; or (most commonly) using the diameter and collapse of the inferior vena cava during spontaneous respiration</w:t>
            </w:r>
            <w:r w:rsidR="009C556B" w:rsidRPr="009C556B">
              <w:rPr>
                <w:rFonts w:ascii="Arial" w:hAnsi="Arial" w:cs="Arial"/>
                <w:noProof/>
                <w:sz w:val="20"/>
                <w:szCs w:val="20"/>
                <w:vertAlign w:val="superscript"/>
              </w:rPr>
              <w:t>28</w:t>
            </w:r>
            <w:r w:rsidRPr="00FF7A00">
              <w:rPr>
                <w:rFonts w:ascii="Arial" w:hAnsi="Arial" w:cs="Arial"/>
                <w:sz w:val="20"/>
                <w:szCs w:val="20"/>
              </w:rPr>
              <w:t xml:space="preserve">. As a result, the mRAP value can vary depending on the approach used and leads to variable estimates of PAP. </w:t>
            </w:r>
          </w:p>
        </w:tc>
      </w:tr>
    </w:tbl>
    <w:p w14:paraId="5CD18BE7" w14:textId="77777777" w:rsidR="00054996" w:rsidRDefault="00054996" w:rsidP="00121658">
      <w:pPr>
        <w:tabs>
          <w:tab w:val="left" w:pos="3663"/>
        </w:tabs>
      </w:pPr>
    </w:p>
    <w:p w14:paraId="6DF0F1BA" w14:textId="77777777" w:rsidR="00054996" w:rsidRDefault="00054996" w:rsidP="00121658">
      <w:pPr>
        <w:spacing w:before="0" w:line="240" w:lineRule="auto"/>
        <w:rPr>
          <w:sz w:val="8"/>
          <w:szCs w:val="16"/>
        </w:rPr>
      </w:pPr>
      <w:r>
        <w:rPr>
          <w:sz w:val="8"/>
          <w:szCs w:val="16"/>
        </w:rPr>
        <w:br w:type="page"/>
      </w:r>
    </w:p>
    <w:p w14:paraId="4F764ECD" w14:textId="77777777" w:rsidR="00054996" w:rsidRDefault="0048383C" w:rsidP="00F75B8B">
      <w:pPr>
        <w:pStyle w:val="Caption"/>
      </w:pPr>
      <w:bookmarkStart w:id="169" w:name="_Ref510795236"/>
      <w:bookmarkStart w:id="170" w:name="_Toc29377256"/>
      <w:r>
        <w:lastRenderedPageBreak/>
        <w:t>Table 1.</w:t>
      </w:r>
      <w:r w:rsidR="00505D99">
        <w:rPr>
          <w:noProof/>
        </w:rPr>
        <w:t>10</w:t>
      </w:r>
      <w:bookmarkEnd w:id="169"/>
      <w:r w:rsidR="00F75B8B">
        <w:tab/>
        <w:t>Monitoring recommendations and other patient assessments for PAH</w:t>
      </w:r>
      <w:bookmarkEnd w:id="170"/>
    </w:p>
    <w:tbl>
      <w:tblPr>
        <w:tblStyle w:val="TableGrid"/>
        <w:tblW w:w="5000" w:type="pct"/>
        <w:tblLayout w:type="fixed"/>
        <w:tblLook w:val="04A0" w:firstRow="1" w:lastRow="0" w:firstColumn="1" w:lastColumn="0" w:noHBand="0" w:noVBand="1"/>
        <w:tblCaption w:val="Monitoring recommendations and other patient assessments for PAH"/>
      </w:tblPr>
      <w:tblGrid>
        <w:gridCol w:w="1847"/>
        <w:gridCol w:w="12101"/>
      </w:tblGrid>
      <w:tr w:rsidR="00054996" w:rsidRPr="00FF7A00" w14:paraId="1EB32441" w14:textId="77777777" w:rsidTr="00541D71">
        <w:trPr>
          <w:cnfStyle w:val="100000000000" w:firstRow="1" w:lastRow="0" w:firstColumn="0" w:lastColumn="0" w:oddVBand="0" w:evenVBand="0" w:oddHBand="0" w:evenHBand="0" w:firstRowFirstColumn="0" w:firstRowLastColumn="0" w:lastRowFirstColumn="0" w:lastRowLastColumn="0"/>
        </w:trPr>
        <w:tc>
          <w:tcPr>
            <w:tcW w:w="662" w:type="pct"/>
          </w:tcPr>
          <w:p w14:paraId="08B9ED69" w14:textId="77777777" w:rsidR="00054996" w:rsidRPr="00FF7A00" w:rsidRDefault="00054996" w:rsidP="00FF7A00">
            <w:pPr>
              <w:spacing w:before="60" w:after="60" w:line="240" w:lineRule="auto"/>
              <w:ind w:left="147" w:right="57"/>
              <w:rPr>
                <w:rFonts w:ascii="Arial" w:hAnsi="Arial" w:cs="Arial"/>
                <w:b/>
                <w:sz w:val="20"/>
                <w:szCs w:val="20"/>
              </w:rPr>
            </w:pPr>
            <w:r w:rsidRPr="00FF7A00">
              <w:rPr>
                <w:rFonts w:ascii="Arial" w:hAnsi="Arial" w:cs="Arial"/>
                <w:b/>
                <w:sz w:val="20"/>
                <w:szCs w:val="20"/>
              </w:rPr>
              <w:t>Issue</w:t>
            </w:r>
          </w:p>
        </w:tc>
        <w:tc>
          <w:tcPr>
            <w:tcW w:w="4338" w:type="pct"/>
          </w:tcPr>
          <w:p w14:paraId="5FD58DF0" w14:textId="77777777" w:rsidR="00054996" w:rsidRPr="00FF7A00" w:rsidRDefault="00054996" w:rsidP="00FF7A00">
            <w:pPr>
              <w:spacing w:before="60" w:after="60" w:line="240" w:lineRule="auto"/>
              <w:ind w:left="142" w:right="57"/>
              <w:rPr>
                <w:rFonts w:ascii="Arial" w:hAnsi="Arial" w:cs="Arial"/>
                <w:b/>
                <w:sz w:val="20"/>
                <w:szCs w:val="20"/>
              </w:rPr>
            </w:pPr>
            <w:r w:rsidRPr="00FF7A00">
              <w:rPr>
                <w:rFonts w:ascii="Arial" w:hAnsi="Arial" w:cs="Arial"/>
                <w:b/>
                <w:sz w:val="20"/>
                <w:szCs w:val="20"/>
              </w:rPr>
              <w:t>Details</w:t>
            </w:r>
          </w:p>
        </w:tc>
      </w:tr>
      <w:tr w:rsidR="00054996" w:rsidRPr="00FF7A00" w14:paraId="014C5D1B" w14:textId="77777777" w:rsidTr="00541D71">
        <w:tc>
          <w:tcPr>
            <w:tcW w:w="5000" w:type="pct"/>
            <w:gridSpan w:val="2"/>
            <w:shd w:val="clear" w:color="auto" w:fill="000000" w:themeFill="text1"/>
          </w:tcPr>
          <w:p w14:paraId="598292F3" w14:textId="77777777" w:rsidR="00054996" w:rsidRPr="00FF7A00" w:rsidRDefault="00A10002" w:rsidP="00FF7A00">
            <w:pPr>
              <w:spacing w:before="60" w:after="60" w:line="240" w:lineRule="auto"/>
              <w:ind w:left="142" w:right="57"/>
              <w:rPr>
                <w:rFonts w:ascii="Arial" w:hAnsi="Arial" w:cs="Arial"/>
                <w:b/>
                <w:sz w:val="20"/>
                <w:szCs w:val="20"/>
              </w:rPr>
            </w:pPr>
            <w:r w:rsidRPr="00FF7A00">
              <w:rPr>
                <w:rFonts w:ascii="Arial" w:hAnsi="Arial" w:cs="Arial"/>
                <w:b/>
                <w:sz w:val="20"/>
                <w:szCs w:val="20"/>
              </w:rPr>
              <w:t>Risk Factors</w:t>
            </w:r>
          </w:p>
        </w:tc>
      </w:tr>
      <w:tr w:rsidR="00054996" w:rsidRPr="00FF7A00" w14:paraId="48BBDD56" w14:textId="77777777" w:rsidTr="00541D71">
        <w:tc>
          <w:tcPr>
            <w:tcW w:w="662" w:type="pct"/>
          </w:tcPr>
          <w:p w14:paraId="699C8CB4" w14:textId="77777777" w:rsidR="00054996" w:rsidRPr="00FF7A00" w:rsidRDefault="00054996" w:rsidP="00FF7A00">
            <w:pPr>
              <w:spacing w:before="60" w:after="60" w:line="240" w:lineRule="auto"/>
              <w:ind w:left="147" w:right="57"/>
              <w:rPr>
                <w:rFonts w:ascii="Arial" w:hAnsi="Arial" w:cs="Arial"/>
                <w:sz w:val="20"/>
                <w:szCs w:val="20"/>
              </w:rPr>
            </w:pPr>
            <w:r w:rsidRPr="00FF7A00">
              <w:rPr>
                <w:rFonts w:ascii="Arial" w:hAnsi="Arial" w:cs="Arial"/>
                <w:sz w:val="20"/>
                <w:szCs w:val="20"/>
              </w:rPr>
              <w:t>Different approaches to risk / prognostic factors</w:t>
            </w:r>
          </w:p>
        </w:tc>
        <w:tc>
          <w:tcPr>
            <w:tcW w:w="4338" w:type="pct"/>
          </w:tcPr>
          <w:p w14:paraId="35CEC290" w14:textId="77777777" w:rsidR="00054996" w:rsidRPr="00FF7A00" w:rsidRDefault="00054996" w:rsidP="00807704">
            <w:pPr>
              <w:pStyle w:val="ListParagraph"/>
              <w:numPr>
                <w:ilvl w:val="0"/>
                <w:numId w:val="20"/>
              </w:numPr>
              <w:spacing w:before="60" w:after="60" w:line="240" w:lineRule="auto"/>
              <w:ind w:left="142" w:right="57" w:hanging="294"/>
              <w:rPr>
                <w:rFonts w:ascii="Arial" w:hAnsi="Arial" w:cs="Arial"/>
                <w:i/>
                <w:sz w:val="20"/>
                <w:szCs w:val="20"/>
              </w:rPr>
            </w:pPr>
            <w:r w:rsidRPr="00FF7A00">
              <w:rPr>
                <w:rFonts w:ascii="Arial" w:hAnsi="Arial" w:cs="Arial"/>
                <w:i/>
                <w:sz w:val="20"/>
                <w:szCs w:val="20"/>
              </w:rPr>
              <w:t xml:space="preserve">The </w:t>
            </w:r>
            <w:r w:rsidR="008F6AA4">
              <w:rPr>
                <w:rFonts w:ascii="Arial" w:hAnsi="Arial" w:cs="Arial"/>
                <w:i/>
                <w:sz w:val="20"/>
                <w:szCs w:val="20"/>
              </w:rPr>
              <w:t xml:space="preserve">2015 </w:t>
            </w:r>
            <w:r w:rsidRPr="00FF7A00">
              <w:rPr>
                <w:rFonts w:ascii="Arial" w:hAnsi="Arial" w:cs="Arial"/>
                <w:i/>
                <w:sz w:val="20"/>
                <w:szCs w:val="20"/>
              </w:rPr>
              <w:t>ESC/ERS guideline</w:t>
            </w:r>
            <w:r w:rsidR="008F6AA4">
              <w:rPr>
                <w:rFonts w:ascii="Arial" w:hAnsi="Arial" w:cs="Arial"/>
                <w:i/>
                <w:sz w:val="20"/>
                <w:szCs w:val="20"/>
              </w:rPr>
              <w:t>s</w:t>
            </w:r>
            <w:r w:rsidR="009C556B" w:rsidRPr="00FF7A00">
              <w:rPr>
                <w:rFonts w:ascii="Arial" w:hAnsi="Arial" w:cs="Arial"/>
                <w:i/>
                <w:noProof/>
                <w:sz w:val="20"/>
                <w:szCs w:val="20"/>
                <w:vertAlign w:val="superscript"/>
              </w:rPr>
              <w:t>8</w:t>
            </w:r>
            <w:r w:rsidRPr="00FF7A00">
              <w:rPr>
                <w:rFonts w:ascii="Arial" w:hAnsi="Arial" w:cs="Arial"/>
                <w:i/>
                <w:sz w:val="20"/>
                <w:szCs w:val="20"/>
              </w:rPr>
              <w:t xml:space="preserve"> divide patients into risk categories according to the summary in</w:t>
            </w:r>
            <w:r w:rsidR="007B0F54" w:rsidRPr="00FF7A00">
              <w:rPr>
                <w:rFonts w:ascii="Arial" w:hAnsi="Arial" w:cs="Arial"/>
                <w:i/>
                <w:sz w:val="20"/>
                <w:szCs w:val="20"/>
              </w:rPr>
              <w:t xml:space="preserve"> </w:t>
            </w:r>
            <w:r w:rsidR="00CE16FA">
              <w:rPr>
                <w:rFonts w:ascii="Arial" w:hAnsi="Arial" w:cs="Arial"/>
                <w:i/>
                <w:sz w:val="20"/>
                <w:szCs w:val="20"/>
              </w:rPr>
              <w:t>Table 1.11.</w:t>
            </w:r>
          </w:p>
          <w:p w14:paraId="580AE634" w14:textId="77777777" w:rsidR="00054996" w:rsidRPr="00FF7A00" w:rsidRDefault="00054996" w:rsidP="00807704">
            <w:pPr>
              <w:pStyle w:val="ListParagraph"/>
              <w:numPr>
                <w:ilvl w:val="0"/>
                <w:numId w:val="20"/>
              </w:numPr>
              <w:spacing w:before="60" w:after="60" w:line="240" w:lineRule="auto"/>
              <w:ind w:left="142" w:right="57" w:hanging="294"/>
              <w:rPr>
                <w:rFonts w:ascii="Arial" w:hAnsi="Arial" w:cs="Arial"/>
                <w:i/>
                <w:sz w:val="20"/>
                <w:szCs w:val="20"/>
              </w:rPr>
            </w:pPr>
            <w:r w:rsidRPr="00FF7A00">
              <w:rPr>
                <w:rFonts w:ascii="Arial" w:hAnsi="Arial" w:cs="Arial"/>
                <w:i/>
                <w:sz w:val="20"/>
                <w:szCs w:val="20"/>
              </w:rPr>
              <w:t>McLaughlin et al 2015</w:t>
            </w:r>
            <w:r w:rsidR="009C556B" w:rsidRPr="009C556B">
              <w:rPr>
                <w:rFonts w:ascii="Arial" w:hAnsi="Arial" w:cs="Arial"/>
                <w:i/>
                <w:noProof/>
                <w:sz w:val="20"/>
                <w:szCs w:val="20"/>
                <w:vertAlign w:val="superscript"/>
              </w:rPr>
              <w:t>29</w:t>
            </w:r>
            <w:r w:rsidRPr="00FF7A00">
              <w:rPr>
                <w:rFonts w:ascii="Arial" w:hAnsi="Arial" w:cs="Arial"/>
                <w:i/>
                <w:sz w:val="20"/>
                <w:szCs w:val="20"/>
              </w:rPr>
              <w:t xml:space="preserve"> provided a suggested list of patient risk factors</w:t>
            </w:r>
            <w:r w:rsidR="00CE16FA">
              <w:rPr>
                <w:rFonts w:ascii="Arial" w:hAnsi="Arial" w:cs="Arial"/>
                <w:i/>
                <w:sz w:val="20"/>
                <w:szCs w:val="20"/>
              </w:rPr>
              <w:t xml:space="preserve"> (Table 1.12)</w:t>
            </w:r>
            <w:r w:rsidR="00B835D2">
              <w:rPr>
                <w:rFonts w:ascii="Arial" w:hAnsi="Arial" w:cs="Arial"/>
                <w:i/>
                <w:sz w:val="20"/>
                <w:szCs w:val="20"/>
              </w:rPr>
              <w:t>.</w:t>
            </w:r>
          </w:p>
          <w:p w14:paraId="352E3534" w14:textId="77777777" w:rsidR="00054996" w:rsidRPr="00FF7A00" w:rsidRDefault="00054996" w:rsidP="009C556B">
            <w:pPr>
              <w:pStyle w:val="ListParagraph"/>
              <w:numPr>
                <w:ilvl w:val="0"/>
                <w:numId w:val="20"/>
              </w:numPr>
              <w:spacing w:before="60" w:after="60" w:line="240" w:lineRule="auto"/>
              <w:ind w:left="142" w:right="57" w:hanging="294"/>
              <w:rPr>
                <w:rFonts w:ascii="Arial" w:hAnsi="Arial" w:cs="Arial"/>
                <w:i/>
                <w:sz w:val="20"/>
                <w:szCs w:val="20"/>
              </w:rPr>
            </w:pPr>
            <w:r w:rsidRPr="00FF7A00">
              <w:rPr>
                <w:rFonts w:ascii="Arial" w:hAnsi="Arial" w:cs="Arial"/>
                <w:i/>
                <w:sz w:val="20"/>
                <w:szCs w:val="20"/>
              </w:rPr>
              <w:t xml:space="preserve">The US REVEAL risk calculator assigns weighted values for a list of clinical features given in </w:t>
            </w:r>
            <w:r w:rsidR="00505D99" w:rsidRPr="00505D99">
              <w:rPr>
                <w:rFonts w:ascii="Arial" w:hAnsi="Arial" w:cs="Arial"/>
                <w:i/>
                <w:sz w:val="20"/>
                <w:szCs w:val="20"/>
              </w:rPr>
              <w:t>Figure 1.1</w:t>
            </w:r>
            <w:r w:rsidR="009C556B" w:rsidRPr="009C556B">
              <w:rPr>
                <w:rFonts w:ascii="Arial" w:hAnsi="Arial" w:cs="Arial"/>
                <w:i/>
                <w:noProof/>
                <w:sz w:val="20"/>
                <w:szCs w:val="20"/>
                <w:vertAlign w:val="superscript"/>
              </w:rPr>
              <w:t>33</w:t>
            </w:r>
            <w:r w:rsidRPr="00FF7A00">
              <w:rPr>
                <w:rFonts w:ascii="Arial" w:hAnsi="Arial" w:cs="Arial"/>
                <w:i/>
                <w:sz w:val="20"/>
                <w:szCs w:val="20"/>
              </w:rPr>
              <w:t xml:space="preserve">. </w:t>
            </w:r>
          </w:p>
        </w:tc>
      </w:tr>
      <w:tr w:rsidR="00054996" w:rsidRPr="00FF7A00" w14:paraId="3910B98B" w14:textId="77777777" w:rsidTr="00541D71">
        <w:tc>
          <w:tcPr>
            <w:tcW w:w="662" w:type="pct"/>
          </w:tcPr>
          <w:p w14:paraId="6A271716" w14:textId="77777777" w:rsidR="00054996" w:rsidRPr="00FF7A00" w:rsidRDefault="00054996" w:rsidP="00FF7A00">
            <w:pPr>
              <w:spacing w:before="60" w:after="60" w:line="240" w:lineRule="auto"/>
              <w:ind w:left="147" w:right="57"/>
              <w:rPr>
                <w:rFonts w:ascii="Arial" w:hAnsi="Arial" w:cs="Arial"/>
                <w:sz w:val="20"/>
                <w:szCs w:val="20"/>
              </w:rPr>
            </w:pPr>
            <w:r w:rsidRPr="00FF7A00">
              <w:rPr>
                <w:rFonts w:ascii="Arial" w:hAnsi="Arial" w:cs="Arial"/>
                <w:sz w:val="20"/>
                <w:szCs w:val="20"/>
              </w:rPr>
              <w:t xml:space="preserve">Risk factors – children </w:t>
            </w:r>
          </w:p>
        </w:tc>
        <w:tc>
          <w:tcPr>
            <w:tcW w:w="4338" w:type="pct"/>
          </w:tcPr>
          <w:p w14:paraId="78ADA7F1" w14:textId="77777777" w:rsidR="00054996" w:rsidRPr="00FF7A00" w:rsidRDefault="00054996" w:rsidP="008F6AA4">
            <w:pPr>
              <w:spacing w:before="60" w:after="60" w:line="240" w:lineRule="auto"/>
              <w:ind w:left="142" w:right="57"/>
              <w:rPr>
                <w:rFonts w:ascii="Arial" w:hAnsi="Arial" w:cs="Arial"/>
                <w:sz w:val="20"/>
                <w:szCs w:val="20"/>
              </w:rPr>
            </w:pPr>
            <w:r w:rsidRPr="00FF7A00">
              <w:rPr>
                <w:rFonts w:ascii="Arial" w:hAnsi="Arial" w:cs="Arial"/>
                <w:sz w:val="20"/>
                <w:szCs w:val="20"/>
              </w:rPr>
              <w:t xml:space="preserve">Regarding PAH risk factors in children, the </w:t>
            </w:r>
            <w:r w:rsidR="008F6AA4">
              <w:rPr>
                <w:rFonts w:ascii="Arial" w:hAnsi="Arial" w:cs="Arial"/>
                <w:sz w:val="20"/>
                <w:szCs w:val="20"/>
              </w:rPr>
              <w:t xml:space="preserve">2015 </w:t>
            </w:r>
            <w:r w:rsidRPr="00FF7A00">
              <w:rPr>
                <w:rFonts w:ascii="Arial" w:hAnsi="Arial" w:cs="Arial"/>
                <w:sz w:val="20"/>
                <w:szCs w:val="20"/>
              </w:rPr>
              <w:t>ESC/ERS guideline</w:t>
            </w:r>
            <w:r w:rsidR="008F6AA4">
              <w:rPr>
                <w:rFonts w:ascii="Arial" w:hAnsi="Arial" w:cs="Arial"/>
                <w:sz w:val="20"/>
                <w:szCs w:val="20"/>
              </w:rPr>
              <w:t>s</w:t>
            </w:r>
            <w:r w:rsidRPr="00FF7A00">
              <w:rPr>
                <w:rFonts w:ascii="Arial" w:hAnsi="Arial" w:cs="Arial"/>
                <w:sz w:val="20"/>
                <w:szCs w:val="20"/>
              </w:rPr>
              <w:t xml:space="preserve"> </w:t>
            </w:r>
            <w:proofErr w:type="gramStart"/>
            <w:r w:rsidRPr="00FF7A00">
              <w:rPr>
                <w:rFonts w:ascii="Arial" w:hAnsi="Arial" w:cs="Arial"/>
                <w:sz w:val="20"/>
                <w:szCs w:val="20"/>
              </w:rPr>
              <w:t>state that</w:t>
            </w:r>
            <w:proofErr w:type="gramEnd"/>
            <w:r w:rsidRPr="00FF7A00">
              <w:rPr>
                <w:rFonts w:ascii="Arial" w:hAnsi="Arial" w:cs="Arial"/>
                <w:sz w:val="20"/>
                <w:szCs w:val="20"/>
              </w:rPr>
              <w:t xml:space="preserve"> “</w:t>
            </w:r>
            <w:r w:rsidRPr="00FF7A00">
              <w:rPr>
                <w:rFonts w:ascii="Arial" w:hAnsi="Arial" w:cs="Arial"/>
                <w:i/>
                <w:sz w:val="20"/>
                <w:szCs w:val="20"/>
              </w:rPr>
              <w:t>As in adults, clinical evidence of RV failure, progression of symptoms, WHO-FC III/IV and elevated</w:t>
            </w:r>
            <w:r w:rsidR="00215946">
              <w:rPr>
                <w:rFonts w:ascii="Arial" w:hAnsi="Arial" w:cs="Arial"/>
                <w:i/>
                <w:sz w:val="20"/>
                <w:szCs w:val="20"/>
              </w:rPr>
              <w:t xml:space="preserve"> </w:t>
            </w:r>
            <w:r w:rsidR="00215946" w:rsidRPr="00215946">
              <w:rPr>
                <w:rFonts w:ascii="Arial" w:hAnsi="Arial" w:cs="Arial"/>
                <w:i/>
                <w:sz w:val="20"/>
                <w:szCs w:val="20"/>
              </w:rPr>
              <w:t>B-type natriuretic peptide</w:t>
            </w:r>
            <w:r w:rsidRPr="00FF7A00">
              <w:rPr>
                <w:rFonts w:ascii="Arial" w:hAnsi="Arial" w:cs="Arial"/>
                <w:i/>
                <w:sz w:val="20"/>
                <w:szCs w:val="20"/>
              </w:rPr>
              <w:t xml:space="preserve"> </w:t>
            </w:r>
            <w:r w:rsidR="00215946">
              <w:rPr>
                <w:rFonts w:ascii="Arial" w:hAnsi="Arial" w:cs="Arial"/>
                <w:i/>
                <w:sz w:val="20"/>
                <w:szCs w:val="20"/>
              </w:rPr>
              <w:t>(</w:t>
            </w:r>
            <w:r w:rsidRPr="00FF7A00">
              <w:rPr>
                <w:rFonts w:ascii="Arial" w:hAnsi="Arial" w:cs="Arial"/>
                <w:i/>
                <w:sz w:val="20"/>
                <w:szCs w:val="20"/>
              </w:rPr>
              <w:t>BNP</w:t>
            </w:r>
            <w:r w:rsidR="00215946">
              <w:rPr>
                <w:rFonts w:ascii="Arial" w:hAnsi="Arial" w:cs="Arial"/>
                <w:i/>
                <w:sz w:val="20"/>
                <w:szCs w:val="20"/>
              </w:rPr>
              <w:t>)</w:t>
            </w:r>
            <w:r w:rsidRPr="00FF7A00">
              <w:rPr>
                <w:rFonts w:ascii="Arial" w:hAnsi="Arial" w:cs="Arial"/>
                <w:i/>
                <w:sz w:val="20"/>
                <w:szCs w:val="20"/>
              </w:rPr>
              <w:t xml:space="preserve"> levels are recognized as being associated with higher risk of death. In children, failure to thrive, haemodynamic parameters such as the </w:t>
            </w:r>
            <w:proofErr w:type="spellStart"/>
            <w:r w:rsidRPr="00FF7A00">
              <w:rPr>
                <w:rFonts w:ascii="Arial" w:hAnsi="Arial" w:cs="Arial"/>
                <w:i/>
                <w:sz w:val="20"/>
                <w:szCs w:val="20"/>
              </w:rPr>
              <w:t>mPAP</w:t>
            </w:r>
            <w:proofErr w:type="gramStart"/>
            <w:r w:rsidRPr="00FF7A00">
              <w:rPr>
                <w:rFonts w:ascii="Arial" w:hAnsi="Arial" w:cs="Arial"/>
                <w:i/>
                <w:sz w:val="20"/>
                <w:szCs w:val="20"/>
              </w:rPr>
              <w:t>:systemic</w:t>
            </w:r>
            <w:proofErr w:type="spellEnd"/>
            <w:proofErr w:type="gramEnd"/>
            <w:r w:rsidRPr="00FF7A00">
              <w:rPr>
                <w:rFonts w:ascii="Arial" w:hAnsi="Arial" w:cs="Arial"/>
                <w:i/>
                <w:sz w:val="20"/>
                <w:szCs w:val="20"/>
              </w:rPr>
              <w:t xml:space="preserve"> artery pressure ratio, RAP &gt;10 mmHg and PVR index &gt;20 Wood Units/m</w:t>
            </w:r>
            <w:r w:rsidRPr="002614AE">
              <w:rPr>
                <w:rFonts w:ascii="Arial" w:hAnsi="Arial" w:cs="Arial"/>
                <w:i/>
                <w:sz w:val="20"/>
                <w:szCs w:val="20"/>
                <w:vertAlign w:val="superscript"/>
              </w:rPr>
              <w:t>2</w:t>
            </w:r>
            <w:r w:rsidRPr="00FF7A00">
              <w:rPr>
                <w:rFonts w:ascii="Arial" w:hAnsi="Arial" w:cs="Arial"/>
                <w:i/>
                <w:sz w:val="20"/>
                <w:szCs w:val="20"/>
              </w:rPr>
              <w:t xml:space="preserve"> have also been associated with a higher risk of death, while the 6MWD was not a prognostic parameter.”</w:t>
            </w:r>
          </w:p>
        </w:tc>
      </w:tr>
      <w:tr w:rsidR="00A10002" w:rsidRPr="00FF7A00" w14:paraId="2361B19B" w14:textId="77777777" w:rsidTr="00121FE1">
        <w:tc>
          <w:tcPr>
            <w:tcW w:w="5000" w:type="pct"/>
            <w:gridSpan w:val="2"/>
            <w:tcBorders>
              <w:bottom w:val="single" w:sz="4" w:space="0" w:color="auto"/>
            </w:tcBorders>
            <w:shd w:val="clear" w:color="auto" w:fill="000000" w:themeFill="text1"/>
          </w:tcPr>
          <w:p w14:paraId="51AAE00A" w14:textId="77777777" w:rsidR="00A10002" w:rsidRPr="00FF7A00" w:rsidRDefault="00FB1802" w:rsidP="009C556B">
            <w:pPr>
              <w:spacing w:before="60" w:after="60" w:line="240" w:lineRule="auto"/>
              <w:ind w:left="142" w:right="57"/>
              <w:rPr>
                <w:rFonts w:ascii="Arial" w:hAnsi="Arial" w:cs="Arial"/>
                <w:b/>
                <w:sz w:val="20"/>
                <w:szCs w:val="20"/>
              </w:rPr>
            </w:pPr>
            <w:r w:rsidRPr="00FF7A00">
              <w:rPr>
                <w:rFonts w:ascii="Arial" w:hAnsi="Arial" w:cs="Arial"/>
                <w:b/>
                <w:sz w:val="20"/>
                <w:szCs w:val="20"/>
              </w:rPr>
              <w:t>T</w:t>
            </w:r>
            <w:r w:rsidR="00A10002" w:rsidRPr="00FF7A00">
              <w:rPr>
                <w:rFonts w:ascii="Arial" w:hAnsi="Arial" w:cs="Arial"/>
                <w:b/>
                <w:sz w:val="20"/>
                <w:szCs w:val="20"/>
              </w:rPr>
              <w:t xml:space="preserve">reatment response (per </w:t>
            </w:r>
            <w:r w:rsidR="008F6AA4">
              <w:rPr>
                <w:rFonts w:ascii="Arial" w:hAnsi="Arial" w:cs="Arial"/>
                <w:b/>
                <w:sz w:val="20"/>
                <w:szCs w:val="20"/>
              </w:rPr>
              <w:t xml:space="preserve">2015 </w:t>
            </w:r>
            <w:r w:rsidR="00A10002" w:rsidRPr="00FF7A00">
              <w:rPr>
                <w:rFonts w:ascii="Arial" w:hAnsi="Arial" w:cs="Arial"/>
                <w:b/>
                <w:sz w:val="20"/>
                <w:szCs w:val="20"/>
              </w:rPr>
              <w:t>ESC/ERS guideline</w:t>
            </w:r>
            <w:r w:rsidR="008F6AA4">
              <w:rPr>
                <w:rFonts w:ascii="Arial" w:hAnsi="Arial" w:cs="Arial"/>
                <w:b/>
                <w:sz w:val="20"/>
                <w:szCs w:val="20"/>
              </w:rPr>
              <w:t>s</w:t>
            </w:r>
            <w:r w:rsidR="009C556B" w:rsidRPr="00FF7A00">
              <w:rPr>
                <w:rFonts w:ascii="Arial" w:hAnsi="Arial" w:cs="Arial"/>
                <w:b/>
                <w:noProof/>
                <w:sz w:val="20"/>
                <w:szCs w:val="20"/>
                <w:vertAlign w:val="superscript"/>
              </w:rPr>
              <w:t>8</w:t>
            </w:r>
            <w:r w:rsidR="00A10002" w:rsidRPr="00FF7A00">
              <w:rPr>
                <w:rFonts w:ascii="Arial" w:hAnsi="Arial" w:cs="Arial"/>
                <w:b/>
                <w:sz w:val="20"/>
                <w:szCs w:val="20"/>
              </w:rPr>
              <w:t>)</w:t>
            </w:r>
          </w:p>
        </w:tc>
      </w:tr>
      <w:tr w:rsidR="00054996" w:rsidRPr="00FF7A00" w14:paraId="106A7DAD" w14:textId="77777777" w:rsidTr="00541D71">
        <w:tc>
          <w:tcPr>
            <w:tcW w:w="662" w:type="pct"/>
          </w:tcPr>
          <w:p w14:paraId="75E75635" w14:textId="77777777" w:rsidR="00054996" w:rsidRPr="00FF7A00" w:rsidRDefault="00A10002" w:rsidP="00FF7A00">
            <w:pPr>
              <w:spacing w:before="60" w:after="60" w:line="240" w:lineRule="auto"/>
              <w:ind w:left="147" w:right="57"/>
              <w:rPr>
                <w:rFonts w:ascii="Arial" w:hAnsi="Arial" w:cs="Arial"/>
                <w:sz w:val="20"/>
                <w:szCs w:val="20"/>
              </w:rPr>
            </w:pPr>
            <w:r w:rsidRPr="00FF7A00">
              <w:rPr>
                <w:rFonts w:ascii="Arial" w:hAnsi="Arial" w:cs="Arial"/>
                <w:sz w:val="20"/>
                <w:szCs w:val="20"/>
              </w:rPr>
              <w:t>Assessments</w:t>
            </w:r>
          </w:p>
        </w:tc>
        <w:tc>
          <w:tcPr>
            <w:tcW w:w="4338" w:type="pct"/>
          </w:tcPr>
          <w:p w14:paraId="46E3135C" w14:textId="77777777" w:rsidR="00A10002" w:rsidRPr="00FF7A00" w:rsidRDefault="00FB1802" w:rsidP="00E70D1B">
            <w:pPr>
              <w:tabs>
                <w:tab w:val="left" w:pos="8897"/>
              </w:tabs>
              <w:spacing w:before="60" w:after="60" w:line="240" w:lineRule="auto"/>
              <w:ind w:left="142" w:right="57"/>
              <w:rPr>
                <w:rFonts w:ascii="Arial" w:hAnsi="Arial" w:cs="Arial"/>
                <w:i/>
                <w:sz w:val="20"/>
                <w:szCs w:val="20"/>
              </w:rPr>
            </w:pPr>
            <w:r w:rsidRPr="00FF7A00">
              <w:rPr>
                <w:rFonts w:ascii="Arial" w:hAnsi="Arial" w:cs="Arial"/>
                <w:i/>
                <w:sz w:val="20"/>
                <w:szCs w:val="20"/>
              </w:rPr>
              <w:t>“</w:t>
            </w:r>
            <w:r w:rsidR="00A10002" w:rsidRPr="00FF7A00">
              <w:rPr>
                <w:rFonts w:ascii="Arial" w:hAnsi="Arial" w:cs="Arial"/>
                <w:i/>
                <w:sz w:val="20"/>
                <w:szCs w:val="20"/>
              </w:rPr>
              <w:t>It is recommended to evaluate the severity of PAH patients with a panel of data derived from clinical assessment,</w:t>
            </w:r>
            <w:r w:rsidR="00C40AC4" w:rsidRPr="00FF7A00">
              <w:rPr>
                <w:rFonts w:ascii="Arial" w:hAnsi="Arial" w:cs="Arial"/>
                <w:i/>
                <w:sz w:val="20"/>
                <w:szCs w:val="20"/>
              </w:rPr>
              <w:t xml:space="preserve"> </w:t>
            </w:r>
            <w:r w:rsidR="00A10002" w:rsidRPr="00FF7A00">
              <w:rPr>
                <w:rFonts w:ascii="Arial" w:hAnsi="Arial" w:cs="Arial"/>
                <w:i/>
                <w:sz w:val="20"/>
                <w:szCs w:val="20"/>
              </w:rPr>
              <w:t>exercise tests, biochemical markers and echocardiographic and haemodynamic evaluations</w:t>
            </w:r>
            <w:r w:rsidRPr="00FF7A00">
              <w:rPr>
                <w:rFonts w:ascii="Arial" w:hAnsi="Arial" w:cs="Arial"/>
                <w:i/>
                <w:sz w:val="20"/>
                <w:szCs w:val="20"/>
              </w:rPr>
              <w:t>”</w:t>
            </w:r>
            <w:r w:rsidR="00A10002" w:rsidRPr="00FF7A00">
              <w:rPr>
                <w:rFonts w:ascii="Arial" w:hAnsi="Arial" w:cs="Arial"/>
                <w:sz w:val="20"/>
                <w:szCs w:val="20"/>
              </w:rPr>
              <w:t xml:space="preserve"> – see</w:t>
            </w:r>
            <w:r w:rsidR="007B0F54" w:rsidRPr="00FF7A00">
              <w:rPr>
                <w:rFonts w:ascii="Arial" w:hAnsi="Arial" w:cs="Arial"/>
                <w:sz w:val="20"/>
                <w:szCs w:val="20"/>
              </w:rPr>
              <w:t xml:space="preserve"> </w:t>
            </w:r>
            <w:r w:rsidR="00CE16FA">
              <w:rPr>
                <w:rFonts w:ascii="Arial" w:hAnsi="Arial" w:cs="Arial"/>
                <w:sz w:val="20"/>
                <w:szCs w:val="20"/>
              </w:rPr>
              <w:t>Table 1.13</w:t>
            </w:r>
            <w:r w:rsidR="00E70D1B">
              <w:rPr>
                <w:rFonts w:ascii="Arial" w:hAnsi="Arial" w:cs="Arial"/>
                <w:sz w:val="20"/>
                <w:szCs w:val="20"/>
              </w:rPr>
              <w:t xml:space="preserve">. </w:t>
            </w:r>
            <w:r w:rsidR="00A10002" w:rsidRPr="00FF7A00">
              <w:rPr>
                <w:rFonts w:ascii="Arial" w:hAnsi="Arial" w:cs="Arial"/>
                <w:sz w:val="20"/>
                <w:szCs w:val="20"/>
              </w:rPr>
              <w:t>The assessments are the same as those to determine risk factors</w:t>
            </w:r>
            <w:r w:rsidR="00B835D2">
              <w:rPr>
                <w:rFonts w:ascii="Arial" w:hAnsi="Arial" w:cs="Arial"/>
                <w:sz w:val="20"/>
                <w:szCs w:val="20"/>
              </w:rPr>
              <w:t>.</w:t>
            </w:r>
          </w:p>
        </w:tc>
      </w:tr>
      <w:tr w:rsidR="00054996" w:rsidRPr="00FF7A00" w14:paraId="3D42CE68" w14:textId="77777777" w:rsidTr="00541D71">
        <w:tc>
          <w:tcPr>
            <w:tcW w:w="662" w:type="pct"/>
          </w:tcPr>
          <w:p w14:paraId="606413BD" w14:textId="77777777" w:rsidR="00054996" w:rsidRPr="00FF7A00" w:rsidRDefault="00A10002" w:rsidP="00FF7A00">
            <w:pPr>
              <w:spacing w:before="60" w:after="60" w:line="240" w:lineRule="auto"/>
              <w:ind w:left="147" w:right="57"/>
              <w:rPr>
                <w:rFonts w:ascii="Arial" w:hAnsi="Arial" w:cs="Arial"/>
                <w:sz w:val="20"/>
                <w:szCs w:val="20"/>
              </w:rPr>
            </w:pPr>
            <w:r w:rsidRPr="00FF7A00">
              <w:rPr>
                <w:rFonts w:ascii="Arial" w:hAnsi="Arial" w:cs="Arial"/>
                <w:sz w:val="20"/>
                <w:szCs w:val="20"/>
              </w:rPr>
              <w:t>Frequency</w:t>
            </w:r>
          </w:p>
        </w:tc>
        <w:tc>
          <w:tcPr>
            <w:tcW w:w="4338" w:type="pct"/>
          </w:tcPr>
          <w:p w14:paraId="7A5614D8" w14:textId="77777777" w:rsidR="00FB1802" w:rsidRPr="00B835D2" w:rsidRDefault="00FB1802" w:rsidP="00B835D2">
            <w:pPr>
              <w:spacing w:before="60" w:after="240" w:line="240" w:lineRule="auto"/>
              <w:ind w:left="142" w:right="57"/>
              <w:rPr>
                <w:rFonts w:ascii="Arial" w:hAnsi="Arial" w:cs="Arial"/>
                <w:sz w:val="20"/>
                <w:szCs w:val="20"/>
              </w:rPr>
            </w:pPr>
            <w:r w:rsidRPr="00FF7A00">
              <w:rPr>
                <w:rFonts w:ascii="Arial" w:hAnsi="Arial" w:cs="Arial"/>
                <w:i/>
                <w:sz w:val="20"/>
                <w:szCs w:val="20"/>
              </w:rPr>
              <w:t>“</w:t>
            </w:r>
            <w:r w:rsidR="00A10002" w:rsidRPr="00FF7A00">
              <w:rPr>
                <w:rFonts w:ascii="Arial" w:hAnsi="Arial" w:cs="Arial"/>
                <w:i/>
                <w:sz w:val="20"/>
                <w:szCs w:val="20"/>
              </w:rPr>
              <w:t>It is recommended to perform regular follow-up assessments every 3–6 months in stable patients</w:t>
            </w:r>
            <w:r w:rsidRPr="00FF7A00">
              <w:rPr>
                <w:rFonts w:ascii="Arial" w:hAnsi="Arial" w:cs="Arial"/>
                <w:i/>
                <w:sz w:val="20"/>
                <w:szCs w:val="20"/>
              </w:rPr>
              <w:t>”</w:t>
            </w:r>
            <w:r w:rsidR="00A10002" w:rsidRPr="00FF7A00">
              <w:rPr>
                <w:rFonts w:ascii="Arial" w:hAnsi="Arial" w:cs="Arial"/>
                <w:sz w:val="20"/>
                <w:szCs w:val="20"/>
              </w:rPr>
              <w:t xml:space="preserve"> – see </w:t>
            </w:r>
            <w:r w:rsidR="00CE16FA">
              <w:rPr>
                <w:rFonts w:ascii="Arial" w:hAnsi="Arial" w:cs="Arial"/>
                <w:sz w:val="20"/>
                <w:szCs w:val="20"/>
              </w:rPr>
              <w:t>Table 1.13</w:t>
            </w:r>
            <w:r w:rsidR="003C17FA" w:rsidRPr="00FF7A00">
              <w:rPr>
                <w:rFonts w:ascii="Arial" w:hAnsi="Arial" w:cs="Arial"/>
                <w:sz w:val="20"/>
                <w:szCs w:val="20"/>
              </w:rPr>
              <w:t xml:space="preserve">. </w:t>
            </w:r>
          </w:p>
          <w:p w14:paraId="536AA4D8" w14:textId="77777777" w:rsidR="00FB1802" w:rsidRPr="00FF7A00" w:rsidRDefault="00FB1802" w:rsidP="009C556B">
            <w:pPr>
              <w:spacing w:before="60" w:after="60" w:line="240" w:lineRule="auto"/>
              <w:ind w:left="142" w:right="57"/>
              <w:rPr>
                <w:rFonts w:ascii="Arial" w:hAnsi="Arial" w:cs="Arial"/>
                <w:i/>
                <w:sz w:val="20"/>
                <w:szCs w:val="20"/>
              </w:rPr>
            </w:pPr>
            <w:r w:rsidRPr="00FF7A00">
              <w:rPr>
                <w:rFonts w:ascii="Arial" w:hAnsi="Arial" w:cs="Arial"/>
                <w:i/>
                <w:sz w:val="20"/>
                <w:szCs w:val="20"/>
              </w:rPr>
              <w:t>“In children, it is recommended RHC should be repeated within 3 to 12 months after initiation of therapy to evaluate response or upon clinical worsening; and thereafter at regular follow-up intervals or upon clinical worsening. In general, follow-up should be made, at a minimum, every 3 to 6 months, or more frequently visits for children with advanced disease or if PAH changing medication”</w:t>
            </w:r>
            <w:r w:rsidR="009C556B" w:rsidRPr="009C556B">
              <w:rPr>
                <w:rFonts w:ascii="Arial" w:hAnsi="Arial" w:cs="Arial"/>
                <w:i/>
                <w:noProof/>
                <w:sz w:val="20"/>
                <w:szCs w:val="20"/>
                <w:vertAlign w:val="superscript"/>
              </w:rPr>
              <w:t>22, 23</w:t>
            </w:r>
            <w:r w:rsidR="00433046">
              <w:rPr>
                <w:rFonts w:ascii="Arial" w:hAnsi="Arial" w:cs="Arial"/>
                <w:i/>
                <w:sz w:val="20"/>
                <w:szCs w:val="20"/>
              </w:rPr>
              <w:t>.</w:t>
            </w:r>
          </w:p>
        </w:tc>
      </w:tr>
      <w:tr w:rsidR="00A10002" w:rsidRPr="00FF7A00" w14:paraId="57087286" w14:textId="77777777" w:rsidTr="00541D71">
        <w:tc>
          <w:tcPr>
            <w:tcW w:w="662" w:type="pct"/>
          </w:tcPr>
          <w:p w14:paraId="46F540C0" w14:textId="77777777" w:rsidR="00A10002" w:rsidRPr="00FF7A00" w:rsidRDefault="00A10002" w:rsidP="00FF7A00">
            <w:pPr>
              <w:spacing w:before="60" w:after="60" w:line="240" w:lineRule="auto"/>
              <w:ind w:left="147" w:right="57"/>
              <w:rPr>
                <w:rFonts w:ascii="Arial" w:hAnsi="Arial" w:cs="Arial"/>
                <w:sz w:val="20"/>
                <w:szCs w:val="20"/>
              </w:rPr>
            </w:pPr>
            <w:r w:rsidRPr="00FF7A00">
              <w:rPr>
                <w:rFonts w:ascii="Arial" w:hAnsi="Arial" w:cs="Arial"/>
                <w:sz w:val="20"/>
                <w:szCs w:val="20"/>
              </w:rPr>
              <w:t>Objectives</w:t>
            </w:r>
          </w:p>
        </w:tc>
        <w:tc>
          <w:tcPr>
            <w:tcW w:w="4338" w:type="pct"/>
          </w:tcPr>
          <w:p w14:paraId="49C1DED7" w14:textId="77777777" w:rsidR="00A10002" w:rsidRPr="00FF7A00" w:rsidRDefault="00FB1802" w:rsidP="00FF7A00">
            <w:pPr>
              <w:spacing w:before="60" w:after="60" w:line="240" w:lineRule="auto"/>
              <w:ind w:left="142" w:right="57"/>
              <w:rPr>
                <w:rFonts w:ascii="Arial" w:hAnsi="Arial" w:cs="Arial"/>
                <w:i/>
                <w:sz w:val="20"/>
                <w:szCs w:val="20"/>
              </w:rPr>
            </w:pPr>
            <w:r w:rsidRPr="00FF7A00">
              <w:rPr>
                <w:rFonts w:ascii="Arial" w:hAnsi="Arial" w:cs="Arial"/>
                <w:i/>
                <w:sz w:val="20"/>
                <w:szCs w:val="20"/>
              </w:rPr>
              <w:t>“</w:t>
            </w:r>
            <w:r w:rsidR="00A10002" w:rsidRPr="00FF7A00">
              <w:rPr>
                <w:rFonts w:ascii="Arial" w:hAnsi="Arial" w:cs="Arial"/>
                <w:i/>
                <w:sz w:val="20"/>
                <w:szCs w:val="20"/>
              </w:rPr>
              <w:t>Achievement/maintenance of a low-risk profile is recommended as an adequate treatment response for patients with PAH</w:t>
            </w:r>
            <w:r w:rsidRPr="00FF7A00">
              <w:rPr>
                <w:rFonts w:ascii="Arial" w:hAnsi="Arial" w:cs="Arial"/>
                <w:i/>
                <w:sz w:val="20"/>
                <w:szCs w:val="20"/>
              </w:rPr>
              <w:t>”</w:t>
            </w:r>
            <w:r w:rsidR="00433046">
              <w:rPr>
                <w:rFonts w:ascii="Arial" w:hAnsi="Arial" w:cs="Arial"/>
                <w:i/>
                <w:sz w:val="20"/>
                <w:szCs w:val="20"/>
              </w:rPr>
              <w:t>.</w:t>
            </w:r>
          </w:p>
          <w:p w14:paraId="2D8EB6D2" w14:textId="77777777" w:rsidR="00A10002" w:rsidRPr="00FF7A00" w:rsidRDefault="00FB1802" w:rsidP="00FF7A00">
            <w:pPr>
              <w:spacing w:before="60" w:after="60" w:line="240" w:lineRule="auto"/>
              <w:ind w:left="142" w:right="57"/>
              <w:rPr>
                <w:rFonts w:ascii="Arial" w:hAnsi="Arial" w:cs="Arial"/>
                <w:i/>
                <w:sz w:val="20"/>
                <w:szCs w:val="20"/>
              </w:rPr>
            </w:pPr>
            <w:r w:rsidRPr="00FF7A00">
              <w:rPr>
                <w:rFonts w:ascii="Arial" w:hAnsi="Arial" w:cs="Arial"/>
                <w:i/>
                <w:sz w:val="20"/>
                <w:szCs w:val="20"/>
              </w:rPr>
              <w:t>“</w:t>
            </w:r>
            <w:r w:rsidR="00A10002" w:rsidRPr="00FF7A00">
              <w:rPr>
                <w:rFonts w:ascii="Arial" w:hAnsi="Arial" w:cs="Arial"/>
                <w:i/>
                <w:sz w:val="20"/>
                <w:szCs w:val="20"/>
              </w:rPr>
              <w:t>Achievement/maintenance of an intermediate-risk profile should be considered an inadequate treatment response for most patients with PAH</w:t>
            </w:r>
            <w:r w:rsidRPr="00FF7A00">
              <w:rPr>
                <w:rFonts w:ascii="Arial" w:hAnsi="Arial" w:cs="Arial"/>
                <w:i/>
                <w:sz w:val="20"/>
                <w:szCs w:val="20"/>
              </w:rPr>
              <w:t>”</w:t>
            </w:r>
            <w:r w:rsidR="00433046">
              <w:rPr>
                <w:rFonts w:ascii="Arial" w:hAnsi="Arial" w:cs="Arial"/>
                <w:i/>
                <w:sz w:val="20"/>
                <w:szCs w:val="20"/>
              </w:rPr>
              <w:t>.</w:t>
            </w:r>
          </w:p>
        </w:tc>
      </w:tr>
      <w:tr w:rsidR="00FB1802" w:rsidRPr="00FF7A00" w14:paraId="01AE3AD0" w14:textId="77777777" w:rsidTr="00FF7A00">
        <w:tc>
          <w:tcPr>
            <w:tcW w:w="662" w:type="pct"/>
            <w:tcBorders>
              <w:bottom w:val="single" w:sz="4" w:space="0" w:color="auto"/>
            </w:tcBorders>
          </w:tcPr>
          <w:p w14:paraId="7A1E6F85" w14:textId="77777777" w:rsidR="00FB1802" w:rsidRPr="00541D71" w:rsidRDefault="00FB1802" w:rsidP="00FF7A00">
            <w:pPr>
              <w:spacing w:before="60" w:after="60" w:line="240" w:lineRule="auto"/>
              <w:ind w:left="147" w:right="57"/>
              <w:rPr>
                <w:rFonts w:ascii="Arial" w:hAnsi="Arial" w:cs="Arial"/>
                <w:sz w:val="20"/>
                <w:szCs w:val="20"/>
              </w:rPr>
            </w:pPr>
            <w:r w:rsidRPr="00541D71">
              <w:rPr>
                <w:rFonts w:ascii="Arial" w:hAnsi="Arial" w:cs="Arial"/>
                <w:sz w:val="20"/>
                <w:szCs w:val="20"/>
              </w:rPr>
              <w:t>Clinical worsening</w:t>
            </w:r>
          </w:p>
        </w:tc>
        <w:tc>
          <w:tcPr>
            <w:tcW w:w="4338" w:type="pct"/>
          </w:tcPr>
          <w:p w14:paraId="7CA93048" w14:textId="77777777" w:rsidR="00FB1802" w:rsidRPr="00FF7A00" w:rsidRDefault="00FB1802" w:rsidP="009C556B">
            <w:pPr>
              <w:spacing w:before="60" w:after="60" w:line="240" w:lineRule="auto"/>
              <w:ind w:left="142" w:right="57"/>
              <w:rPr>
                <w:rFonts w:ascii="Arial" w:hAnsi="Arial" w:cs="Arial"/>
                <w:i/>
                <w:sz w:val="20"/>
                <w:szCs w:val="20"/>
              </w:rPr>
            </w:pPr>
            <w:r w:rsidRPr="00541D71">
              <w:rPr>
                <w:rFonts w:ascii="Arial" w:hAnsi="Arial" w:cs="Arial"/>
                <w:i/>
                <w:sz w:val="20"/>
                <w:szCs w:val="20"/>
              </w:rPr>
              <w:t xml:space="preserve">Clinical worsening is the main indicator of a change in PAH disease status. Time to clinical worsening is frequently included as a secondary endpoint in PAH clinical </w:t>
            </w:r>
            <w:proofErr w:type="gramStart"/>
            <w:r w:rsidRPr="00541D71">
              <w:rPr>
                <w:rFonts w:ascii="Arial" w:hAnsi="Arial" w:cs="Arial"/>
                <w:i/>
                <w:sz w:val="20"/>
                <w:szCs w:val="20"/>
              </w:rPr>
              <w:t>trials</w:t>
            </w:r>
            <w:r w:rsidR="009C556B" w:rsidRPr="00541D71">
              <w:rPr>
                <w:rFonts w:ascii="Arial" w:hAnsi="Arial" w:cs="Arial"/>
                <w:i/>
                <w:noProof/>
                <w:sz w:val="20"/>
                <w:szCs w:val="20"/>
                <w:vertAlign w:val="superscript"/>
              </w:rPr>
              <w:t>34</w:t>
            </w:r>
            <w:r w:rsidRPr="00541D71">
              <w:rPr>
                <w:rFonts w:ascii="Arial" w:hAnsi="Arial" w:cs="Arial"/>
                <w:i/>
                <w:sz w:val="20"/>
                <w:szCs w:val="20"/>
              </w:rPr>
              <w:t>(</w:t>
            </w:r>
            <w:proofErr w:type="gramEnd"/>
            <w:r w:rsidRPr="00541D71">
              <w:rPr>
                <w:rFonts w:ascii="Arial" w:hAnsi="Arial" w:cs="Arial"/>
                <w:i/>
                <w:sz w:val="20"/>
                <w:szCs w:val="20"/>
              </w:rPr>
              <w:t xml:space="preserve">discussed further in TOR4). The guidelines refer to clinical worsening but without offering a definition for use in clinical practice (c.f. clinical trials). Change in exercise capacity and signs of right heart failure will be dependent on frequency of assessment and the margin that </w:t>
            </w:r>
            <w:proofErr w:type="gramStart"/>
            <w:r w:rsidRPr="00541D71">
              <w:rPr>
                <w:rFonts w:ascii="Arial" w:hAnsi="Arial" w:cs="Arial"/>
                <w:i/>
                <w:sz w:val="20"/>
                <w:szCs w:val="20"/>
              </w:rPr>
              <w:t>is defined</w:t>
            </w:r>
            <w:proofErr w:type="gramEnd"/>
            <w:r w:rsidRPr="00541D71">
              <w:rPr>
                <w:rFonts w:ascii="Arial" w:hAnsi="Arial" w:cs="Arial"/>
                <w:i/>
                <w:sz w:val="20"/>
                <w:szCs w:val="20"/>
              </w:rPr>
              <w:t xml:space="preserve"> as clinically meaningful.</w:t>
            </w:r>
            <w:r w:rsidRPr="00FF7A00">
              <w:rPr>
                <w:rFonts w:ascii="Arial" w:hAnsi="Arial" w:cs="Arial"/>
                <w:i/>
                <w:sz w:val="20"/>
                <w:szCs w:val="20"/>
              </w:rPr>
              <w:t xml:space="preserve"> </w:t>
            </w:r>
          </w:p>
        </w:tc>
      </w:tr>
      <w:tr w:rsidR="00FB1802" w:rsidRPr="00FF7A00" w14:paraId="6810A181" w14:textId="77777777" w:rsidTr="00121FE1">
        <w:tc>
          <w:tcPr>
            <w:tcW w:w="662" w:type="pct"/>
            <w:tcBorders>
              <w:bottom w:val="single" w:sz="4" w:space="0" w:color="auto"/>
            </w:tcBorders>
          </w:tcPr>
          <w:p w14:paraId="1412EC65" w14:textId="77777777" w:rsidR="00FB1802" w:rsidRPr="00FF7A00" w:rsidRDefault="00FB1802" w:rsidP="00FF7A00">
            <w:pPr>
              <w:spacing w:before="60" w:after="60" w:line="240" w:lineRule="auto"/>
              <w:ind w:left="147" w:right="57"/>
              <w:rPr>
                <w:rFonts w:ascii="Arial" w:hAnsi="Arial" w:cs="Arial"/>
                <w:sz w:val="20"/>
                <w:szCs w:val="20"/>
              </w:rPr>
            </w:pPr>
            <w:r w:rsidRPr="00FF7A00">
              <w:rPr>
                <w:rFonts w:ascii="Arial" w:hAnsi="Arial" w:cs="Arial"/>
                <w:sz w:val="20"/>
                <w:szCs w:val="20"/>
              </w:rPr>
              <w:t>Treatment goals</w:t>
            </w:r>
          </w:p>
        </w:tc>
        <w:tc>
          <w:tcPr>
            <w:tcW w:w="4338" w:type="pct"/>
            <w:tcBorders>
              <w:bottom w:val="single" w:sz="4" w:space="0" w:color="auto"/>
            </w:tcBorders>
          </w:tcPr>
          <w:p w14:paraId="3503A654" w14:textId="77777777" w:rsidR="00FB1802" w:rsidRPr="00FF7A00" w:rsidRDefault="00FB1802" w:rsidP="00FF7A00">
            <w:pPr>
              <w:spacing w:before="60" w:after="60" w:line="240" w:lineRule="auto"/>
              <w:ind w:left="142" w:right="57"/>
              <w:rPr>
                <w:rFonts w:ascii="Arial" w:hAnsi="Arial" w:cs="Arial"/>
                <w:i/>
                <w:sz w:val="20"/>
                <w:szCs w:val="20"/>
              </w:rPr>
            </w:pPr>
            <w:r w:rsidRPr="00FF7A00">
              <w:rPr>
                <w:rFonts w:ascii="Arial" w:hAnsi="Arial" w:cs="Arial"/>
                <w:i/>
                <w:sz w:val="20"/>
                <w:szCs w:val="20"/>
              </w:rPr>
              <w:t>“The goal-oriented treatment strategy utilises different targets, including WHO Functional Class I or II, and the near-normalisation of resting cardiac index and/or of NT-</w:t>
            </w:r>
            <w:proofErr w:type="spellStart"/>
            <w:r w:rsidRPr="00FF7A00">
              <w:rPr>
                <w:rFonts w:ascii="Arial" w:hAnsi="Arial" w:cs="Arial"/>
                <w:i/>
                <w:sz w:val="20"/>
                <w:szCs w:val="20"/>
              </w:rPr>
              <w:t>proBNP</w:t>
            </w:r>
            <w:proofErr w:type="spellEnd"/>
            <w:r w:rsidRPr="00FF7A00">
              <w:rPr>
                <w:rFonts w:ascii="Arial" w:hAnsi="Arial" w:cs="Arial"/>
                <w:i/>
                <w:sz w:val="20"/>
                <w:szCs w:val="20"/>
              </w:rPr>
              <w:t xml:space="preserve"> plasma levels.”</w:t>
            </w:r>
          </w:p>
        </w:tc>
      </w:tr>
      <w:tr w:rsidR="00FB1802" w:rsidRPr="00FF7A00" w14:paraId="36EBCC3A" w14:textId="77777777" w:rsidTr="00121FE1">
        <w:tc>
          <w:tcPr>
            <w:tcW w:w="662" w:type="pct"/>
            <w:tcBorders>
              <w:top w:val="single" w:sz="4" w:space="0" w:color="auto"/>
            </w:tcBorders>
          </w:tcPr>
          <w:p w14:paraId="6110CC85" w14:textId="77777777" w:rsidR="00FB1802" w:rsidRPr="00FF7A00" w:rsidRDefault="00FB1802" w:rsidP="00FF7A00">
            <w:pPr>
              <w:spacing w:before="60" w:after="60" w:line="240" w:lineRule="auto"/>
              <w:ind w:left="147" w:right="57"/>
              <w:rPr>
                <w:rFonts w:ascii="Arial" w:hAnsi="Arial" w:cs="Arial"/>
                <w:sz w:val="20"/>
                <w:szCs w:val="20"/>
              </w:rPr>
            </w:pPr>
          </w:p>
        </w:tc>
        <w:tc>
          <w:tcPr>
            <w:tcW w:w="4338" w:type="pct"/>
            <w:tcBorders>
              <w:top w:val="single" w:sz="4" w:space="0" w:color="auto"/>
            </w:tcBorders>
          </w:tcPr>
          <w:p w14:paraId="5C82F16B" w14:textId="77777777" w:rsidR="00FB1802" w:rsidRPr="00FF7A00" w:rsidRDefault="00FB1802" w:rsidP="00FF7A00">
            <w:pPr>
              <w:spacing w:before="60" w:after="60" w:line="240" w:lineRule="auto"/>
              <w:ind w:left="142" w:right="57"/>
              <w:rPr>
                <w:rFonts w:ascii="Arial" w:hAnsi="Arial" w:cs="Arial"/>
                <w:sz w:val="20"/>
                <w:szCs w:val="20"/>
              </w:rPr>
            </w:pPr>
            <w:r w:rsidRPr="00FF7A00">
              <w:rPr>
                <w:rFonts w:ascii="Arial" w:hAnsi="Arial" w:cs="Arial"/>
                <w:sz w:val="20"/>
                <w:szCs w:val="20"/>
              </w:rPr>
              <w:t xml:space="preserve">Choice of further goals or measures </w:t>
            </w:r>
            <w:proofErr w:type="gramStart"/>
            <w:r w:rsidRPr="00FF7A00">
              <w:rPr>
                <w:rFonts w:ascii="Arial" w:hAnsi="Arial" w:cs="Arial"/>
                <w:sz w:val="20"/>
                <w:szCs w:val="20"/>
              </w:rPr>
              <w:t>is left</w:t>
            </w:r>
            <w:proofErr w:type="gramEnd"/>
            <w:r w:rsidRPr="00FF7A00">
              <w:rPr>
                <w:rFonts w:ascii="Arial" w:hAnsi="Arial" w:cs="Arial"/>
                <w:sz w:val="20"/>
                <w:szCs w:val="20"/>
              </w:rPr>
              <w:t xml:space="preserve"> to the judgement of the treating physician and is not covered by the guidelines. However, as an illustration, suggested treatment goals for PAH are summarised in McLaughlin et al 2015</w:t>
            </w:r>
            <w:r w:rsidR="009C556B" w:rsidRPr="009C556B">
              <w:rPr>
                <w:rFonts w:ascii="Arial" w:hAnsi="Arial" w:cs="Arial"/>
                <w:noProof/>
                <w:sz w:val="20"/>
                <w:szCs w:val="20"/>
                <w:vertAlign w:val="superscript"/>
              </w:rPr>
              <w:t>29</w:t>
            </w:r>
            <w:r w:rsidRPr="00FF7A00">
              <w:rPr>
                <w:rFonts w:ascii="Arial" w:hAnsi="Arial" w:cs="Arial"/>
                <w:sz w:val="20"/>
                <w:szCs w:val="20"/>
              </w:rPr>
              <w:t>:</w:t>
            </w:r>
          </w:p>
          <w:p w14:paraId="26746D50" w14:textId="77777777" w:rsidR="00FB1802" w:rsidRPr="00FF7A00" w:rsidRDefault="00FB1802" w:rsidP="00FF7A00">
            <w:pPr>
              <w:spacing w:before="60" w:after="60" w:line="240" w:lineRule="auto"/>
              <w:ind w:left="142" w:right="57"/>
              <w:rPr>
                <w:rFonts w:ascii="Arial" w:hAnsi="Arial" w:cs="Arial"/>
                <w:sz w:val="20"/>
                <w:szCs w:val="20"/>
              </w:rPr>
            </w:pPr>
            <w:r w:rsidRPr="00FF7A00">
              <w:rPr>
                <w:rFonts w:ascii="Arial" w:hAnsi="Arial" w:cs="Arial"/>
                <w:sz w:val="20"/>
                <w:szCs w:val="20"/>
              </w:rPr>
              <w:t>Target to reach: WHO Functional Class I or II</w:t>
            </w:r>
          </w:p>
          <w:p w14:paraId="5B926EED" w14:textId="77777777" w:rsidR="00FB1802" w:rsidRPr="00FF7A00" w:rsidRDefault="00FB1802" w:rsidP="00FF7A00">
            <w:pPr>
              <w:spacing w:before="60" w:after="60" w:line="240" w:lineRule="auto"/>
              <w:ind w:left="142" w:right="57"/>
              <w:rPr>
                <w:rFonts w:ascii="Arial" w:hAnsi="Arial" w:cs="Arial"/>
                <w:sz w:val="20"/>
                <w:szCs w:val="20"/>
              </w:rPr>
            </w:pPr>
            <w:r w:rsidRPr="00FF7A00">
              <w:rPr>
                <w:rFonts w:ascii="Arial" w:hAnsi="Arial" w:cs="Arial"/>
                <w:sz w:val="20"/>
                <w:szCs w:val="20"/>
              </w:rPr>
              <w:t>•</w:t>
            </w:r>
            <w:r w:rsidRPr="00FF7A00">
              <w:rPr>
                <w:rFonts w:ascii="Arial" w:hAnsi="Arial" w:cs="Arial"/>
                <w:sz w:val="20"/>
                <w:szCs w:val="20"/>
              </w:rPr>
              <w:tab/>
              <w:t>Echocardiography/C</w:t>
            </w:r>
            <w:r w:rsidR="00AF191D" w:rsidRPr="00FF7A00">
              <w:rPr>
                <w:rFonts w:ascii="Arial" w:hAnsi="Arial" w:cs="Arial"/>
                <w:sz w:val="20"/>
                <w:szCs w:val="20"/>
              </w:rPr>
              <w:t xml:space="preserve">ardiac </w:t>
            </w:r>
            <w:r w:rsidRPr="00FF7A00">
              <w:rPr>
                <w:rFonts w:ascii="Arial" w:hAnsi="Arial" w:cs="Arial"/>
                <w:sz w:val="20"/>
                <w:szCs w:val="20"/>
              </w:rPr>
              <w:t>MRI normal or near-normal RV size and function</w:t>
            </w:r>
          </w:p>
          <w:p w14:paraId="1BB66446" w14:textId="7B728861" w:rsidR="00FB1802" w:rsidRPr="00FF7A00" w:rsidRDefault="00FB1802" w:rsidP="00FF7A00">
            <w:pPr>
              <w:spacing w:before="60" w:after="60" w:line="240" w:lineRule="auto"/>
              <w:ind w:left="142" w:right="57"/>
              <w:rPr>
                <w:rFonts w:ascii="Arial" w:hAnsi="Arial" w:cs="Arial"/>
                <w:sz w:val="20"/>
                <w:szCs w:val="20"/>
              </w:rPr>
            </w:pPr>
            <w:r w:rsidRPr="00FF7A00">
              <w:rPr>
                <w:rFonts w:ascii="Arial" w:hAnsi="Arial" w:cs="Arial"/>
                <w:sz w:val="20"/>
                <w:szCs w:val="20"/>
              </w:rPr>
              <w:t>•</w:t>
            </w:r>
            <w:r w:rsidRPr="00FF7A00">
              <w:rPr>
                <w:rFonts w:ascii="Arial" w:hAnsi="Arial" w:cs="Arial"/>
                <w:sz w:val="20"/>
                <w:szCs w:val="20"/>
              </w:rPr>
              <w:tab/>
              <w:t>Haemodynamics:</w:t>
            </w:r>
            <w:r w:rsidR="002614AE">
              <w:rPr>
                <w:rFonts w:ascii="Arial" w:hAnsi="Arial" w:cs="Arial"/>
                <w:sz w:val="20"/>
                <w:szCs w:val="20"/>
              </w:rPr>
              <w:t xml:space="preserve"> normal indexes of RV function, </w:t>
            </w:r>
            <w:r w:rsidR="0055334C">
              <w:rPr>
                <w:rFonts w:ascii="Arial" w:hAnsi="Arial" w:cs="Arial"/>
                <w:sz w:val="20"/>
                <w:szCs w:val="20"/>
              </w:rPr>
              <w:t>RAP</w:t>
            </w:r>
            <w:r w:rsidR="00E42107">
              <w:rPr>
                <w:rFonts w:ascii="Arial" w:hAnsi="Arial" w:cs="Arial"/>
                <w:sz w:val="20"/>
                <w:szCs w:val="20"/>
              </w:rPr>
              <w:t xml:space="preserve"> &lt;8 mm</w:t>
            </w:r>
            <w:r w:rsidRPr="00FF7A00">
              <w:rPr>
                <w:rFonts w:ascii="Arial" w:hAnsi="Arial" w:cs="Arial"/>
                <w:sz w:val="20"/>
                <w:szCs w:val="20"/>
              </w:rPr>
              <w:t>Hg and cardiac index &gt;2.5 to 3.0 L/min/m</w:t>
            </w:r>
            <w:r w:rsidRPr="002614AE">
              <w:rPr>
                <w:rFonts w:ascii="Arial" w:hAnsi="Arial" w:cs="Arial"/>
                <w:sz w:val="20"/>
                <w:szCs w:val="20"/>
                <w:vertAlign w:val="superscript"/>
              </w:rPr>
              <w:t>2</w:t>
            </w:r>
            <w:r w:rsidRPr="00FF7A00">
              <w:rPr>
                <w:rFonts w:ascii="Arial" w:hAnsi="Arial" w:cs="Arial"/>
                <w:sz w:val="20"/>
                <w:szCs w:val="20"/>
              </w:rPr>
              <w:t>)</w:t>
            </w:r>
          </w:p>
          <w:p w14:paraId="3F3193AB" w14:textId="77777777" w:rsidR="00FB1802" w:rsidRPr="00FF7A00" w:rsidRDefault="00FB1802" w:rsidP="00FF7A00">
            <w:pPr>
              <w:spacing w:before="60" w:after="60" w:line="240" w:lineRule="auto"/>
              <w:ind w:left="142" w:right="57"/>
              <w:rPr>
                <w:rFonts w:ascii="Arial" w:hAnsi="Arial" w:cs="Arial"/>
                <w:sz w:val="20"/>
                <w:szCs w:val="20"/>
              </w:rPr>
            </w:pPr>
            <w:r w:rsidRPr="00FF7A00">
              <w:rPr>
                <w:rFonts w:ascii="Arial" w:hAnsi="Arial" w:cs="Arial"/>
                <w:sz w:val="20"/>
                <w:szCs w:val="20"/>
              </w:rPr>
              <w:t>•</w:t>
            </w:r>
            <w:r w:rsidRPr="00FF7A00">
              <w:rPr>
                <w:rFonts w:ascii="Arial" w:hAnsi="Arial" w:cs="Arial"/>
                <w:sz w:val="20"/>
                <w:szCs w:val="20"/>
              </w:rPr>
              <w:tab/>
              <w:t>6MWD distance &gt;380 to 440 m</w:t>
            </w:r>
          </w:p>
          <w:p w14:paraId="6BFAD079" w14:textId="77777777" w:rsidR="00FB1802" w:rsidRPr="00FF7A00" w:rsidRDefault="00FB1802" w:rsidP="00FF7A00">
            <w:pPr>
              <w:spacing w:before="60" w:after="60" w:line="240" w:lineRule="auto"/>
              <w:ind w:left="142" w:right="57"/>
              <w:rPr>
                <w:rFonts w:ascii="Arial" w:hAnsi="Arial" w:cs="Arial"/>
                <w:sz w:val="20"/>
                <w:szCs w:val="20"/>
              </w:rPr>
            </w:pPr>
            <w:r w:rsidRPr="00FF7A00">
              <w:rPr>
                <w:rFonts w:ascii="Arial" w:hAnsi="Arial" w:cs="Arial"/>
                <w:sz w:val="20"/>
                <w:szCs w:val="20"/>
              </w:rPr>
              <w:t>•</w:t>
            </w:r>
            <w:r w:rsidRPr="00FF7A00">
              <w:rPr>
                <w:rFonts w:ascii="Arial" w:hAnsi="Arial" w:cs="Arial"/>
                <w:sz w:val="20"/>
                <w:szCs w:val="20"/>
              </w:rPr>
              <w:tab/>
              <w:t xml:space="preserve">Cardiopulmonary exercise testing: peak oxygen uptake &gt;15 mL/min/kg and </w:t>
            </w:r>
            <w:proofErr w:type="spellStart"/>
            <w:r w:rsidRPr="00FF7A00">
              <w:rPr>
                <w:rFonts w:ascii="Arial" w:hAnsi="Arial" w:cs="Arial"/>
                <w:sz w:val="20"/>
                <w:szCs w:val="20"/>
              </w:rPr>
              <w:t>ventilatory</w:t>
            </w:r>
            <w:proofErr w:type="spellEnd"/>
            <w:r w:rsidRPr="00FF7A00">
              <w:rPr>
                <w:rFonts w:ascii="Arial" w:hAnsi="Arial" w:cs="Arial"/>
                <w:sz w:val="20"/>
                <w:szCs w:val="20"/>
              </w:rPr>
              <w:t xml:space="preserve"> equivalents for CO</w:t>
            </w:r>
            <w:r w:rsidRPr="002614AE">
              <w:rPr>
                <w:rFonts w:ascii="Arial" w:hAnsi="Arial" w:cs="Arial"/>
                <w:sz w:val="20"/>
                <w:szCs w:val="20"/>
                <w:vertAlign w:val="subscript"/>
              </w:rPr>
              <w:t>2</w:t>
            </w:r>
            <w:r w:rsidRPr="00FF7A00">
              <w:rPr>
                <w:rFonts w:ascii="Arial" w:hAnsi="Arial" w:cs="Arial"/>
                <w:sz w:val="20"/>
                <w:szCs w:val="20"/>
              </w:rPr>
              <w:t xml:space="preserve"> &lt;45 L/min</w:t>
            </w:r>
          </w:p>
          <w:p w14:paraId="101CAB7E" w14:textId="77777777" w:rsidR="00FB1802" w:rsidRPr="00FF7A00" w:rsidRDefault="00FB1802" w:rsidP="00FF7A00">
            <w:pPr>
              <w:spacing w:before="60" w:after="60" w:line="240" w:lineRule="auto"/>
              <w:ind w:left="142" w:right="57"/>
              <w:rPr>
                <w:rFonts w:ascii="Arial" w:hAnsi="Arial" w:cs="Arial"/>
                <w:sz w:val="20"/>
                <w:szCs w:val="20"/>
              </w:rPr>
            </w:pPr>
            <w:r w:rsidRPr="00FF7A00">
              <w:rPr>
                <w:rFonts w:ascii="Arial" w:hAnsi="Arial" w:cs="Arial"/>
                <w:sz w:val="20"/>
                <w:szCs w:val="20"/>
              </w:rPr>
              <w:t>•</w:t>
            </w:r>
            <w:r w:rsidRPr="00FF7A00">
              <w:rPr>
                <w:rFonts w:ascii="Arial" w:hAnsi="Arial" w:cs="Arial"/>
                <w:sz w:val="20"/>
                <w:szCs w:val="20"/>
              </w:rPr>
              <w:tab/>
              <w:t xml:space="preserve">BNP level: “normal” (determined by local laboratory </w:t>
            </w:r>
            <w:r w:rsidR="00940D2C" w:rsidRPr="00FF7A00">
              <w:rPr>
                <w:rFonts w:ascii="Arial" w:hAnsi="Arial" w:cs="Arial"/>
                <w:sz w:val="20"/>
                <w:szCs w:val="20"/>
              </w:rPr>
              <w:t>cut-off</w:t>
            </w:r>
            <w:r w:rsidRPr="00FF7A00">
              <w:rPr>
                <w:rFonts w:ascii="Arial" w:hAnsi="Arial" w:cs="Arial"/>
                <w:sz w:val="20"/>
                <w:szCs w:val="20"/>
              </w:rPr>
              <w:t xml:space="preserve"> values)</w:t>
            </w:r>
            <w:r w:rsidR="00433046">
              <w:rPr>
                <w:rFonts w:ascii="Arial" w:hAnsi="Arial" w:cs="Arial"/>
                <w:sz w:val="20"/>
                <w:szCs w:val="20"/>
              </w:rPr>
              <w:t>.</w:t>
            </w:r>
          </w:p>
        </w:tc>
      </w:tr>
    </w:tbl>
    <w:p w14:paraId="0F06A38A" w14:textId="77777777" w:rsidR="00054996" w:rsidRPr="00364153" w:rsidRDefault="00054996" w:rsidP="00121658">
      <w:pPr>
        <w:tabs>
          <w:tab w:val="left" w:pos="3663"/>
        </w:tabs>
        <w:spacing w:before="0" w:line="240" w:lineRule="auto"/>
        <w:rPr>
          <w:sz w:val="22"/>
        </w:rPr>
      </w:pPr>
    </w:p>
    <w:p w14:paraId="0CBCB024" w14:textId="77777777" w:rsidR="00054996" w:rsidRDefault="00054996" w:rsidP="00121658">
      <w:pPr>
        <w:tabs>
          <w:tab w:val="left" w:pos="3663"/>
        </w:tabs>
        <w:sectPr w:rsidR="00054996" w:rsidSect="00054996">
          <w:footnotePr>
            <w:numFmt w:val="chicago"/>
          </w:footnotePr>
          <w:pgSz w:w="16838" w:h="11906" w:orient="landscape"/>
          <w:pgMar w:top="1440" w:right="1440" w:bottom="1440" w:left="1440" w:header="708" w:footer="708" w:gutter="0"/>
          <w:cols w:space="708"/>
          <w:titlePg/>
          <w:docGrid w:linePitch="360"/>
        </w:sectPr>
      </w:pPr>
    </w:p>
    <w:p w14:paraId="3DBE01BC" w14:textId="77777777" w:rsidR="00826896" w:rsidRDefault="003B625D" w:rsidP="00FF7A00">
      <w:pPr>
        <w:pStyle w:val="BodyTextnospacebefore"/>
      </w:pPr>
      <w:bookmarkStart w:id="171" w:name="_Ref503518712"/>
      <w:bookmarkStart w:id="172" w:name="_Toc503800639"/>
      <w:bookmarkStart w:id="173" w:name="_Toc503811591"/>
      <w:r>
        <w:lastRenderedPageBreak/>
        <w:t>T</w:t>
      </w:r>
      <w:r w:rsidRPr="00F53D1B">
        <w:t>here is no single</w:t>
      </w:r>
      <w:r>
        <w:t xml:space="preserve"> </w:t>
      </w:r>
      <w:r w:rsidRPr="00F53D1B">
        <w:t xml:space="preserve">set of criteria recommended </w:t>
      </w:r>
      <w:r>
        <w:t>to assess</w:t>
      </w:r>
      <w:r w:rsidRPr="00F53D1B">
        <w:t xml:space="preserve"> PAH risk factors, but the various approaches suggested are similar</w:t>
      </w:r>
      <w:r>
        <w:t xml:space="preserve">. These risk factors include parameters determined by RHC (such as cardiac output, mixed venous oxygen saturation </w:t>
      </w:r>
      <w:r w:rsidR="00E8761A">
        <w:t>(</w:t>
      </w:r>
      <w:r w:rsidR="00E8761A" w:rsidRPr="00FF7A00">
        <w:rPr>
          <w:rFonts w:ascii="Arial" w:hAnsi="Arial" w:cs="Arial"/>
          <w:sz w:val="20"/>
          <w:szCs w:val="20"/>
        </w:rPr>
        <w:t>SvO</w:t>
      </w:r>
      <w:r w:rsidR="00E8761A" w:rsidRPr="00946E0E">
        <w:rPr>
          <w:rFonts w:ascii="Arial" w:hAnsi="Arial" w:cs="Arial"/>
          <w:sz w:val="20"/>
          <w:szCs w:val="20"/>
          <w:vertAlign w:val="subscript"/>
        </w:rPr>
        <w:t>2</w:t>
      </w:r>
      <w:r w:rsidR="00E8761A" w:rsidRPr="002614AE">
        <w:rPr>
          <w:rFonts w:ascii="Arial" w:hAnsi="Arial" w:cs="Arial"/>
          <w:sz w:val="20"/>
          <w:szCs w:val="20"/>
        </w:rPr>
        <w:t>)</w:t>
      </w:r>
      <w:r w:rsidR="00E8761A">
        <w:rPr>
          <w:rFonts w:ascii="Arial" w:hAnsi="Arial" w:cs="Arial"/>
          <w:sz w:val="20"/>
          <w:szCs w:val="20"/>
          <w:vertAlign w:val="subscript"/>
        </w:rPr>
        <w:t xml:space="preserve"> </w:t>
      </w:r>
      <w:r>
        <w:t xml:space="preserve">and RAP and by echocardiography (such as </w:t>
      </w:r>
      <w:r w:rsidRPr="0080307D">
        <w:t>tricuspid annular plane systolic excursion</w:t>
      </w:r>
      <w:r w:rsidR="00125ACC">
        <w:t xml:space="preserve"> (</w:t>
      </w:r>
      <w:r>
        <w:t>TAPSE</w:t>
      </w:r>
      <w:r w:rsidR="00125ACC">
        <w:t>)</w:t>
      </w:r>
      <w:r>
        <w:t xml:space="preserve"> which is a measure of right ventricular function shown to be prognostic for PAH patients</w:t>
      </w:r>
      <w:r w:rsidR="009C556B" w:rsidRPr="009C556B">
        <w:rPr>
          <w:noProof/>
          <w:vertAlign w:val="superscript"/>
        </w:rPr>
        <w:t>28</w:t>
      </w:r>
      <w:r w:rsidR="00EE1F96">
        <w:t>).</w:t>
      </w:r>
    </w:p>
    <w:p w14:paraId="3D556D07" w14:textId="77777777" w:rsidR="00054996" w:rsidRDefault="0048383C" w:rsidP="00F75B8B">
      <w:pPr>
        <w:pStyle w:val="Caption"/>
      </w:pPr>
      <w:bookmarkStart w:id="174" w:name="_Ref510795317"/>
      <w:bookmarkStart w:id="175" w:name="_Toc29377257"/>
      <w:r>
        <w:t>Table 1.</w:t>
      </w:r>
      <w:r w:rsidR="00505D99">
        <w:rPr>
          <w:noProof/>
        </w:rPr>
        <w:t>11</w:t>
      </w:r>
      <w:bookmarkEnd w:id="174"/>
      <w:r w:rsidR="00F75B8B">
        <w:tab/>
        <w:t xml:space="preserve">Clinical features of </w:t>
      </w:r>
      <w:proofErr w:type="gramStart"/>
      <w:r w:rsidR="00F75B8B">
        <w:t>high risk</w:t>
      </w:r>
      <w:proofErr w:type="gramEnd"/>
      <w:r w:rsidR="00F75B8B">
        <w:t xml:space="preserve"> vs low risk PAH patients (</w:t>
      </w:r>
      <w:r w:rsidR="008F6AA4">
        <w:t xml:space="preserve">2015 </w:t>
      </w:r>
      <w:r w:rsidR="00F75B8B">
        <w:t>ESC/ERS Guideline</w:t>
      </w:r>
      <w:r w:rsidR="008F6AA4">
        <w:t>s</w:t>
      </w:r>
      <w:r w:rsidR="00F75B8B">
        <w:t>)</w:t>
      </w:r>
      <w:bookmarkEnd w:id="175"/>
    </w:p>
    <w:tbl>
      <w:tblPr>
        <w:tblStyle w:val="TableGrid"/>
        <w:tblW w:w="5000" w:type="pct"/>
        <w:tblLook w:val="04A0" w:firstRow="1" w:lastRow="0" w:firstColumn="1" w:lastColumn="0" w:noHBand="0" w:noVBand="1"/>
        <w:tblCaption w:val="Clinical features of high risk vs low risk PAH patients (ESC/ERS Guideline)"/>
      </w:tblPr>
      <w:tblGrid>
        <w:gridCol w:w="2013"/>
        <w:gridCol w:w="2291"/>
        <w:gridCol w:w="2474"/>
        <w:gridCol w:w="2238"/>
      </w:tblGrid>
      <w:tr w:rsidR="00054996" w:rsidRPr="00AE134B" w14:paraId="27095D6A" w14:textId="77777777" w:rsidTr="00054996">
        <w:trPr>
          <w:cnfStyle w:val="100000000000" w:firstRow="1" w:lastRow="0" w:firstColumn="0" w:lastColumn="0" w:oddVBand="0" w:evenVBand="0" w:oddHBand="0" w:evenHBand="0" w:firstRowFirstColumn="0" w:firstRowLastColumn="0" w:lastRowFirstColumn="0" w:lastRowLastColumn="0"/>
        </w:trPr>
        <w:tc>
          <w:tcPr>
            <w:tcW w:w="1116" w:type="pct"/>
            <w:shd w:val="clear" w:color="auto" w:fill="BFBFBF" w:themeFill="background1" w:themeFillShade="BF"/>
          </w:tcPr>
          <w:p w14:paraId="11447652" w14:textId="77777777" w:rsidR="00054996" w:rsidRPr="00FF7A00" w:rsidRDefault="00054996" w:rsidP="00FF7A00">
            <w:pPr>
              <w:pStyle w:val="TableText"/>
              <w:spacing w:before="0" w:after="0"/>
              <w:ind w:left="147"/>
              <w:rPr>
                <w:rFonts w:ascii="Arial" w:hAnsi="Arial"/>
                <w:b/>
                <w:szCs w:val="20"/>
              </w:rPr>
            </w:pPr>
            <w:r w:rsidRPr="00FF7A00">
              <w:rPr>
                <w:rFonts w:ascii="Arial" w:hAnsi="Arial"/>
                <w:b/>
                <w:szCs w:val="20"/>
              </w:rPr>
              <w:t>Determinants of prognosis</w:t>
            </w:r>
          </w:p>
          <w:p w14:paraId="0A7BD3ED" w14:textId="77777777" w:rsidR="00054996" w:rsidRPr="00FF7A00" w:rsidRDefault="00054996" w:rsidP="00FF7A00">
            <w:pPr>
              <w:pStyle w:val="TableText"/>
              <w:spacing w:before="0" w:after="0"/>
              <w:ind w:left="147"/>
              <w:rPr>
                <w:rFonts w:ascii="Arial" w:hAnsi="Arial"/>
                <w:b/>
                <w:szCs w:val="20"/>
              </w:rPr>
            </w:pPr>
            <w:r w:rsidRPr="00FF7A00">
              <w:rPr>
                <w:rFonts w:ascii="Arial" w:hAnsi="Arial"/>
                <w:b/>
                <w:szCs w:val="20"/>
              </w:rPr>
              <w:t>(estimated 1-year mortality)</w:t>
            </w:r>
          </w:p>
        </w:tc>
        <w:tc>
          <w:tcPr>
            <w:tcW w:w="1270" w:type="pct"/>
            <w:shd w:val="clear" w:color="auto" w:fill="BFBFBF" w:themeFill="background1" w:themeFillShade="BF"/>
          </w:tcPr>
          <w:p w14:paraId="4B7DDE0C" w14:textId="77777777" w:rsidR="00FF7A00" w:rsidRDefault="00054996" w:rsidP="00FF7A00">
            <w:pPr>
              <w:pStyle w:val="TableText"/>
              <w:spacing w:before="0" w:after="0"/>
              <w:ind w:left="114"/>
              <w:rPr>
                <w:rFonts w:ascii="Arial" w:hAnsi="Arial"/>
                <w:b/>
                <w:szCs w:val="20"/>
              </w:rPr>
            </w:pPr>
            <w:r w:rsidRPr="00FF7A00">
              <w:rPr>
                <w:rFonts w:ascii="Arial" w:hAnsi="Arial"/>
                <w:b/>
                <w:szCs w:val="20"/>
              </w:rPr>
              <w:t>Low Risk Patients</w:t>
            </w:r>
          </w:p>
          <w:p w14:paraId="36BC5FFB" w14:textId="77777777" w:rsidR="00054996" w:rsidRPr="00FF7A00" w:rsidRDefault="00054996" w:rsidP="00FF7A00">
            <w:pPr>
              <w:pStyle w:val="TableText"/>
              <w:spacing w:before="0" w:after="0"/>
              <w:ind w:left="114"/>
              <w:rPr>
                <w:rFonts w:ascii="Arial" w:hAnsi="Arial"/>
                <w:b/>
                <w:szCs w:val="20"/>
              </w:rPr>
            </w:pPr>
            <w:r w:rsidRPr="00FF7A00">
              <w:rPr>
                <w:rFonts w:ascii="Arial" w:hAnsi="Arial"/>
                <w:b/>
                <w:szCs w:val="20"/>
              </w:rPr>
              <w:t>(&lt;5% in 1-year mortality)</w:t>
            </w:r>
          </w:p>
        </w:tc>
        <w:tc>
          <w:tcPr>
            <w:tcW w:w="1372" w:type="pct"/>
            <w:shd w:val="clear" w:color="auto" w:fill="BFBFBF" w:themeFill="background1" w:themeFillShade="BF"/>
          </w:tcPr>
          <w:p w14:paraId="73BAF00E" w14:textId="77777777" w:rsidR="00FF7A00" w:rsidRDefault="00054996" w:rsidP="00FF7A00">
            <w:pPr>
              <w:pStyle w:val="TableText"/>
              <w:spacing w:before="0" w:after="0"/>
              <w:ind w:left="86"/>
              <w:rPr>
                <w:rFonts w:ascii="Arial" w:hAnsi="Arial"/>
                <w:b/>
                <w:szCs w:val="20"/>
              </w:rPr>
            </w:pPr>
            <w:r w:rsidRPr="00FF7A00">
              <w:rPr>
                <w:rFonts w:ascii="Arial" w:hAnsi="Arial"/>
                <w:b/>
                <w:szCs w:val="20"/>
              </w:rPr>
              <w:t xml:space="preserve">Intermediate risk </w:t>
            </w:r>
          </w:p>
          <w:p w14:paraId="65983B0D" w14:textId="77777777" w:rsidR="00054996" w:rsidRPr="00FF7A00" w:rsidRDefault="00054996" w:rsidP="00FF7A00">
            <w:pPr>
              <w:pStyle w:val="TableText"/>
              <w:spacing w:before="0" w:after="0"/>
              <w:ind w:left="86"/>
              <w:rPr>
                <w:rFonts w:ascii="Arial" w:hAnsi="Arial"/>
                <w:b/>
                <w:szCs w:val="20"/>
              </w:rPr>
            </w:pPr>
            <w:r w:rsidRPr="00FF7A00">
              <w:rPr>
                <w:rFonts w:ascii="Arial" w:hAnsi="Arial"/>
                <w:b/>
                <w:szCs w:val="20"/>
              </w:rPr>
              <w:t>5–10%</w:t>
            </w:r>
          </w:p>
        </w:tc>
        <w:tc>
          <w:tcPr>
            <w:tcW w:w="1241" w:type="pct"/>
            <w:shd w:val="clear" w:color="auto" w:fill="BFBFBF" w:themeFill="background1" w:themeFillShade="BF"/>
          </w:tcPr>
          <w:p w14:paraId="1C1E4634" w14:textId="77777777" w:rsidR="00FF7A00" w:rsidRDefault="00054996" w:rsidP="00FF7A00">
            <w:pPr>
              <w:pStyle w:val="TableText"/>
              <w:spacing w:before="0" w:after="0"/>
              <w:ind w:left="158"/>
              <w:rPr>
                <w:rFonts w:ascii="Arial" w:hAnsi="Arial"/>
                <w:b/>
                <w:szCs w:val="20"/>
              </w:rPr>
            </w:pPr>
            <w:r w:rsidRPr="00FF7A00">
              <w:rPr>
                <w:rFonts w:ascii="Arial" w:hAnsi="Arial"/>
                <w:b/>
                <w:szCs w:val="20"/>
              </w:rPr>
              <w:t>High Risk Patients</w:t>
            </w:r>
          </w:p>
          <w:p w14:paraId="5078029F" w14:textId="77777777" w:rsidR="00054996" w:rsidRPr="00FF7A00" w:rsidRDefault="00054996" w:rsidP="00FF7A00">
            <w:pPr>
              <w:pStyle w:val="TableText"/>
              <w:spacing w:before="0" w:after="0"/>
              <w:ind w:left="158"/>
              <w:rPr>
                <w:rFonts w:ascii="Arial" w:hAnsi="Arial"/>
                <w:b/>
                <w:szCs w:val="20"/>
              </w:rPr>
            </w:pPr>
            <w:r w:rsidRPr="00FF7A00">
              <w:rPr>
                <w:rFonts w:ascii="Arial" w:hAnsi="Arial"/>
                <w:b/>
                <w:szCs w:val="20"/>
              </w:rPr>
              <w:t>(&gt;10% 1-year mortality)</w:t>
            </w:r>
          </w:p>
        </w:tc>
      </w:tr>
      <w:tr w:rsidR="00054996" w:rsidRPr="00AE134B" w14:paraId="777E6B4C" w14:textId="77777777" w:rsidTr="00054996">
        <w:tc>
          <w:tcPr>
            <w:tcW w:w="1116" w:type="pct"/>
          </w:tcPr>
          <w:p w14:paraId="2D516235" w14:textId="77777777" w:rsidR="00054996" w:rsidRPr="00FF7A00" w:rsidRDefault="00054996" w:rsidP="00FF7A00">
            <w:pPr>
              <w:pStyle w:val="TableText"/>
              <w:spacing w:before="0" w:after="0"/>
              <w:ind w:left="147"/>
              <w:rPr>
                <w:rFonts w:ascii="Arial" w:hAnsi="Arial"/>
                <w:szCs w:val="20"/>
              </w:rPr>
            </w:pPr>
            <w:r w:rsidRPr="00FF7A00">
              <w:rPr>
                <w:rFonts w:ascii="Arial" w:hAnsi="Arial"/>
                <w:szCs w:val="20"/>
              </w:rPr>
              <w:t>Clinical signs of right heart failure</w:t>
            </w:r>
          </w:p>
        </w:tc>
        <w:tc>
          <w:tcPr>
            <w:tcW w:w="1270" w:type="pct"/>
          </w:tcPr>
          <w:p w14:paraId="263155A9" w14:textId="77777777" w:rsidR="00054996" w:rsidRPr="00FF7A00" w:rsidRDefault="00054996" w:rsidP="00FF7A00">
            <w:pPr>
              <w:pStyle w:val="TableText"/>
              <w:spacing w:before="0" w:after="0"/>
              <w:ind w:left="114"/>
              <w:rPr>
                <w:rFonts w:ascii="Arial" w:hAnsi="Arial"/>
                <w:szCs w:val="20"/>
              </w:rPr>
            </w:pPr>
            <w:r w:rsidRPr="00FF7A00">
              <w:rPr>
                <w:rFonts w:ascii="Arial" w:hAnsi="Arial"/>
                <w:szCs w:val="20"/>
              </w:rPr>
              <w:t>Absent</w:t>
            </w:r>
          </w:p>
        </w:tc>
        <w:tc>
          <w:tcPr>
            <w:tcW w:w="1372" w:type="pct"/>
          </w:tcPr>
          <w:p w14:paraId="4DAFF608" w14:textId="77777777" w:rsidR="00054996" w:rsidRPr="00FF7A00" w:rsidRDefault="00054996" w:rsidP="00FF7A00">
            <w:pPr>
              <w:pStyle w:val="TableText"/>
              <w:spacing w:before="0" w:after="0"/>
              <w:ind w:left="86"/>
              <w:rPr>
                <w:rFonts w:ascii="Arial" w:hAnsi="Arial"/>
                <w:szCs w:val="20"/>
              </w:rPr>
            </w:pPr>
            <w:r w:rsidRPr="00FF7A00">
              <w:rPr>
                <w:rFonts w:ascii="Arial" w:hAnsi="Arial"/>
                <w:szCs w:val="20"/>
              </w:rPr>
              <w:t>Absent</w:t>
            </w:r>
          </w:p>
        </w:tc>
        <w:tc>
          <w:tcPr>
            <w:tcW w:w="1241" w:type="pct"/>
          </w:tcPr>
          <w:p w14:paraId="727E6F3D" w14:textId="77777777" w:rsidR="00054996" w:rsidRPr="00FF7A00" w:rsidRDefault="00054996" w:rsidP="00FF7A00">
            <w:pPr>
              <w:pStyle w:val="TableText"/>
              <w:spacing w:before="0" w:after="0"/>
              <w:ind w:left="158"/>
              <w:rPr>
                <w:rFonts w:ascii="Arial" w:hAnsi="Arial"/>
                <w:szCs w:val="20"/>
              </w:rPr>
            </w:pPr>
            <w:r w:rsidRPr="00FF7A00">
              <w:rPr>
                <w:rFonts w:ascii="Arial" w:hAnsi="Arial"/>
                <w:szCs w:val="20"/>
              </w:rPr>
              <w:t>Present</w:t>
            </w:r>
          </w:p>
        </w:tc>
      </w:tr>
      <w:tr w:rsidR="00054996" w:rsidRPr="00AE134B" w14:paraId="238CAD1C" w14:textId="77777777" w:rsidTr="00054996">
        <w:tc>
          <w:tcPr>
            <w:tcW w:w="1116" w:type="pct"/>
          </w:tcPr>
          <w:p w14:paraId="47E7316E" w14:textId="77777777" w:rsidR="00054996" w:rsidRPr="00FF7A00" w:rsidRDefault="00054996" w:rsidP="00FF7A00">
            <w:pPr>
              <w:pStyle w:val="TableText"/>
              <w:spacing w:before="0" w:after="0"/>
              <w:ind w:left="147"/>
              <w:rPr>
                <w:rFonts w:ascii="Arial" w:hAnsi="Arial"/>
                <w:szCs w:val="20"/>
              </w:rPr>
            </w:pPr>
            <w:r w:rsidRPr="00FF7A00">
              <w:rPr>
                <w:rFonts w:ascii="Arial" w:hAnsi="Arial"/>
                <w:szCs w:val="20"/>
              </w:rPr>
              <w:t>Progression of symptoms</w:t>
            </w:r>
          </w:p>
        </w:tc>
        <w:tc>
          <w:tcPr>
            <w:tcW w:w="1270" w:type="pct"/>
          </w:tcPr>
          <w:p w14:paraId="0B601551" w14:textId="77777777" w:rsidR="00054996" w:rsidRPr="00FF7A00" w:rsidRDefault="00054996" w:rsidP="00FF7A00">
            <w:pPr>
              <w:pStyle w:val="TableText"/>
              <w:spacing w:before="0" w:after="0"/>
              <w:ind w:left="114"/>
              <w:rPr>
                <w:rFonts w:ascii="Arial" w:hAnsi="Arial"/>
                <w:szCs w:val="20"/>
              </w:rPr>
            </w:pPr>
            <w:r w:rsidRPr="00FF7A00">
              <w:rPr>
                <w:rFonts w:ascii="Arial" w:hAnsi="Arial"/>
                <w:szCs w:val="20"/>
              </w:rPr>
              <w:t>No</w:t>
            </w:r>
          </w:p>
        </w:tc>
        <w:tc>
          <w:tcPr>
            <w:tcW w:w="1372" w:type="pct"/>
          </w:tcPr>
          <w:p w14:paraId="001E7B6D" w14:textId="77777777" w:rsidR="00054996" w:rsidRPr="00FF7A00" w:rsidRDefault="00054996" w:rsidP="00FF7A00">
            <w:pPr>
              <w:pStyle w:val="TableText"/>
              <w:spacing w:before="0" w:after="0"/>
              <w:ind w:left="86"/>
              <w:rPr>
                <w:rFonts w:ascii="Arial" w:hAnsi="Arial"/>
                <w:szCs w:val="20"/>
              </w:rPr>
            </w:pPr>
            <w:r w:rsidRPr="00FF7A00">
              <w:rPr>
                <w:rFonts w:ascii="Arial" w:hAnsi="Arial"/>
                <w:szCs w:val="20"/>
              </w:rPr>
              <w:t>Slow</w:t>
            </w:r>
          </w:p>
        </w:tc>
        <w:tc>
          <w:tcPr>
            <w:tcW w:w="1241" w:type="pct"/>
          </w:tcPr>
          <w:p w14:paraId="2C71C483" w14:textId="77777777" w:rsidR="00054996" w:rsidRPr="00FF7A00" w:rsidRDefault="00054996" w:rsidP="00FF7A00">
            <w:pPr>
              <w:pStyle w:val="TableText"/>
              <w:spacing w:before="0" w:after="0"/>
              <w:ind w:left="158"/>
              <w:rPr>
                <w:rFonts w:ascii="Arial" w:hAnsi="Arial"/>
                <w:szCs w:val="20"/>
              </w:rPr>
            </w:pPr>
            <w:r w:rsidRPr="00FF7A00">
              <w:rPr>
                <w:rFonts w:ascii="Arial" w:hAnsi="Arial"/>
                <w:szCs w:val="20"/>
              </w:rPr>
              <w:t>Rapid</w:t>
            </w:r>
          </w:p>
        </w:tc>
      </w:tr>
      <w:tr w:rsidR="00054996" w:rsidRPr="00AE134B" w14:paraId="76729296" w14:textId="77777777" w:rsidTr="00054996">
        <w:tc>
          <w:tcPr>
            <w:tcW w:w="1116" w:type="pct"/>
          </w:tcPr>
          <w:p w14:paraId="66D9D307" w14:textId="77777777" w:rsidR="00054996" w:rsidRPr="00FF7A00" w:rsidRDefault="00054996" w:rsidP="00FF7A00">
            <w:pPr>
              <w:pStyle w:val="TableText"/>
              <w:spacing w:before="0" w:after="0"/>
              <w:ind w:left="147"/>
              <w:rPr>
                <w:rFonts w:ascii="Arial" w:hAnsi="Arial"/>
                <w:szCs w:val="20"/>
              </w:rPr>
            </w:pPr>
            <w:r w:rsidRPr="00FF7A00">
              <w:rPr>
                <w:rFonts w:ascii="Arial" w:hAnsi="Arial"/>
                <w:szCs w:val="20"/>
              </w:rPr>
              <w:t>Syncope</w:t>
            </w:r>
          </w:p>
        </w:tc>
        <w:tc>
          <w:tcPr>
            <w:tcW w:w="1270" w:type="pct"/>
          </w:tcPr>
          <w:p w14:paraId="4D8194CD" w14:textId="77777777" w:rsidR="00054996" w:rsidRPr="00FF7A00" w:rsidRDefault="00054996" w:rsidP="00FF7A00">
            <w:pPr>
              <w:pStyle w:val="TableText"/>
              <w:spacing w:before="0" w:after="0"/>
              <w:ind w:left="114"/>
              <w:rPr>
                <w:rFonts w:ascii="Arial" w:hAnsi="Arial"/>
                <w:szCs w:val="20"/>
              </w:rPr>
            </w:pPr>
            <w:r w:rsidRPr="00FF7A00">
              <w:rPr>
                <w:rFonts w:ascii="Arial" w:hAnsi="Arial"/>
                <w:szCs w:val="20"/>
              </w:rPr>
              <w:t>No</w:t>
            </w:r>
          </w:p>
        </w:tc>
        <w:tc>
          <w:tcPr>
            <w:tcW w:w="1372" w:type="pct"/>
          </w:tcPr>
          <w:p w14:paraId="7F364D77" w14:textId="77777777" w:rsidR="00054996" w:rsidRPr="00FF7A00" w:rsidRDefault="00054996" w:rsidP="00FF7A00">
            <w:pPr>
              <w:pStyle w:val="TableText"/>
              <w:spacing w:before="0" w:after="0"/>
              <w:ind w:left="86"/>
              <w:rPr>
                <w:rFonts w:ascii="Arial" w:hAnsi="Arial"/>
                <w:szCs w:val="20"/>
              </w:rPr>
            </w:pPr>
            <w:r w:rsidRPr="00FF7A00">
              <w:rPr>
                <w:rFonts w:ascii="Arial" w:hAnsi="Arial"/>
                <w:szCs w:val="20"/>
              </w:rPr>
              <w:t>Occasional syncope</w:t>
            </w:r>
          </w:p>
        </w:tc>
        <w:tc>
          <w:tcPr>
            <w:tcW w:w="1241" w:type="pct"/>
          </w:tcPr>
          <w:p w14:paraId="6146DBFE" w14:textId="77777777" w:rsidR="00054996" w:rsidRPr="00FF7A00" w:rsidRDefault="00054996" w:rsidP="00FF7A00">
            <w:pPr>
              <w:pStyle w:val="TableText"/>
              <w:spacing w:before="0" w:after="0"/>
              <w:ind w:left="158"/>
              <w:rPr>
                <w:rFonts w:ascii="Arial" w:hAnsi="Arial"/>
                <w:szCs w:val="20"/>
              </w:rPr>
            </w:pPr>
            <w:r w:rsidRPr="00FF7A00">
              <w:rPr>
                <w:rFonts w:ascii="Arial" w:hAnsi="Arial"/>
                <w:szCs w:val="20"/>
              </w:rPr>
              <w:t>Repeated syncope</w:t>
            </w:r>
          </w:p>
        </w:tc>
      </w:tr>
      <w:tr w:rsidR="00054996" w:rsidRPr="00AE134B" w14:paraId="7366DD72" w14:textId="77777777" w:rsidTr="00054996">
        <w:tc>
          <w:tcPr>
            <w:tcW w:w="1116" w:type="pct"/>
          </w:tcPr>
          <w:p w14:paraId="246E733D" w14:textId="77777777" w:rsidR="00054996" w:rsidRPr="00FF7A00" w:rsidRDefault="00054996" w:rsidP="00FF7A00">
            <w:pPr>
              <w:pStyle w:val="TableText"/>
              <w:spacing w:before="0" w:after="0"/>
              <w:ind w:left="147"/>
              <w:rPr>
                <w:rFonts w:ascii="Arial" w:hAnsi="Arial"/>
                <w:szCs w:val="20"/>
              </w:rPr>
            </w:pPr>
            <w:r w:rsidRPr="00FF7A00">
              <w:rPr>
                <w:rFonts w:ascii="Arial" w:hAnsi="Arial"/>
                <w:szCs w:val="20"/>
              </w:rPr>
              <w:t>WHO Functional Class</w:t>
            </w:r>
          </w:p>
        </w:tc>
        <w:tc>
          <w:tcPr>
            <w:tcW w:w="1270" w:type="pct"/>
          </w:tcPr>
          <w:p w14:paraId="3C47B09F" w14:textId="77777777" w:rsidR="00054996" w:rsidRPr="00FF7A00" w:rsidRDefault="00054996" w:rsidP="00FF7A00">
            <w:pPr>
              <w:pStyle w:val="TableText"/>
              <w:spacing w:before="0" w:after="0"/>
              <w:ind w:left="114"/>
              <w:rPr>
                <w:rFonts w:ascii="Arial" w:hAnsi="Arial"/>
                <w:szCs w:val="20"/>
              </w:rPr>
            </w:pPr>
            <w:r w:rsidRPr="00FF7A00">
              <w:rPr>
                <w:rFonts w:ascii="Arial" w:hAnsi="Arial"/>
                <w:szCs w:val="20"/>
              </w:rPr>
              <w:t>I, II</w:t>
            </w:r>
          </w:p>
        </w:tc>
        <w:tc>
          <w:tcPr>
            <w:tcW w:w="1372" w:type="pct"/>
          </w:tcPr>
          <w:p w14:paraId="254F85DA" w14:textId="77777777" w:rsidR="00054996" w:rsidRPr="00FF7A00" w:rsidRDefault="00054996" w:rsidP="00FF7A00">
            <w:pPr>
              <w:pStyle w:val="TableText"/>
              <w:spacing w:before="0" w:after="0"/>
              <w:ind w:left="86"/>
              <w:rPr>
                <w:rFonts w:ascii="Arial" w:hAnsi="Arial"/>
                <w:szCs w:val="20"/>
              </w:rPr>
            </w:pPr>
            <w:r w:rsidRPr="00FF7A00">
              <w:rPr>
                <w:rFonts w:ascii="Arial" w:hAnsi="Arial"/>
                <w:szCs w:val="20"/>
              </w:rPr>
              <w:t>III</w:t>
            </w:r>
          </w:p>
        </w:tc>
        <w:tc>
          <w:tcPr>
            <w:tcW w:w="1241" w:type="pct"/>
          </w:tcPr>
          <w:p w14:paraId="76CEB79C" w14:textId="77777777" w:rsidR="00054996" w:rsidRPr="00FF7A00" w:rsidRDefault="00054996" w:rsidP="00FF7A00">
            <w:pPr>
              <w:pStyle w:val="TableText"/>
              <w:spacing w:before="0" w:after="0"/>
              <w:ind w:left="158"/>
              <w:rPr>
                <w:rFonts w:ascii="Arial" w:hAnsi="Arial"/>
                <w:szCs w:val="20"/>
              </w:rPr>
            </w:pPr>
            <w:r w:rsidRPr="00FF7A00">
              <w:rPr>
                <w:rFonts w:ascii="Arial" w:hAnsi="Arial"/>
                <w:szCs w:val="20"/>
              </w:rPr>
              <w:t>IV</w:t>
            </w:r>
          </w:p>
        </w:tc>
      </w:tr>
      <w:tr w:rsidR="00054996" w:rsidRPr="00AE134B" w14:paraId="02FDD0B2" w14:textId="77777777" w:rsidTr="00054996">
        <w:tc>
          <w:tcPr>
            <w:tcW w:w="1116" w:type="pct"/>
          </w:tcPr>
          <w:p w14:paraId="4C4A4F55" w14:textId="77777777" w:rsidR="00054996" w:rsidRPr="00FF7A00" w:rsidRDefault="00054996" w:rsidP="00FF7A00">
            <w:pPr>
              <w:pStyle w:val="TableText"/>
              <w:spacing w:before="0" w:after="0"/>
              <w:ind w:left="147"/>
              <w:rPr>
                <w:rFonts w:ascii="Arial" w:hAnsi="Arial"/>
                <w:szCs w:val="20"/>
              </w:rPr>
            </w:pPr>
            <w:r w:rsidRPr="00FF7A00">
              <w:rPr>
                <w:rFonts w:ascii="Arial" w:hAnsi="Arial"/>
                <w:szCs w:val="20"/>
              </w:rPr>
              <w:t>6MWD</w:t>
            </w:r>
          </w:p>
        </w:tc>
        <w:tc>
          <w:tcPr>
            <w:tcW w:w="1270" w:type="pct"/>
          </w:tcPr>
          <w:p w14:paraId="59D23F87" w14:textId="77777777" w:rsidR="00054996" w:rsidRPr="00FF7A00" w:rsidRDefault="00054996" w:rsidP="00FF7A00">
            <w:pPr>
              <w:pStyle w:val="TableText"/>
              <w:spacing w:before="0" w:after="0"/>
              <w:ind w:left="114"/>
              <w:rPr>
                <w:rFonts w:ascii="Arial" w:hAnsi="Arial"/>
                <w:szCs w:val="20"/>
              </w:rPr>
            </w:pPr>
            <w:r w:rsidRPr="00FF7A00">
              <w:rPr>
                <w:rFonts w:ascii="Arial" w:hAnsi="Arial"/>
                <w:szCs w:val="20"/>
              </w:rPr>
              <w:t>&gt;440m</w:t>
            </w:r>
          </w:p>
        </w:tc>
        <w:tc>
          <w:tcPr>
            <w:tcW w:w="1372" w:type="pct"/>
          </w:tcPr>
          <w:p w14:paraId="71DBFB1A" w14:textId="77777777" w:rsidR="00054996" w:rsidRPr="00FF7A00" w:rsidRDefault="00054996" w:rsidP="00FF7A00">
            <w:pPr>
              <w:pStyle w:val="TableText"/>
              <w:spacing w:before="0" w:after="0"/>
              <w:ind w:left="86"/>
              <w:rPr>
                <w:rFonts w:ascii="Arial" w:hAnsi="Arial"/>
                <w:szCs w:val="20"/>
              </w:rPr>
            </w:pPr>
            <w:r w:rsidRPr="00FF7A00">
              <w:rPr>
                <w:rFonts w:ascii="Arial" w:hAnsi="Arial"/>
                <w:szCs w:val="20"/>
              </w:rPr>
              <w:t>165-440m</w:t>
            </w:r>
          </w:p>
        </w:tc>
        <w:tc>
          <w:tcPr>
            <w:tcW w:w="1241" w:type="pct"/>
          </w:tcPr>
          <w:p w14:paraId="1F3D0537" w14:textId="77777777" w:rsidR="00054996" w:rsidRPr="00FF7A00" w:rsidRDefault="00054996" w:rsidP="00FF7A00">
            <w:pPr>
              <w:pStyle w:val="TableText"/>
              <w:spacing w:before="0" w:after="0"/>
              <w:ind w:left="158"/>
              <w:rPr>
                <w:rFonts w:ascii="Arial" w:hAnsi="Arial"/>
                <w:szCs w:val="20"/>
              </w:rPr>
            </w:pPr>
            <w:r w:rsidRPr="00FF7A00">
              <w:rPr>
                <w:rFonts w:ascii="Arial" w:hAnsi="Arial"/>
                <w:szCs w:val="20"/>
              </w:rPr>
              <w:t>&lt;165m</w:t>
            </w:r>
          </w:p>
        </w:tc>
      </w:tr>
      <w:tr w:rsidR="00054996" w:rsidRPr="00AE134B" w14:paraId="18F691E0" w14:textId="77777777" w:rsidTr="00054996">
        <w:tc>
          <w:tcPr>
            <w:tcW w:w="1116" w:type="pct"/>
          </w:tcPr>
          <w:p w14:paraId="5E3BFB9A" w14:textId="77777777" w:rsidR="00054996" w:rsidRPr="00FF7A00" w:rsidRDefault="00054996" w:rsidP="00FF7A00">
            <w:pPr>
              <w:pStyle w:val="TableText"/>
              <w:spacing w:before="0" w:after="0"/>
              <w:ind w:left="147"/>
              <w:rPr>
                <w:rFonts w:ascii="Arial" w:hAnsi="Arial"/>
                <w:szCs w:val="20"/>
              </w:rPr>
            </w:pPr>
            <w:r w:rsidRPr="00FF7A00">
              <w:rPr>
                <w:rFonts w:ascii="Arial" w:hAnsi="Arial"/>
                <w:szCs w:val="20"/>
              </w:rPr>
              <w:t>Cardiopulmonary exercise testing</w:t>
            </w:r>
          </w:p>
        </w:tc>
        <w:tc>
          <w:tcPr>
            <w:tcW w:w="1270" w:type="pct"/>
          </w:tcPr>
          <w:p w14:paraId="3E3032F7" w14:textId="261383DE" w:rsidR="00054996" w:rsidRPr="00FF7A00" w:rsidRDefault="00054996" w:rsidP="00FF7A00">
            <w:pPr>
              <w:pStyle w:val="TableText"/>
              <w:spacing w:before="0" w:after="0"/>
              <w:ind w:left="114"/>
              <w:rPr>
                <w:rFonts w:ascii="Arial" w:hAnsi="Arial"/>
                <w:szCs w:val="20"/>
              </w:rPr>
            </w:pPr>
            <w:r w:rsidRPr="00FF7A00">
              <w:rPr>
                <w:rFonts w:ascii="Arial" w:hAnsi="Arial"/>
                <w:szCs w:val="20"/>
              </w:rPr>
              <w:t>Peak VO</w:t>
            </w:r>
            <w:r w:rsidRPr="00FF7A00">
              <w:rPr>
                <w:rFonts w:ascii="Arial" w:hAnsi="Arial"/>
                <w:szCs w:val="20"/>
                <w:vertAlign w:val="subscript"/>
              </w:rPr>
              <w:t>2</w:t>
            </w:r>
            <w:r w:rsidRPr="00FF7A00">
              <w:rPr>
                <w:rFonts w:ascii="Arial" w:hAnsi="Arial"/>
                <w:szCs w:val="20"/>
              </w:rPr>
              <w:t xml:space="preserve"> &gt;15</w:t>
            </w:r>
            <w:r w:rsidR="00E42107">
              <w:rPr>
                <w:rFonts w:ascii="Arial" w:hAnsi="Arial"/>
                <w:szCs w:val="20"/>
              </w:rPr>
              <w:t> </w:t>
            </w:r>
            <w:r w:rsidRPr="00FF7A00">
              <w:rPr>
                <w:rFonts w:ascii="Arial" w:hAnsi="Arial"/>
                <w:szCs w:val="20"/>
              </w:rPr>
              <w:t>mL/min/kg (&gt;65% pred.)</w:t>
            </w:r>
          </w:p>
          <w:p w14:paraId="5A200D6A" w14:textId="77777777" w:rsidR="00054996" w:rsidRPr="00FF7A00" w:rsidRDefault="00054996" w:rsidP="00FF7A00">
            <w:pPr>
              <w:pStyle w:val="TableText"/>
              <w:spacing w:before="0" w:after="0"/>
              <w:ind w:left="114"/>
              <w:rPr>
                <w:rFonts w:ascii="Arial" w:hAnsi="Arial"/>
                <w:szCs w:val="20"/>
              </w:rPr>
            </w:pPr>
            <w:r w:rsidRPr="00FF7A00">
              <w:rPr>
                <w:rFonts w:ascii="Arial" w:hAnsi="Arial"/>
                <w:szCs w:val="20"/>
              </w:rPr>
              <w:t>VE/VCO</w:t>
            </w:r>
            <w:r w:rsidRPr="00FF7A00">
              <w:rPr>
                <w:rFonts w:ascii="Arial" w:hAnsi="Arial"/>
                <w:szCs w:val="20"/>
                <w:vertAlign w:val="subscript"/>
              </w:rPr>
              <w:t>2</w:t>
            </w:r>
            <w:r w:rsidRPr="00FF7A00">
              <w:rPr>
                <w:rFonts w:ascii="Arial" w:hAnsi="Arial"/>
                <w:szCs w:val="20"/>
              </w:rPr>
              <w:t xml:space="preserve"> slope &lt;36</w:t>
            </w:r>
          </w:p>
        </w:tc>
        <w:tc>
          <w:tcPr>
            <w:tcW w:w="1372" w:type="pct"/>
          </w:tcPr>
          <w:p w14:paraId="6A7CD1AF" w14:textId="77777777" w:rsidR="00E42107" w:rsidRDefault="00054996" w:rsidP="00FF7A00">
            <w:pPr>
              <w:pStyle w:val="TableText"/>
              <w:spacing w:before="0" w:after="0"/>
              <w:ind w:left="86"/>
              <w:rPr>
                <w:rFonts w:ascii="Arial" w:hAnsi="Arial"/>
                <w:szCs w:val="20"/>
              </w:rPr>
            </w:pPr>
            <w:r w:rsidRPr="00FF7A00">
              <w:rPr>
                <w:rFonts w:ascii="Arial" w:hAnsi="Arial"/>
                <w:szCs w:val="20"/>
              </w:rPr>
              <w:t>Peak VO</w:t>
            </w:r>
            <w:r w:rsidRPr="00FF7A00">
              <w:rPr>
                <w:rFonts w:ascii="Arial" w:hAnsi="Arial"/>
                <w:szCs w:val="20"/>
                <w:vertAlign w:val="subscript"/>
              </w:rPr>
              <w:t>2</w:t>
            </w:r>
            <w:r w:rsidR="00E42107">
              <w:rPr>
                <w:rFonts w:ascii="Arial" w:hAnsi="Arial"/>
                <w:szCs w:val="20"/>
              </w:rPr>
              <w:t xml:space="preserve"> </w:t>
            </w:r>
          </w:p>
          <w:p w14:paraId="3CB72A54" w14:textId="77777777" w:rsidR="00E42107" w:rsidRDefault="00E42107" w:rsidP="00FF7A00">
            <w:pPr>
              <w:pStyle w:val="TableText"/>
              <w:spacing w:before="0" w:after="0"/>
              <w:ind w:left="86"/>
              <w:rPr>
                <w:rFonts w:ascii="Arial" w:hAnsi="Arial"/>
                <w:szCs w:val="20"/>
              </w:rPr>
            </w:pPr>
            <w:r>
              <w:rPr>
                <w:rFonts w:ascii="Arial" w:hAnsi="Arial"/>
                <w:szCs w:val="20"/>
              </w:rPr>
              <w:t>11–15 </w:t>
            </w:r>
            <w:r w:rsidR="00054996" w:rsidRPr="00FF7A00">
              <w:rPr>
                <w:rFonts w:ascii="Arial" w:hAnsi="Arial"/>
                <w:szCs w:val="20"/>
              </w:rPr>
              <w:t xml:space="preserve">mL/min/kg </w:t>
            </w:r>
          </w:p>
          <w:p w14:paraId="1AAF73A0" w14:textId="312D94EE" w:rsidR="00054996" w:rsidRPr="00FF7A00" w:rsidRDefault="00054996" w:rsidP="00FF7A00">
            <w:pPr>
              <w:pStyle w:val="TableText"/>
              <w:spacing w:before="0" w:after="0"/>
              <w:ind w:left="86"/>
              <w:rPr>
                <w:rFonts w:ascii="Arial" w:hAnsi="Arial"/>
                <w:szCs w:val="20"/>
              </w:rPr>
            </w:pPr>
            <w:r w:rsidRPr="00FF7A00">
              <w:rPr>
                <w:rFonts w:ascii="Arial" w:hAnsi="Arial"/>
                <w:szCs w:val="20"/>
              </w:rPr>
              <w:t>(35–65% pred.)</w:t>
            </w:r>
          </w:p>
          <w:p w14:paraId="57F38BFA" w14:textId="77777777" w:rsidR="00054996" w:rsidRPr="00FF7A00" w:rsidRDefault="00054996" w:rsidP="00FF7A00">
            <w:pPr>
              <w:pStyle w:val="TableText"/>
              <w:spacing w:before="0" w:after="0"/>
              <w:ind w:left="86"/>
              <w:rPr>
                <w:rFonts w:ascii="Arial" w:hAnsi="Arial"/>
                <w:szCs w:val="20"/>
              </w:rPr>
            </w:pPr>
            <w:r w:rsidRPr="00FF7A00">
              <w:rPr>
                <w:rFonts w:ascii="Arial" w:hAnsi="Arial"/>
                <w:szCs w:val="20"/>
              </w:rPr>
              <w:t>VE/VCO</w:t>
            </w:r>
            <w:r w:rsidRPr="00FF7A00">
              <w:rPr>
                <w:rFonts w:ascii="Arial" w:hAnsi="Arial"/>
                <w:szCs w:val="20"/>
                <w:vertAlign w:val="subscript"/>
              </w:rPr>
              <w:t>2</w:t>
            </w:r>
            <w:r w:rsidRPr="00FF7A00">
              <w:rPr>
                <w:rFonts w:ascii="Arial" w:hAnsi="Arial"/>
                <w:szCs w:val="20"/>
              </w:rPr>
              <w:t xml:space="preserve"> slope 36–44.9</w:t>
            </w:r>
          </w:p>
        </w:tc>
        <w:tc>
          <w:tcPr>
            <w:tcW w:w="1241" w:type="pct"/>
          </w:tcPr>
          <w:p w14:paraId="1AA31889" w14:textId="09F7612C" w:rsidR="00E42107" w:rsidRDefault="00054996" w:rsidP="00FF7A00">
            <w:pPr>
              <w:pStyle w:val="TableText"/>
              <w:spacing w:before="0" w:after="0"/>
              <w:ind w:left="158"/>
              <w:rPr>
                <w:rFonts w:ascii="Arial" w:hAnsi="Arial"/>
                <w:szCs w:val="20"/>
              </w:rPr>
            </w:pPr>
            <w:r w:rsidRPr="00FF7A00">
              <w:rPr>
                <w:rFonts w:ascii="Arial" w:hAnsi="Arial"/>
                <w:szCs w:val="20"/>
              </w:rPr>
              <w:t>Peak VO</w:t>
            </w:r>
            <w:r w:rsidRPr="00FF7A00">
              <w:rPr>
                <w:rFonts w:ascii="Arial" w:hAnsi="Arial"/>
                <w:szCs w:val="20"/>
                <w:vertAlign w:val="subscript"/>
              </w:rPr>
              <w:t>2</w:t>
            </w:r>
            <w:r w:rsidR="00E42107">
              <w:rPr>
                <w:rFonts w:ascii="Arial" w:hAnsi="Arial"/>
                <w:szCs w:val="20"/>
              </w:rPr>
              <w:t xml:space="preserve"> &lt; 11 </w:t>
            </w:r>
            <w:r w:rsidRPr="00FF7A00">
              <w:rPr>
                <w:rFonts w:ascii="Arial" w:hAnsi="Arial"/>
                <w:szCs w:val="20"/>
              </w:rPr>
              <w:t xml:space="preserve">mL/min/kg </w:t>
            </w:r>
          </w:p>
          <w:p w14:paraId="354DE145" w14:textId="7820BA97" w:rsidR="00054996" w:rsidRPr="00FF7A00" w:rsidRDefault="00054996" w:rsidP="00FF7A00">
            <w:pPr>
              <w:pStyle w:val="TableText"/>
              <w:spacing w:before="0" w:after="0"/>
              <w:ind w:left="158"/>
              <w:rPr>
                <w:rFonts w:ascii="Arial" w:hAnsi="Arial"/>
                <w:szCs w:val="20"/>
              </w:rPr>
            </w:pPr>
            <w:r w:rsidRPr="00FF7A00">
              <w:rPr>
                <w:rFonts w:ascii="Arial" w:hAnsi="Arial"/>
                <w:szCs w:val="20"/>
              </w:rPr>
              <w:t>(&lt;35% pred.)</w:t>
            </w:r>
          </w:p>
          <w:p w14:paraId="07C7D9AE" w14:textId="77777777" w:rsidR="00054996" w:rsidRPr="00FF7A00" w:rsidRDefault="00054996" w:rsidP="00FF7A00">
            <w:pPr>
              <w:pStyle w:val="TableText"/>
              <w:spacing w:before="0" w:after="0"/>
              <w:ind w:left="158"/>
              <w:rPr>
                <w:rFonts w:ascii="Arial" w:hAnsi="Arial"/>
                <w:szCs w:val="20"/>
              </w:rPr>
            </w:pPr>
            <w:r w:rsidRPr="00FF7A00">
              <w:rPr>
                <w:rFonts w:ascii="Arial" w:hAnsi="Arial"/>
                <w:szCs w:val="20"/>
              </w:rPr>
              <w:t>VE/VCO</w:t>
            </w:r>
            <w:r w:rsidRPr="00FF7A00">
              <w:rPr>
                <w:rFonts w:ascii="Arial" w:hAnsi="Arial"/>
                <w:szCs w:val="20"/>
                <w:vertAlign w:val="subscript"/>
              </w:rPr>
              <w:t>2</w:t>
            </w:r>
            <w:r w:rsidRPr="00FF7A00">
              <w:rPr>
                <w:rFonts w:ascii="Arial" w:hAnsi="Arial"/>
                <w:szCs w:val="20"/>
              </w:rPr>
              <w:t xml:space="preserve"> slope ≥45</w:t>
            </w:r>
          </w:p>
        </w:tc>
      </w:tr>
      <w:tr w:rsidR="00054996" w:rsidRPr="00AE134B" w14:paraId="2D259699" w14:textId="77777777" w:rsidTr="00054996">
        <w:tc>
          <w:tcPr>
            <w:tcW w:w="1116" w:type="pct"/>
          </w:tcPr>
          <w:p w14:paraId="4646F18D" w14:textId="77777777" w:rsidR="00054996" w:rsidRPr="00FF7A00" w:rsidRDefault="00054996" w:rsidP="00FF7A00">
            <w:pPr>
              <w:pStyle w:val="TableText"/>
              <w:spacing w:before="0" w:after="0"/>
              <w:ind w:left="147"/>
              <w:rPr>
                <w:rFonts w:ascii="Arial" w:hAnsi="Arial"/>
                <w:szCs w:val="20"/>
              </w:rPr>
            </w:pPr>
            <w:r w:rsidRPr="00FF7A00">
              <w:rPr>
                <w:rFonts w:ascii="Arial" w:hAnsi="Arial"/>
                <w:szCs w:val="20"/>
              </w:rPr>
              <w:t>BNP (ng/L) plasma levels</w:t>
            </w:r>
          </w:p>
        </w:tc>
        <w:tc>
          <w:tcPr>
            <w:tcW w:w="1270" w:type="pct"/>
          </w:tcPr>
          <w:p w14:paraId="2AAD8A63" w14:textId="27E9C5EF" w:rsidR="00054996" w:rsidRPr="00FF7A00" w:rsidRDefault="00054996" w:rsidP="00FF7A00">
            <w:pPr>
              <w:pStyle w:val="TableText"/>
              <w:spacing w:before="0" w:after="0"/>
              <w:ind w:left="114"/>
              <w:rPr>
                <w:rFonts w:ascii="Arial" w:hAnsi="Arial"/>
                <w:szCs w:val="20"/>
              </w:rPr>
            </w:pPr>
            <w:r w:rsidRPr="00FF7A00">
              <w:rPr>
                <w:rFonts w:ascii="Arial" w:hAnsi="Arial"/>
                <w:szCs w:val="20"/>
              </w:rPr>
              <w:t>BNP &lt;50</w:t>
            </w:r>
            <w:r w:rsidR="00E42107">
              <w:rPr>
                <w:rFonts w:ascii="Arial" w:hAnsi="Arial"/>
                <w:szCs w:val="20"/>
              </w:rPr>
              <w:t xml:space="preserve"> </w:t>
            </w:r>
            <w:r w:rsidRPr="00FF7A00">
              <w:rPr>
                <w:rFonts w:ascii="Arial" w:hAnsi="Arial"/>
                <w:szCs w:val="20"/>
              </w:rPr>
              <w:t>ng/L</w:t>
            </w:r>
          </w:p>
          <w:p w14:paraId="5EA2BB79" w14:textId="181BF1AE" w:rsidR="00054996" w:rsidRPr="00FF7A00" w:rsidRDefault="00054996" w:rsidP="00FF7A00">
            <w:pPr>
              <w:pStyle w:val="TableText"/>
              <w:spacing w:before="0" w:after="0"/>
              <w:ind w:left="114"/>
              <w:rPr>
                <w:rFonts w:ascii="Arial" w:hAnsi="Arial"/>
                <w:szCs w:val="20"/>
              </w:rPr>
            </w:pPr>
            <w:r w:rsidRPr="00FF7A00">
              <w:rPr>
                <w:rFonts w:ascii="Arial" w:hAnsi="Arial"/>
                <w:szCs w:val="20"/>
              </w:rPr>
              <w:t>NT-</w:t>
            </w:r>
            <w:proofErr w:type="spellStart"/>
            <w:r w:rsidRPr="00FF7A00">
              <w:rPr>
                <w:rFonts w:ascii="Arial" w:hAnsi="Arial"/>
                <w:szCs w:val="20"/>
              </w:rPr>
              <w:t>proBNP</w:t>
            </w:r>
            <w:proofErr w:type="spellEnd"/>
            <w:r w:rsidRPr="00FF7A00">
              <w:rPr>
                <w:rFonts w:ascii="Arial" w:hAnsi="Arial"/>
                <w:szCs w:val="20"/>
              </w:rPr>
              <w:t xml:space="preserve"> &lt;30</w:t>
            </w:r>
            <w:r w:rsidR="00E42107">
              <w:rPr>
                <w:rFonts w:ascii="Arial" w:hAnsi="Arial"/>
                <w:szCs w:val="20"/>
              </w:rPr>
              <w:t xml:space="preserve"> </w:t>
            </w:r>
            <w:r w:rsidRPr="00FF7A00">
              <w:rPr>
                <w:rFonts w:ascii="Arial" w:hAnsi="Arial"/>
                <w:szCs w:val="20"/>
              </w:rPr>
              <w:t>0ng/L</w:t>
            </w:r>
          </w:p>
        </w:tc>
        <w:tc>
          <w:tcPr>
            <w:tcW w:w="1372" w:type="pct"/>
          </w:tcPr>
          <w:p w14:paraId="23FF040D" w14:textId="77777777" w:rsidR="00054996" w:rsidRPr="00FF7A00" w:rsidRDefault="00054996" w:rsidP="00FF7A00">
            <w:pPr>
              <w:pStyle w:val="TableText"/>
              <w:spacing w:before="0" w:after="0"/>
              <w:ind w:left="86"/>
              <w:rPr>
                <w:rFonts w:ascii="Arial" w:hAnsi="Arial"/>
                <w:szCs w:val="20"/>
              </w:rPr>
            </w:pPr>
            <w:r w:rsidRPr="00FF7A00">
              <w:rPr>
                <w:rFonts w:ascii="Arial" w:hAnsi="Arial"/>
                <w:szCs w:val="20"/>
              </w:rPr>
              <w:t>BNP 50–300 ng/L</w:t>
            </w:r>
          </w:p>
          <w:p w14:paraId="094B1A34" w14:textId="77777777" w:rsidR="00054996" w:rsidRPr="00FF7A00" w:rsidRDefault="00054996" w:rsidP="00FF7A00">
            <w:pPr>
              <w:pStyle w:val="TableText"/>
              <w:spacing w:before="0" w:after="0"/>
              <w:ind w:left="86"/>
              <w:rPr>
                <w:rFonts w:ascii="Arial" w:hAnsi="Arial"/>
                <w:szCs w:val="20"/>
              </w:rPr>
            </w:pPr>
            <w:r w:rsidRPr="00FF7A00">
              <w:rPr>
                <w:rFonts w:ascii="Arial" w:hAnsi="Arial"/>
                <w:szCs w:val="20"/>
              </w:rPr>
              <w:t>NT-</w:t>
            </w:r>
            <w:proofErr w:type="spellStart"/>
            <w:r w:rsidRPr="00FF7A00">
              <w:rPr>
                <w:rFonts w:ascii="Arial" w:hAnsi="Arial"/>
                <w:szCs w:val="20"/>
              </w:rPr>
              <w:t>proBNP</w:t>
            </w:r>
            <w:proofErr w:type="spellEnd"/>
            <w:r w:rsidRPr="00FF7A00">
              <w:rPr>
                <w:rFonts w:ascii="Arial" w:hAnsi="Arial"/>
                <w:szCs w:val="20"/>
              </w:rPr>
              <w:t xml:space="preserve"> 300–1400 ng/L</w:t>
            </w:r>
          </w:p>
        </w:tc>
        <w:tc>
          <w:tcPr>
            <w:tcW w:w="1241" w:type="pct"/>
          </w:tcPr>
          <w:p w14:paraId="2138E834" w14:textId="77777777" w:rsidR="00054996" w:rsidRPr="00FF7A00" w:rsidRDefault="00054996" w:rsidP="00FF7A00">
            <w:pPr>
              <w:pStyle w:val="TableText"/>
              <w:spacing w:before="0" w:after="0"/>
              <w:ind w:left="158"/>
              <w:rPr>
                <w:rFonts w:ascii="Arial" w:hAnsi="Arial"/>
                <w:szCs w:val="20"/>
              </w:rPr>
            </w:pPr>
            <w:r w:rsidRPr="00FF7A00">
              <w:rPr>
                <w:rFonts w:ascii="Arial" w:hAnsi="Arial"/>
                <w:szCs w:val="20"/>
              </w:rPr>
              <w:t>BNP &gt;300 ng/L</w:t>
            </w:r>
          </w:p>
          <w:p w14:paraId="1F30C5EB" w14:textId="77777777" w:rsidR="00054996" w:rsidRPr="00FF7A00" w:rsidRDefault="00054996" w:rsidP="00FF7A00">
            <w:pPr>
              <w:pStyle w:val="TableText"/>
              <w:spacing w:before="0" w:after="0"/>
              <w:ind w:left="158"/>
              <w:rPr>
                <w:rFonts w:ascii="Arial" w:hAnsi="Arial"/>
                <w:szCs w:val="20"/>
              </w:rPr>
            </w:pPr>
            <w:r w:rsidRPr="00FF7A00">
              <w:rPr>
                <w:rFonts w:ascii="Arial" w:hAnsi="Arial"/>
                <w:szCs w:val="20"/>
              </w:rPr>
              <w:t>NT-</w:t>
            </w:r>
            <w:proofErr w:type="spellStart"/>
            <w:r w:rsidRPr="00FF7A00">
              <w:rPr>
                <w:rFonts w:ascii="Arial" w:hAnsi="Arial"/>
                <w:szCs w:val="20"/>
              </w:rPr>
              <w:t>proBNP</w:t>
            </w:r>
            <w:proofErr w:type="spellEnd"/>
            <w:r w:rsidRPr="00FF7A00">
              <w:rPr>
                <w:rFonts w:ascii="Arial" w:hAnsi="Arial"/>
                <w:szCs w:val="20"/>
              </w:rPr>
              <w:t xml:space="preserve"> &gt;1400 ng/L</w:t>
            </w:r>
          </w:p>
        </w:tc>
      </w:tr>
      <w:tr w:rsidR="00054996" w:rsidRPr="00AE134B" w14:paraId="421FF58A" w14:textId="77777777" w:rsidTr="00054996">
        <w:tc>
          <w:tcPr>
            <w:tcW w:w="1116" w:type="pct"/>
          </w:tcPr>
          <w:p w14:paraId="160F3756" w14:textId="77777777" w:rsidR="00054996" w:rsidRPr="00FF7A00" w:rsidRDefault="00054996" w:rsidP="00FF7A00">
            <w:pPr>
              <w:pStyle w:val="TableText"/>
              <w:spacing w:before="0" w:after="0"/>
              <w:ind w:left="147"/>
              <w:rPr>
                <w:rFonts w:ascii="Arial" w:hAnsi="Arial"/>
                <w:szCs w:val="20"/>
              </w:rPr>
            </w:pPr>
            <w:r w:rsidRPr="00FF7A00">
              <w:rPr>
                <w:rFonts w:ascii="Arial" w:hAnsi="Arial"/>
                <w:szCs w:val="20"/>
              </w:rPr>
              <w:t>Imaging</w:t>
            </w:r>
          </w:p>
        </w:tc>
        <w:tc>
          <w:tcPr>
            <w:tcW w:w="1270" w:type="pct"/>
          </w:tcPr>
          <w:p w14:paraId="60CAAA38" w14:textId="77777777" w:rsidR="00054996" w:rsidRPr="00FF7A00" w:rsidRDefault="00054996" w:rsidP="00FF7A00">
            <w:pPr>
              <w:pStyle w:val="TableText"/>
              <w:spacing w:before="0" w:after="0"/>
              <w:ind w:left="114"/>
              <w:rPr>
                <w:rFonts w:ascii="Arial" w:hAnsi="Arial"/>
                <w:szCs w:val="20"/>
              </w:rPr>
            </w:pPr>
            <w:r w:rsidRPr="00FF7A00">
              <w:rPr>
                <w:rFonts w:ascii="Arial" w:hAnsi="Arial"/>
                <w:szCs w:val="20"/>
              </w:rPr>
              <w:t>RA area &lt;18 cm</w:t>
            </w:r>
            <w:r w:rsidRPr="00FF7A00">
              <w:rPr>
                <w:rFonts w:ascii="Arial" w:hAnsi="Arial"/>
                <w:szCs w:val="20"/>
                <w:vertAlign w:val="superscript"/>
              </w:rPr>
              <w:t>2</w:t>
            </w:r>
          </w:p>
          <w:p w14:paraId="59F1073A" w14:textId="77777777" w:rsidR="00054996" w:rsidRPr="00FF7A00" w:rsidRDefault="00054996" w:rsidP="00FF7A00">
            <w:pPr>
              <w:pStyle w:val="TableText"/>
              <w:spacing w:before="0" w:after="0"/>
              <w:ind w:left="114"/>
              <w:rPr>
                <w:rFonts w:ascii="Arial" w:hAnsi="Arial"/>
                <w:szCs w:val="20"/>
              </w:rPr>
            </w:pPr>
            <w:r w:rsidRPr="00FF7A00">
              <w:rPr>
                <w:rFonts w:ascii="Arial" w:hAnsi="Arial"/>
                <w:szCs w:val="20"/>
              </w:rPr>
              <w:t>No pericardial effusion</w:t>
            </w:r>
          </w:p>
        </w:tc>
        <w:tc>
          <w:tcPr>
            <w:tcW w:w="1372" w:type="pct"/>
          </w:tcPr>
          <w:p w14:paraId="0EAF1098" w14:textId="77777777" w:rsidR="00054996" w:rsidRPr="00FF7A00" w:rsidRDefault="00054996" w:rsidP="00FF7A00">
            <w:pPr>
              <w:pStyle w:val="TableText"/>
              <w:spacing w:before="0" w:after="0"/>
              <w:ind w:left="86"/>
              <w:rPr>
                <w:rFonts w:ascii="Arial" w:hAnsi="Arial"/>
                <w:szCs w:val="20"/>
              </w:rPr>
            </w:pPr>
            <w:r w:rsidRPr="00FF7A00">
              <w:rPr>
                <w:rFonts w:ascii="Arial" w:hAnsi="Arial"/>
                <w:szCs w:val="20"/>
              </w:rPr>
              <w:t>RA area 18–26 cm</w:t>
            </w:r>
            <w:r w:rsidRPr="00FF7A00">
              <w:rPr>
                <w:rFonts w:ascii="Arial" w:hAnsi="Arial"/>
                <w:szCs w:val="20"/>
                <w:vertAlign w:val="superscript"/>
              </w:rPr>
              <w:t>2</w:t>
            </w:r>
          </w:p>
          <w:p w14:paraId="6D1C467F" w14:textId="77777777" w:rsidR="00054996" w:rsidRPr="00FF7A00" w:rsidRDefault="00054996" w:rsidP="00FF7A00">
            <w:pPr>
              <w:pStyle w:val="TableText"/>
              <w:spacing w:before="0" w:after="0"/>
              <w:ind w:left="86"/>
              <w:rPr>
                <w:rFonts w:ascii="Arial" w:hAnsi="Arial"/>
                <w:szCs w:val="20"/>
              </w:rPr>
            </w:pPr>
            <w:r w:rsidRPr="00FF7A00">
              <w:rPr>
                <w:rFonts w:ascii="Arial" w:hAnsi="Arial"/>
                <w:szCs w:val="20"/>
              </w:rPr>
              <w:t>No/minimal, pericardial effusion</w:t>
            </w:r>
          </w:p>
        </w:tc>
        <w:tc>
          <w:tcPr>
            <w:tcW w:w="1241" w:type="pct"/>
          </w:tcPr>
          <w:p w14:paraId="70C96793" w14:textId="77777777" w:rsidR="00054996" w:rsidRPr="00FF7A00" w:rsidRDefault="00054996" w:rsidP="00FF7A00">
            <w:pPr>
              <w:pStyle w:val="TableText"/>
              <w:spacing w:before="0" w:after="0"/>
              <w:ind w:left="158"/>
              <w:rPr>
                <w:rFonts w:ascii="Arial" w:hAnsi="Arial"/>
                <w:szCs w:val="20"/>
              </w:rPr>
            </w:pPr>
            <w:r w:rsidRPr="00FF7A00">
              <w:rPr>
                <w:rFonts w:ascii="Arial" w:hAnsi="Arial"/>
                <w:szCs w:val="20"/>
              </w:rPr>
              <w:t>RA area &gt;26 cm</w:t>
            </w:r>
            <w:r w:rsidRPr="00FF7A00">
              <w:rPr>
                <w:rFonts w:ascii="Arial" w:hAnsi="Arial"/>
                <w:szCs w:val="20"/>
                <w:vertAlign w:val="superscript"/>
              </w:rPr>
              <w:t>2</w:t>
            </w:r>
          </w:p>
          <w:p w14:paraId="799772E7" w14:textId="77777777" w:rsidR="00054996" w:rsidRPr="00FF7A00" w:rsidRDefault="00054996" w:rsidP="00FF7A00">
            <w:pPr>
              <w:pStyle w:val="TableText"/>
              <w:spacing w:before="0" w:after="0"/>
              <w:ind w:left="158"/>
              <w:rPr>
                <w:rFonts w:ascii="Arial" w:hAnsi="Arial"/>
                <w:szCs w:val="20"/>
              </w:rPr>
            </w:pPr>
            <w:r w:rsidRPr="00FF7A00">
              <w:rPr>
                <w:rFonts w:ascii="Arial" w:hAnsi="Arial"/>
                <w:szCs w:val="20"/>
              </w:rPr>
              <w:t>Pericardial effusion</w:t>
            </w:r>
          </w:p>
        </w:tc>
      </w:tr>
      <w:tr w:rsidR="00054996" w:rsidRPr="00AE134B" w14:paraId="1E50EF28" w14:textId="77777777" w:rsidTr="00054996">
        <w:tc>
          <w:tcPr>
            <w:tcW w:w="1116" w:type="pct"/>
          </w:tcPr>
          <w:p w14:paraId="5F1B7F14" w14:textId="77777777" w:rsidR="00054996" w:rsidRPr="00FF7A00" w:rsidRDefault="00054996" w:rsidP="00FF7A00">
            <w:pPr>
              <w:pStyle w:val="TableText"/>
              <w:spacing w:before="0" w:after="0"/>
              <w:ind w:left="147"/>
              <w:rPr>
                <w:rFonts w:ascii="Arial" w:hAnsi="Arial"/>
                <w:szCs w:val="20"/>
              </w:rPr>
            </w:pPr>
            <w:r w:rsidRPr="00FF7A00">
              <w:rPr>
                <w:rFonts w:ascii="Arial" w:hAnsi="Arial"/>
                <w:szCs w:val="20"/>
              </w:rPr>
              <w:t>Haemodynamics</w:t>
            </w:r>
          </w:p>
        </w:tc>
        <w:tc>
          <w:tcPr>
            <w:tcW w:w="1270" w:type="pct"/>
          </w:tcPr>
          <w:p w14:paraId="3CE71B33" w14:textId="77777777" w:rsidR="00054996" w:rsidRPr="00FF7A00" w:rsidRDefault="00054996" w:rsidP="00FF7A00">
            <w:pPr>
              <w:pStyle w:val="TableText"/>
              <w:spacing w:before="0" w:after="0"/>
              <w:ind w:left="114"/>
              <w:rPr>
                <w:rFonts w:ascii="Arial" w:hAnsi="Arial"/>
                <w:szCs w:val="20"/>
              </w:rPr>
            </w:pPr>
            <w:r w:rsidRPr="00FF7A00">
              <w:rPr>
                <w:rFonts w:ascii="Arial" w:hAnsi="Arial"/>
                <w:szCs w:val="20"/>
              </w:rPr>
              <w:t>RAP &lt;8 mmHg</w:t>
            </w:r>
          </w:p>
          <w:p w14:paraId="090B53D0" w14:textId="77777777" w:rsidR="00054996" w:rsidRPr="00FF7A00" w:rsidRDefault="00054996" w:rsidP="00FF7A00">
            <w:pPr>
              <w:pStyle w:val="TableText"/>
              <w:spacing w:before="0" w:after="0"/>
              <w:ind w:left="114"/>
              <w:rPr>
                <w:rFonts w:ascii="Arial" w:hAnsi="Arial"/>
                <w:szCs w:val="20"/>
              </w:rPr>
            </w:pPr>
            <w:r w:rsidRPr="00FF7A00">
              <w:rPr>
                <w:rFonts w:ascii="Arial" w:hAnsi="Arial"/>
                <w:szCs w:val="20"/>
              </w:rPr>
              <w:t>CI ≥2.5 L/min/m</w:t>
            </w:r>
            <w:r w:rsidRPr="00FF7A00">
              <w:rPr>
                <w:rFonts w:ascii="Arial" w:hAnsi="Arial"/>
                <w:szCs w:val="20"/>
                <w:vertAlign w:val="superscript"/>
              </w:rPr>
              <w:t>2</w:t>
            </w:r>
          </w:p>
          <w:p w14:paraId="129B15B4" w14:textId="77777777" w:rsidR="00054996" w:rsidRPr="00FF7A00" w:rsidRDefault="00054996" w:rsidP="00FF7A00">
            <w:pPr>
              <w:pStyle w:val="TableText"/>
              <w:spacing w:before="0" w:after="0"/>
              <w:ind w:left="114"/>
              <w:rPr>
                <w:rFonts w:ascii="Arial" w:hAnsi="Arial"/>
                <w:szCs w:val="20"/>
              </w:rPr>
            </w:pPr>
            <w:r w:rsidRPr="00FF7A00">
              <w:rPr>
                <w:rFonts w:ascii="Arial" w:hAnsi="Arial"/>
                <w:szCs w:val="20"/>
              </w:rPr>
              <w:t>SvO</w:t>
            </w:r>
            <w:r w:rsidRPr="00FF7A00">
              <w:rPr>
                <w:rFonts w:ascii="Arial" w:hAnsi="Arial"/>
                <w:szCs w:val="20"/>
                <w:vertAlign w:val="subscript"/>
              </w:rPr>
              <w:t>2</w:t>
            </w:r>
            <w:r w:rsidRPr="00FF7A00">
              <w:rPr>
                <w:rFonts w:ascii="Arial" w:hAnsi="Arial"/>
                <w:szCs w:val="20"/>
              </w:rPr>
              <w:t xml:space="preserve"> &gt;65%</w:t>
            </w:r>
          </w:p>
        </w:tc>
        <w:tc>
          <w:tcPr>
            <w:tcW w:w="1372" w:type="pct"/>
          </w:tcPr>
          <w:p w14:paraId="629C4446" w14:textId="77777777" w:rsidR="00054996" w:rsidRPr="00FF7A00" w:rsidRDefault="00054996" w:rsidP="00FF7A00">
            <w:pPr>
              <w:pStyle w:val="TableText"/>
              <w:spacing w:before="0" w:after="0"/>
              <w:ind w:left="86"/>
              <w:rPr>
                <w:rFonts w:ascii="Arial" w:hAnsi="Arial"/>
                <w:szCs w:val="20"/>
              </w:rPr>
            </w:pPr>
            <w:r w:rsidRPr="00FF7A00">
              <w:rPr>
                <w:rFonts w:ascii="Arial" w:hAnsi="Arial"/>
                <w:szCs w:val="20"/>
              </w:rPr>
              <w:t>RAP 8–14 mmHg</w:t>
            </w:r>
          </w:p>
          <w:p w14:paraId="1FF41FE0" w14:textId="77777777" w:rsidR="00054996" w:rsidRPr="00FF7A00" w:rsidRDefault="00054996" w:rsidP="00FF7A00">
            <w:pPr>
              <w:pStyle w:val="TableText"/>
              <w:spacing w:before="0" w:after="0"/>
              <w:ind w:left="86"/>
              <w:rPr>
                <w:rFonts w:ascii="Arial" w:hAnsi="Arial"/>
                <w:szCs w:val="20"/>
              </w:rPr>
            </w:pPr>
            <w:r w:rsidRPr="00FF7A00">
              <w:rPr>
                <w:rFonts w:ascii="Arial" w:hAnsi="Arial"/>
                <w:szCs w:val="20"/>
              </w:rPr>
              <w:t>CI 2.0–2.4 L/min/m</w:t>
            </w:r>
            <w:r w:rsidRPr="00FF7A00">
              <w:rPr>
                <w:rFonts w:ascii="Arial" w:hAnsi="Arial"/>
                <w:szCs w:val="20"/>
                <w:vertAlign w:val="superscript"/>
              </w:rPr>
              <w:t>2</w:t>
            </w:r>
          </w:p>
          <w:p w14:paraId="7377A42C" w14:textId="77777777" w:rsidR="00054996" w:rsidRPr="00FF7A00" w:rsidRDefault="00054996" w:rsidP="00FF7A00">
            <w:pPr>
              <w:pStyle w:val="TableText"/>
              <w:spacing w:before="0" w:after="0"/>
              <w:ind w:left="86"/>
              <w:rPr>
                <w:rFonts w:ascii="Arial" w:hAnsi="Arial"/>
                <w:szCs w:val="20"/>
              </w:rPr>
            </w:pPr>
            <w:r w:rsidRPr="00FF7A00">
              <w:rPr>
                <w:rFonts w:ascii="Arial" w:hAnsi="Arial"/>
                <w:szCs w:val="20"/>
              </w:rPr>
              <w:t>SvO</w:t>
            </w:r>
            <w:r w:rsidRPr="00FF7A00">
              <w:rPr>
                <w:rFonts w:ascii="Arial" w:hAnsi="Arial"/>
                <w:szCs w:val="20"/>
                <w:vertAlign w:val="subscript"/>
              </w:rPr>
              <w:t>2</w:t>
            </w:r>
            <w:r w:rsidRPr="00FF7A00">
              <w:rPr>
                <w:rFonts w:ascii="Arial" w:hAnsi="Arial"/>
                <w:szCs w:val="20"/>
              </w:rPr>
              <w:t xml:space="preserve"> 60–65%</w:t>
            </w:r>
          </w:p>
        </w:tc>
        <w:tc>
          <w:tcPr>
            <w:tcW w:w="1241" w:type="pct"/>
          </w:tcPr>
          <w:p w14:paraId="4FE216FB" w14:textId="77777777" w:rsidR="00054996" w:rsidRPr="00FF7A00" w:rsidRDefault="00054996" w:rsidP="00FF7A00">
            <w:pPr>
              <w:pStyle w:val="TableText"/>
              <w:spacing w:before="0" w:after="0"/>
              <w:ind w:left="158"/>
              <w:rPr>
                <w:rFonts w:ascii="Arial" w:hAnsi="Arial"/>
                <w:szCs w:val="20"/>
              </w:rPr>
            </w:pPr>
            <w:r w:rsidRPr="00FF7A00">
              <w:rPr>
                <w:rFonts w:ascii="Arial" w:hAnsi="Arial"/>
                <w:szCs w:val="20"/>
              </w:rPr>
              <w:t>RAP &gt;14 mmHg</w:t>
            </w:r>
          </w:p>
          <w:p w14:paraId="2F9883B6" w14:textId="77777777" w:rsidR="00054996" w:rsidRPr="00FF7A00" w:rsidRDefault="00054996" w:rsidP="00FF7A00">
            <w:pPr>
              <w:pStyle w:val="TableText"/>
              <w:spacing w:before="0" w:after="0"/>
              <w:ind w:left="158"/>
              <w:rPr>
                <w:rFonts w:ascii="Arial" w:hAnsi="Arial"/>
                <w:szCs w:val="20"/>
              </w:rPr>
            </w:pPr>
            <w:r w:rsidRPr="00FF7A00">
              <w:rPr>
                <w:rFonts w:ascii="Arial" w:hAnsi="Arial"/>
                <w:szCs w:val="20"/>
              </w:rPr>
              <w:t>CI ≥2.5 L/min/m</w:t>
            </w:r>
            <w:r w:rsidRPr="00FF7A00">
              <w:rPr>
                <w:rFonts w:ascii="Arial" w:hAnsi="Arial"/>
                <w:szCs w:val="20"/>
                <w:vertAlign w:val="superscript"/>
              </w:rPr>
              <w:t>2</w:t>
            </w:r>
          </w:p>
          <w:p w14:paraId="09019F82" w14:textId="77777777" w:rsidR="00054996" w:rsidRPr="00FF7A00" w:rsidRDefault="00054996" w:rsidP="00FF7A00">
            <w:pPr>
              <w:pStyle w:val="TableText"/>
              <w:spacing w:before="0" w:after="0"/>
              <w:ind w:left="158"/>
              <w:rPr>
                <w:rFonts w:ascii="Arial" w:hAnsi="Arial"/>
                <w:szCs w:val="20"/>
              </w:rPr>
            </w:pPr>
            <w:r w:rsidRPr="00FF7A00">
              <w:rPr>
                <w:rFonts w:ascii="Arial" w:hAnsi="Arial"/>
                <w:szCs w:val="20"/>
              </w:rPr>
              <w:t>SvO</w:t>
            </w:r>
            <w:r w:rsidRPr="00FF7A00">
              <w:rPr>
                <w:rFonts w:ascii="Arial" w:hAnsi="Arial"/>
                <w:szCs w:val="20"/>
                <w:vertAlign w:val="subscript"/>
              </w:rPr>
              <w:t>2</w:t>
            </w:r>
            <w:r w:rsidRPr="00FF7A00">
              <w:rPr>
                <w:rFonts w:ascii="Arial" w:hAnsi="Arial"/>
                <w:szCs w:val="20"/>
              </w:rPr>
              <w:t xml:space="preserve"> &lt;60%</w:t>
            </w:r>
          </w:p>
        </w:tc>
      </w:tr>
    </w:tbl>
    <w:p w14:paraId="21F39C76" w14:textId="77777777" w:rsidR="00054996" w:rsidRPr="00FF7A00" w:rsidRDefault="00054996" w:rsidP="00121658">
      <w:pPr>
        <w:pStyle w:val="Tablenote"/>
        <w:rPr>
          <w:rFonts w:ascii="Arial" w:hAnsi="Arial" w:cs="Arial"/>
          <w:sz w:val="16"/>
          <w:szCs w:val="16"/>
        </w:rPr>
      </w:pPr>
      <w:r w:rsidRPr="00FF7A00">
        <w:rPr>
          <w:rFonts w:ascii="Arial" w:hAnsi="Arial" w:cs="Arial"/>
          <w:sz w:val="16"/>
          <w:szCs w:val="16"/>
        </w:rPr>
        <w:t>BNP = B-type natriuretic peptide; CI = Cardiac Index; NT = N-terminal; Pred. = predicted; RA = right atrial; SvO</w:t>
      </w:r>
      <w:r w:rsidRPr="00FF7A00">
        <w:rPr>
          <w:rFonts w:ascii="Arial" w:hAnsi="Arial" w:cs="Arial"/>
          <w:sz w:val="16"/>
          <w:szCs w:val="16"/>
          <w:vertAlign w:val="subscript"/>
        </w:rPr>
        <w:t>2</w:t>
      </w:r>
      <w:r w:rsidRPr="00FF7A00">
        <w:rPr>
          <w:rFonts w:ascii="Arial" w:hAnsi="Arial" w:cs="Arial"/>
          <w:sz w:val="16"/>
          <w:szCs w:val="16"/>
          <w:vertAlign w:val="superscript"/>
        </w:rPr>
        <w:t xml:space="preserve"> </w:t>
      </w:r>
      <w:r w:rsidRPr="00FF7A00">
        <w:rPr>
          <w:rFonts w:ascii="Arial" w:hAnsi="Arial" w:cs="Arial"/>
          <w:sz w:val="16"/>
          <w:szCs w:val="16"/>
        </w:rPr>
        <w:t>= mixed venous oxygen saturation; VE/VCO</w:t>
      </w:r>
      <w:r w:rsidRPr="00FF7A00">
        <w:rPr>
          <w:rFonts w:ascii="Arial" w:hAnsi="Arial" w:cs="Arial"/>
          <w:sz w:val="16"/>
          <w:szCs w:val="16"/>
          <w:vertAlign w:val="subscript"/>
        </w:rPr>
        <w:t>2</w:t>
      </w:r>
      <w:r w:rsidRPr="00FF7A00">
        <w:rPr>
          <w:rFonts w:ascii="Arial" w:hAnsi="Arial" w:cs="Arial"/>
          <w:sz w:val="16"/>
          <w:szCs w:val="16"/>
        </w:rPr>
        <w:t xml:space="preserve"> = minute ventilation/carbon dioxide production; RAP = Right Atrial Pressure; VO</w:t>
      </w:r>
      <w:r w:rsidRPr="00FF7A00">
        <w:rPr>
          <w:rFonts w:ascii="Arial" w:hAnsi="Arial" w:cs="Arial"/>
          <w:sz w:val="16"/>
          <w:szCs w:val="16"/>
          <w:vertAlign w:val="subscript"/>
        </w:rPr>
        <w:t>2</w:t>
      </w:r>
      <w:r w:rsidRPr="00FF7A00">
        <w:rPr>
          <w:rFonts w:ascii="Arial" w:hAnsi="Arial" w:cs="Arial"/>
          <w:sz w:val="16"/>
          <w:szCs w:val="16"/>
        </w:rPr>
        <w:t xml:space="preserve"> = Oxygen uptake</w:t>
      </w:r>
    </w:p>
    <w:p w14:paraId="19C626EC" w14:textId="77777777" w:rsidR="00054996" w:rsidRPr="00FF7A00" w:rsidRDefault="00054996" w:rsidP="00121658">
      <w:pPr>
        <w:pStyle w:val="Tablenote"/>
        <w:spacing w:after="240"/>
        <w:rPr>
          <w:rFonts w:ascii="Arial" w:hAnsi="Arial" w:cs="Arial"/>
          <w:i/>
          <w:sz w:val="16"/>
          <w:szCs w:val="16"/>
        </w:rPr>
      </w:pPr>
      <w:r w:rsidRPr="00FF7A00">
        <w:rPr>
          <w:rFonts w:ascii="Arial" w:hAnsi="Arial" w:cs="Arial"/>
          <w:sz w:val="16"/>
          <w:szCs w:val="16"/>
        </w:rPr>
        <w:t xml:space="preserve">Source: </w:t>
      </w:r>
      <w:r w:rsidR="008F6AA4">
        <w:rPr>
          <w:rFonts w:ascii="Arial" w:hAnsi="Arial" w:cs="Arial"/>
          <w:sz w:val="16"/>
          <w:szCs w:val="16"/>
        </w:rPr>
        <w:t>2015 ESC/ERS Guidelines</w:t>
      </w:r>
      <w:r w:rsidR="009C556B" w:rsidRPr="00FF7A00">
        <w:rPr>
          <w:rFonts w:ascii="Arial" w:hAnsi="Arial" w:cs="Arial"/>
          <w:noProof/>
          <w:sz w:val="16"/>
          <w:szCs w:val="16"/>
          <w:vertAlign w:val="superscript"/>
        </w:rPr>
        <w:t>8</w:t>
      </w:r>
    </w:p>
    <w:p w14:paraId="61CFED38" w14:textId="77777777" w:rsidR="00054996" w:rsidRDefault="0048383C" w:rsidP="00F75B8B">
      <w:pPr>
        <w:pStyle w:val="Caption"/>
      </w:pPr>
      <w:bookmarkStart w:id="176" w:name="_Ref510795326"/>
      <w:bookmarkStart w:id="177" w:name="_Toc29377258"/>
      <w:r>
        <w:t>Table 1.</w:t>
      </w:r>
      <w:r w:rsidR="00505D99">
        <w:rPr>
          <w:noProof/>
        </w:rPr>
        <w:t>12</w:t>
      </w:r>
      <w:bookmarkEnd w:id="176"/>
      <w:r w:rsidR="00F75B8B">
        <w:tab/>
        <w:t>Clinical features of high risk PAH patients (USA)</w:t>
      </w:r>
      <w:bookmarkEnd w:id="177"/>
    </w:p>
    <w:tbl>
      <w:tblPr>
        <w:tblStyle w:val="TableGrid"/>
        <w:tblW w:w="0" w:type="auto"/>
        <w:tblLook w:val="04A0" w:firstRow="1" w:lastRow="0" w:firstColumn="1" w:lastColumn="0" w:noHBand="0" w:noVBand="1"/>
        <w:tblCaption w:val="Clinical features of high risk PAH patients (USA)"/>
      </w:tblPr>
      <w:tblGrid>
        <w:gridCol w:w="4967"/>
        <w:gridCol w:w="4049"/>
      </w:tblGrid>
      <w:tr w:rsidR="00054996" w14:paraId="0FDF5D94" w14:textId="77777777" w:rsidTr="00FF7A00">
        <w:trPr>
          <w:cnfStyle w:val="100000000000" w:firstRow="1" w:lastRow="0" w:firstColumn="0" w:lastColumn="0" w:oddVBand="0" w:evenVBand="0" w:oddHBand="0" w:evenHBand="0" w:firstRowFirstColumn="0" w:firstRowLastColumn="0" w:lastRowFirstColumn="0" w:lastRowLastColumn="0"/>
        </w:trPr>
        <w:tc>
          <w:tcPr>
            <w:tcW w:w="4967" w:type="dxa"/>
          </w:tcPr>
          <w:p w14:paraId="00CC741C" w14:textId="77777777" w:rsidR="00054996" w:rsidRPr="00FF7A00" w:rsidRDefault="00805124" w:rsidP="00FF7A00">
            <w:pPr>
              <w:pStyle w:val="TableText"/>
              <w:keepNext/>
              <w:spacing w:before="0" w:after="0"/>
              <w:ind w:left="147"/>
              <w:rPr>
                <w:rFonts w:ascii="Arial" w:hAnsi="Arial"/>
                <w:b/>
              </w:rPr>
            </w:pPr>
            <w:r w:rsidRPr="00FF7A00">
              <w:rPr>
                <w:rFonts w:ascii="Arial" w:hAnsi="Arial"/>
                <w:b/>
              </w:rPr>
              <w:t>Items</w:t>
            </w:r>
          </w:p>
        </w:tc>
        <w:tc>
          <w:tcPr>
            <w:tcW w:w="4049" w:type="dxa"/>
          </w:tcPr>
          <w:p w14:paraId="3E8F05D4" w14:textId="77777777" w:rsidR="00054996" w:rsidRPr="00FF7A00" w:rsidRDefault="00805124" w:rsidP="00FF7A00">
            <w:pPr>
              <w:pStyle w:val="TableText"/>
              <w:keepNext/>
              <w:spacing w:before="0" w:after="0"/>
              <w:ind w:left="165"/>
              <w:rPr>
                <w:rFonts w:ascii="Arial" w:hAnsi="Arial"/>
                <w:b/>
              </w:rPr>
            </w:pPr>
            <w:r w:rsidRPr="00FF7A00">
              <w:rPr>
                <w:rFonts w:ascii="Arial" w:hAnsi="Arial"/>
                <w:b/>
              </w:rPr>
              <w:t>Clinical features of high risk</w:t>
            </w:r>
          </w:p>
        </w:tc>
      </w:tr>
      <w:tr w:rsidR="00805124" w14:paraId="6DC75AAC" w14:textId="77777777" w:rsidTr="00FF7A00">
        <w:tc>
          <w:tcPr>
            <w:tcW w:w="4967" w:type="dxa"/>
          </w:tcPr>
          <w:p w14:paraId="0715A141" w14:textId="77777777" w:rsidR="00805124" w:rsidRPr="00FF7A00" w:rsidRDefault="00805124" w:rsidP="00FF7A00">
            <w:pPr>
              <w:pStyle w:val="TableText"/>
              <w:keepNext/>
              <w:spacing w:before="0" w:after="0"/>
              <w:ind w:left="147"/>
              <w:rPr>
                <w:rFonts w:ascii="Arial" w:hAnsi="Arial"/>
              </w:rPr>
            </w:pPr>
            <w:r w:rsidRPr="00FF7A00">
              <w:rPr>
                <w:rFonts w:ascii="Arial" w:hAnsi="Arial"/>
              </w:rPr>
              <w:t>Syncope</w:t>
            </w:r>
          </w:p>
        </w:tc>
        <w:tc>
          <w:tcPr>
            <w:tcW w:w="4049" w:type="dxa"/>
          </w:tcPr>
          <w:p w14:paraId="63D7EDB6" w14:textId="77777777" w:rsidR="00805124" w:rsidRPr="00FF7A00" w:rsidRDefault="00805124" w:rsidP="00FF7A00">
            <w:pPr>
              <w:pStyle w:val="TableText"/>
              <w:keepNext/>
              <w:spacing w:before="0" w:after="0"/>
              <w:ind w:left="165"/>
              <w:rPr>
                <w:rFonts w:ascii="Arial" w:hAnsi="Arial"/>
              </w:rPr>
            </w:pPr>
            <w:r w:rsidRPr="00FF7A00">
              <w:rPr>
                <w:rFonts w:ascii="Arial" w:hAnsi="Arial"/>
              </w:rPr>
              <w:t>Yes</w:t>
            </w:r>
          </w:p>
        </w:tc>
      </w:tr>
      <w:tr w:rsidR="00054996" w14:paraId="59A4BBA1" w14:textId="77777777" w:rsidTr="00FF7A00">
        <w:tc>
          <w:tcPr>
            <w:tcW w:w="4967" w:type="dxa"/>
          </w:tcPr>
          <w:p w14:paraId="13EE667B" w14:textId="77777777" w:rsidR="00054996" w:rsidRPr="00FF7A00" w:rsidRDefault="00054996" w:rsidP="00FF7A00">
            <w:pPr>
              <w:pStyle w:val="TableText"/>
              <w:keepNext/>
              <w:spacing w:before="0" w:after="0"/>
              <w:ind w:left="147"/>
              <w:rPr>
                <w:rFonts w:ascii="Arial" w:hAnsi="Arial"/>
              </w:rPr>
            </w:pPr>
            <w:r w:rsidRPr="00FF7A00">
              <w:rPr>
                <w:rFonts w:ascii="Arial" w:hAnsi="Arial"/>
              </w:rPr>
              <w:t>NYHA/WHO class</w:t>
            </w:r>
          </w:p>
        </w:tc>
        <w:tc>
          <w:tcPr>
            <w:tcW w:w="4049" w:type="dxa"/>
          </w:tcPr>
          <w:p w14:paraId="3BDE4909" w14:textId="77777777" w:rsidR="00054996" w:rsidRPr="00FF7A00" w:rsidRDefault="00054996" w:rsidP="00FF7A00">
            <w:pPr>
              <w:pStyle w:val="TableText"/>
              <w:keepNext/>
              <w:spacing w:before="0" w:after="0"/>
              <w:ind w:left="165"/>
              <w:rPr>
                <w:rFonts w:ascii="Arial" w:hAnsi="Arial"/>
              </w:rPr>
            </w:pPr>
            <w:r w:rsidRPr="00FF7A00">
              <w:rPr>
                <w:rFonts w:ascii="Arial" w:hAnsi="Arial"/>
              </w:rPr>
              <w:t>IV</w:t>
            </w:r>
          </w:p>
        </w:tc>
      </w:tr>
      <w:tr w:rsidR="00054996" w14:paraId="70516DAD" w14:textId="77777777" w:rsidTr="00FF7A00">
        <w:tc>
          <w:tcPr>
            <w:tcW w:w="4967" w:type="dxa"/>
          </w:tcPr>
          <w:p w14:paraId="1FBEF5C5" w14:textId="77777777" w:rsidR="00054996" w:rsidRPr="00FF7A00" w:rsidRDefault="00054996" w:rsidP="00FF7A00">
            <w:pPr>
              <w:pStyle w:val="TableText"/>
              <w:keepNext/>
              <w:spacing w:before="0" w:after="0"/>
              <w:ind w:left="147"/>
              <w:rPr>
                <w:rFonts w:ascii="Arial" w:hAnsi="Arial"/>
              </w:rPr>
            </w:pPr>
            <w:r w:rsidRPr="00FF7A00">
              <w:rPr>
                <w:rFonts w:ascii="Arial" w:hAnsi="Arial"/>
              </w:rPr>
              <w:t>6MWD</w:t>
            </w:r>
          </w:p>
        </w:tc>
        <w:tc>
          <w:tcPr>
            <w:tcW w:w="4049" w:type="dxa"/>
          </w:tcPr>
          <w:p w14:paraId="7BE737B7" w14:textId="77777777" w:rsidR="00054996" w:rsidRPr="00FF7A00" w:rsidRDefault="00054996" w:rsidP="00FF7A00">
            <w:pPr>
              <w:pStyle w:val="TableText"/>
              <w:keepNext/>
              <w:spacing w:before="0" w:after="0"/>
              <w:ind w:left="165"/>
              <w:rPr>
                <w:rFonts w:ascii="Arial" w:hAnsi="Arial"/>
              </w:rPr>
            </w:pPr>
            <w:r w:rsidRPr="00FF7A00">
              <w:rPr>
                <w:rFonts w:ascii="Arial" w:hAnsi="Arial"/>
              </w:rPr>
              <w:t>&lt;300 m</w:t>
            </w:r>
          </w:p>
        </w:tc>
      </w:tr>
      <w:tr w:rsidR="00054996" w14:paraId="40245413" w14:textId="77777777" w:rsidTr="00FF7A00">
        <w:tc>
          <w:tcPr>
            <w:tcW w:w="4967" w:type="dxa"/>
          </w:tcPr>
          <w:p w14:paraId="7EE96BF9" w14:textId="77777777" w:rsidR="00054996" w:rsidRPr="00FF7A00" w:rsidRDefault="00054996" w:rsidP="00FF7A00">
            <w:pPr>
              <w:pStyle w:val="TableText"/>
              <w:keepNext/>
              <w:spacing w:before="0" w:after="0"/>
              <w:ind w:left="147"/>
              <w:rPr>
                <w:rFonts w:ascii="Arial" w:hAnsi="Arial"/>
              </w:rPr>
            </w:pPr>
            <w:r w:rsidRPr="00FF7A00">
              <w:rPr>
                <w:rFonts w:ascii="Arial" w:hAnsi="Arial"/>
              </w:rPr>
              <w:t xml:space="preserve">CPET Peak oxygen uptake </w:t>
            </w:r>
          </w:p>
        </w:tc>
        <w:tc>
          <w:tcPr>
            <w:tcW w:w="4049" w:type="dxa"/>
          </w:tcPr>
          <w:p w14:paraId="5BE01F79" w14:textId="77777777" w:rsidR="00054996" w:rsidRPr="00FF7A00" w:rsidRDefault="00054996" w:rsidP="00FF7A00">
            <w:pPr>
              <w:pStyle w:val="TableText"/>
              <w:keepNext/>
              <w:spacing w:before="0" w:after="0"/>
              <w:ind w:left="165"/>
              <w:rPr>
                <w:rFonts w:ascii="Arial" w:hAnsi="Arial"/>
              </w:rPr>
            </w:pPr>
            <w:r w:rsidRPr="00FF7A00">
              <w:rPr>
                <w:rFonts w:ascii="Arial" w:hAnsi="Arial"/>
              </w:rPr>
              <w:t>&lt;12 mL/kg/min</w:t>
            </w:r>
          </w:p>
        </w:tc>
      </w:tr>
      <w:tr w:rsidR="00054996" w14:paraId="62BECF2B" w14:textId="77777777" w:rsidTr="00FF7A00">
        <w:tc>
          <w:tcPr>
            <w:tcW w:w="4967" w:type="dxa"/>
          </w:tcPr>
          <w:p w14:paraId="4CBA450D" w14:textId="77777777" w:rsidR="00054996" w:rsidRPr="00FF7A00" w:rsidRDefault="00054996" w:rsidP="00FF7A00">
            <w:pPr>
              <w:pStyle w:val="TableText"/>
              <w:keepNext/>
              <w:spacing w:before="0" w:after="0"/>
              <w:ind w:left="147"/>
              <w:rPr>
                <w:rFonts w:ascii="Arial" w:hAnsi="Arial"/>
              </w:rPr>
            </w:pPr>
            <w:r w:rsidRPr="00FF7A00">
              <w:rPr>
                <w:rFonts w:ascii="Arial" w:hAnsi="Arial"/>
              </w:rPr>
              <w:t>Echocardiographic findings – Pericardial effusion</w:t>
            </w:r>
          </w:p>
        </w:tc>
        <w:tc>
          <w:tcPr>
            <w:tcW w:w="4049" w:type="dxa"/>
          </w:tcPr>
          <w:p w14:paraId="20F7EFFF" w14:textId="77777777" w:rsidR="00054996" w:rsidRPr="00FF7A00" w:rsidRDefault="00054996" w:rsidP="00FF7A00">
            <w:pPr>
              <w:pStyle w:val="TableText"/>
              <w:keepNext/>
              <w:spacing w:before="0" w:after="0"/>
              <w:ind w:left="165"/>
              <w:rPr>
                <w:rFonts w:ascii="Arial" w:hAnsi="Arial"/>
              </w:rPr>
            </w:pPr>
            <w:r w:rsidRPr="00FF7A00">
              <w:rPr>
                <w:rFonts w:ascii="Arial" w:hAnsi="Arial"/>
              </w:rPr>
              <w:t>Yes</w:t>
            </w:r>
          </w:p>
        </w:tc>
      </w:tr>
      <w:tr w:rsidR="00054996" w14:paraId="1D641609" w14:textId="77777777" w:rsidTr="00FF7A00">
        <w:tc>
          <w:tcPr>
            <w:tcW w:w="4967" w:type="dxa"/>
          </w:tcPr>
          <w:p w14:paraId="4D1E940A" w14:textId="77777777" w:rsidR="00054996" w:rsidRPr="00FF7A00" w:rsidRDefault="00054996" w:rsidP="00FF7A00">
            <w:pPr>
              <w:pStyle w:val="TableText"/>
              <w:keepNext/>
              <w:spacing w:before="0" w:after="0"/>
              <w:ind w:left="147"/>
              <w:rPr>
                <w:rFonts w:ascii="Arial" w:hAnsi="Arial"/>
              </w:rPr>
            </w:pPr>
            <w:r w:rsidRPr="00FF7A00">
              <w:rPr>
                <w:rFonts w:ascii="Arial" w:hAnsi="Arial"/>
              </w:rPr>
              <w:t>Echocardiographic findings – TAPSE</w:t>
            </w:r>
          </w:p>
        </w:tc>
        <w:tc>
          <w:tcPr>
            <w:tcW w:w="4049" w:type="dxa"/>
          </w:tcPr>
          <w:p w14:paraId="2922214B" w14:textId="77777777" w:rsidR="00054996" w:rsidRPr="00FF7A00" w:rsidRDefault="00054996" w:rsidP="00FF7A00">
            <w:pPr>
              <w:pStyle w:val="TableText"/>
              <w:keepNext/>
              <w:spacing w:before="0" w:after="0"/>
              <w:ind w:left="165"/>
              <w:rPr>
                <w:rFonts w:ascii="Arial" w:hAnsi="Arial"/>
              </w:rPr>
            </w:pPr>
            <w:r w:rsidRPr="00FF7A00">
              <w:rPr>
                <w:rFonts w:ascii="Arial" w:hAnsi="Arial"/>
              </w:rPr>
              <w:t>&lt;1.5 cm</w:t>
            </w:r>
          </w:p>
        </w:tc>
      </w:tr>
      <w:tr w:rsidR="00054996" w14:paraId="04B4F54E" w14:textId="77777777" w:rsidTr="00FF7A00">
        <w:tc>
          <w:tcPr>
            <w:tcW w:w="4967" w:type="dxa"/>
          </w:tcPr>
          <w:p w14:paraId="23AE1E4E" w14:textId="77777777" w:rsidR="00054996" w:rsidRPr="00FF7A00" w:rsidRDefault="00054996" w:rsidP="00FF7A00">
            <w:pPr>
              <w:pStyle w:val="TableText"/>
              <w:keepNext/>
              <w:spacing w:before="0" w:after="0"/>
              <w:ind w:left="147"/>
              <w:rPr>
                <w:rFonts w:ascii="Arial" w:hAnsi="Arial"/>
              </w:rPr>
            </w:pPr>
            <w:r w:rsidRPr="00FF7A00">
              <w:rPr>
                <w:rFonts w:ascii="Arial" w:hAnsi="Arial"/>
              </w:rPr>
              <w:t xml:space="preserve">Hemodynamics – RAP </w:t>
            </w:r>
          </w:p>
        </w:tc>
        <w:tc>
          <w:tcPr>
            <w:tcW w:w="4049" w:type="dxa"/>
          </w:tcPr>
          <w:p w14:paraId="69CD514D" w14:textId="59EBED44" w:rsidR="00054996" w:rsidRPr="00FF7A00" w:rsidRDefault="00054996" w:rsidP="00FF7A00">
            <w:pPr>
              <w:pStyle w:val="TableText"/>
              <w:keepNext/>
              <w:spacing w:before="0" w:after="0"/>
              <w:ind w:left="165"/>
              <w:rPr>
                <w:rFonts w:ascii="Arial" w:hAnsi="Arial"/>
              </w:rPr>
            </w:pPr>
            <w:r w:rsidRPr="00FF7A00">
              <w:rPr>
                <w:rFonts w:ascii="Arial" w:hAnsi="Arial"/>
              </w:rPr>
              <w:t xml:space="preserve">&gt;15 </w:t>
            </w:r>
            <w:r w:rsidR="00067504">
              <w:rPr>
                <w:rFonts w:ascii="Arial" w:hAnsi="Arial"/>
              </w:rPr>
              <w:t>mmHg</w:t>
            </w:r>
          </w:p>
        </w:tc>
      </w:tr>
      <w:tr w:rsidR="00054996" w14:paraId="52746269" w14:textId="77777777" w:rsidTr="00FF7A00">
        <w:tc>
          <w:tcPr>
            <w:tcW w:w="4967" w:type="dxa"/>
          </w:tcPr>
          <w:p w14:paraId="2D336E41" w14:textId="77777777" w:rsidR="00054996" w:rsidRPr="00FF7A00" w:rsidRDefault="00054996" w:rsidP="00FF7A00">
            <w:pPr>
              <w:pStyle w:val="TableText"/>
              <w:keepNext/>
              <w:spacing w:before="0" w:after="0"/>
              <w:ind w:left="147"/>
              <w:rPr>
                <w:rFonts w:ascii="Arial" w:hAnsi="Arial"/>
              </w:rPr>
            </w:pPr>
            <w:r w:rsidRPr="00FF7A00">
              <w:rPr>
                <w:rFonts w:ascii="Arial" w:hAnsi="Arial"/>
              </w:rPr>
              <w:t xml:space="preserve">Hemodynamics – Cardiac index </w:t>
            </w:r>
          </w:p>
        </w:tc>
        <w:tc>
          <w:tcPr>
            <w:tcW w:w="4049" w:type="dxa"/>
          </w:tcPr>
          <w:p w14:paraId="291980F1" w14:textId="77777777" w:rsidR="00054996" w:rsidRPr="00FF7A00" w:rsidRDefault="00054996" w:rsidP="00FF7A00">
            <w:pPr>
              <w:pStyle w:val="TableText"/>
              <w:keepNext/>
              <w:spacing w:before="0" w:after="0"/>
              <w:ind w:left="165"/>
              <w:rPr>
                <w:rFonts w:ascii="Arial" w:hAnsi="Arial"/>
              </w:rPr>
            </w:pPr>
            <w:r w:rsidRPr="00FF7A00">
              <w:rPr>
                <w:rFonts w:ascii="Arial" w:hAnsi="Arial"/>
              </w:rPr>
              <w:t>≤2 L/min/m</w:t>
            </w:r>
            <w:r w:rsidRPr="00FF7A00">
              <w:rPr>
                <w:rFonts w:ascii="Arial" w:hAnsi="Arial"/>
                <w:vertAlign w:val="superscript"/>
              </w:rPr>
              <w:t>2</w:t>
            </w:r>
          </w:p>
        </w:tc>
      </w:tr>
      <w:tr w:rsidR="00054996" w14:paraId="6BADF7C7" w14:textId="77777777" w:rsidTr="00FF7A00">
        <w:tc>
          <w:tcPr>
            <w:tcW w:w="4967" w:type="dxa"/>
          </w:tcPr>
          <w:p w14:paraId="55F02D36" w14:textId="77777777" w:rsidR="00054996" w:rsidRPr="00FF7A00" w:rsidRDefault="00054996" w:rsidP="00FF7A00">
            <w:pPr>
              <w:pStyle w:val="TableText"/>
              <w:keepNext/>
              <w:spacing w:before="0" w:after="0"/>
              <w:ind w:left="147"/>
              <w:rPr>
                <w:rFonts w:ascii="Arial" w:hAnsi="Arial"/>
              </w:rPr>
            </w:pPr>
            <w:r w:rsidRPr="00FF7A00">
              <w:rPr>
                <w:rFonts w:ascii="Arial" w:hAnsi="Arial"/>
              </w:rPr>
              <w:t xml:space="preserve">Cardiac MRI RVEF </w:t>
            </w:r>
          </w:p>
        </w:tc>
        <w:tc>
          <w:tcPr>
            <w:tcW w:w="4049" w:type="dxa"/>
          </w:tcPr>
          <w:p w14:paraId="7A034D00" w14:textId="77777777" w:rsidR="00054996" w:rsidRPr="00FF7A00" w:rsidRDefault="00054996" w:rsidP="00FF7A00">
            <w:pPr>
              <w:pStyle w:val="TableText"/>
              <w:keepNext/>
              <w:spacing w:before="0" w:after="0"/>
              <w:ind w:left="165"/>
              <w:rPr>
                <w:rFonts w:ascii="Arial" w:hAnsi="Arial"/>
              </w:rPr>
            </w:pPr>
            <w:r w:rsidRPr="00FF7A00">
              <w:rPr>
                <w:rFonts w:ascii="Arial" w:hAnsi="Arial"/>
              </w:rPr>
              <w:t>&lt;35%</w:t>
            </w:r>
          </w:p>
        </w:tc>
      </w:tr>
    </w:tbl>
    <w:p w14:paraId="0C077406" w14:textId="77777777" w:rsidR="00054996" w:rsidRPr="00FF7A00" w:rsidRDefault="00054996" w:rsidP="00121658">
      <w:pPr>
        <w:pStyle w:val="Tablenote"/>
        <w:rPr>
          <w:rFonts w:ascii="Arial" w:hAnsi="Arial" w:cs="Arial"/>
          <w:sz w:val="16"/>
          <w:szCs w:val="16"/>
        </w:rPr>
      </w:pPr>
      <w:r w:rsidRPr="00FF7A00">
        <w:rPr>
          <w:rFonts w:ascii="Arial" w:hAnsi="Arial" w:cs="Arial"/>
          <w:sz w:val="16"/>
          <w:szCs w:val="16"/>
        </w:rPr>
        <w:t xml:space="preserve">6MWD = 6-minute walk distance; CPET = cardiopulmonary exercise testing; NYHA = New York Heart Association; RAP = right atrial pressure; RVEF = right ventricular ejection fraction; TAPSE = tricuspid annular plane systolic excursion </w:t>
      </w:r>
    </w:p>
    <w:p w14:paraId="14FABEDB" w14:textId="77777777" w:rsidR="00054996" w:rsidRPr="00FF7A00" w:rsidRDefault="00054996" w:rsidP="00121658">
      <w:pPr>
        <w:pStyle w:val="Tablenote"/>
        <w:rPr>
          <w:rFonts w:ascii="Arial" w:hAnsi="Arial" w:cs="Arial"/>
          <w:sz w:val="16"/>
          <w:szCs w:val="16"/>
        </w:rPr>
      </w:pPr>
      <w:r w:rsidRPr="00FF7A00">
        <w:rPr>
          <w:rFonts w:ascii="Arial" w:hAnsi="Arial" w:cs="Arial"/>
          <w:sz w:val="16"/>
          <w:szCs w:val="16"/>
        </w:rPr>
        <w:t>Source: McLaughlin et al 2015</w:t>
      </w:r>
      <w:r w:rsidR="009C556B" w:rsidRPr="009C556B">
        <w:rPr>
          <w:rFonts w:ascii="Arial" w:hAnsi="Arial" w:cs="Arial"/>
          <w:noProof/>
          <w:sz w:val="16"/>
          <w:szCs w:val="16"/>
          <w:vertAlign w:val="superscript"/>
        </w:rPr>
        <w:t>29</w:t>
      </w:r>
    </w:p>
    <w:p w14:paraId="7278A5A2" w14:textId="77777777" w:rsidR="00F92A84" w:rsidRDefault="00F92A84" w:rsidP="00121658">
      <w:bookmarkStart w:id="178" w:name="_Toc503047885"/>
      <w:r>
        <w:rPr>
          <w:noProof/>
          <w:lang w:eastAsia="en-AU"/>
        </w:rPr>
        <w:lastRenderedPageBreak/>
        <w:drawing>
          <wp:inline distT="0" distB="0" distL="0" distR="0" wp14:anchorId="226B2BFE" wp14:editId="04836513">
            <wp:extent cx="5509195" cy="6934200"/>
            <wp:effectExtent l="0" t="0" r="0" b="0"/>
            <wp:docPr id="1" name="Picture 1" descr="REVEAL risk score calculator sourced from: http://journal.chestnet.org/cms/attachment/2097897153/2078466575/gr1_lrg.jpg" title="REVEAL risk score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ournal.chestnet.org/cms/attachment/2097897153/2078466575/gr1_lrg.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5519905" cy="6947680"/>
                    </a:xfrm>
                    <a:prstGeom prst="rect">
                      <a:avLst/>
                    </a:prstGeom>
                    <a:noFill/>
                    <a:ln>
                      <a:noFill/>
                    </a:ln>
                    <a:extLst>
                      <a:ext uri="{53640926-AAD7-44D8-BBD7-CCE9431645EC}">
                        <a14:shadowObscured xmlns:a14="http://schemas.microsoft.com/office/drawing/2010/main"/>
                      </a:ext>
                    </a:extLst>
                  </pic:spPr>
                </pic:pic>
              </a:graphicData>
            </a:graphic>
          </wp:inline>
        </w:drawing>
      </w:r>
    </w:p>
    <w:p w14:paraId="19771C09" w14:textId="77777777" w:rsidR="00054996" w:rsidRDefault="00F92A84" w:rsidP="00FF7A00">
      <w:pPr>
        <w:pStyle w:val="Caption"/>
        <w:ind w:left="0" w:firstLine="0"/>
        <w:jc w:val="left"/>
      </w:pPr>
      <w:bookmarkStart w:id="179" w:name="_Ref508905582"/>
      <w:bookmarkStart w:id="180" w:name="_Toc29377272"/>
      <w:r>
        <w:t>Figure 1.</w:t>
      </w:r>
      <w:r w:rsidR="00505D99">
        <w:rPr>
          <w:noProof/>
        </w:rPr>
        <w:t>1</w:t>
      </w:r>
      <w:bookmarkEnd w:id="179"/>
      <w:r w:rsidR="0015688E">
        <w:tab/>
      </w:r>
      <w:r w:rsidR="00054996">
        <w:t>REVEAL risk score calculator</w:t>
      </w:r>
      <w:bookmarkEnd w:id="178"/>
      <w:bookmarkEnd w:id="180"/>
      <w:r w:rsidR="00054996" w:rsidRPr="00C71F0F">
        <w:t xml:space="preserve"> </w:t>
      </w:r>
    </w:p>
    <w:p w14:paraId="097B3334" w14:textId="77777777" w:rsidR="00F92A84" w:rsidRPr="00957C7F" w:rsidRDefault="00F92A84" w:rsidP="00121658">
      <w:pPr>
        <w:pStyle w:val="Tablenote"/>
        <w:spacing w:after="0"/>
        <w:rPr>
          <w:rFonts w:ascii="Arial" w:hAnsi="Arial" w:cs="Arial"/>
          <w:noProof/>
        </w:rPr>
      </w:pPr>
      <w:r w:rsidRPr="00957C7F">
        <w:rPr>
          <w:rFonts w:ascii="Arial" w:hAnsi="Arial" w:cs="Arial"/>
          <w:noProof/>
        </w:rPr>
        <w:t xml:space="preserve">Note: Calculated risk scores can range from 0 (lowest risk) to 22 (highest risk). If N-terminal proBNP is available and BNP is not, listed cut points are replaced with &lt; 300 pg/mL and &gt; 1500 pg/mL. </w:t>
      </w:r>
    </w:p>
    <w:p w14:paraId="566812A1" w14:textId="77777777" w:rsidR="00F92A84" w:rsidRPr="00957C7F" w:rsidRDefault="00F92A84" w:rsidP="00121658">
      <w:pPr>
        <w:pStyle w:val="Tablenote"/>
        <w:spacing w:after="0"/>
        <w:rPr>
          <w:rFonts w:ascii="Arial" w:hAnsi="Arial" w:cs="Arial"/>
          <w:noProof/>
        </w:rPr>
      </w:pPr>
      <w:r w:rsidRPr="00957C7F">
        <w:rPr>
          <w:rFonts w:ascii="Arial" w:hAnsi="Arial" w:cs="Arial"/>
          <w:noProof/>
        </w:rPr>
        <w:t>APAH = associated pulmonary arterial hypertension; BNP = brain natriuretic peptide; BPM = beats per minute; CTD = connective tissue disease; DLco = diffusing capacity of lung for carbon monoxide; FPAH = familial pulmonary arterial hypertension; HR = heart rate; mRAP = mean right atrial pressure; NYHA = New York Heart Association; PAH = pulmonary arterial hypertension; PoPH = portopulmonary hypertension; PVR = pulmonary vascular resistance; REVEAL Registry = Registry to Evaluate Early and Long-term Pulmonary Arterial Hypertension Disease Management; SBP = systolic BP; WHO = World Health Organization.</w:t>
      </w:r>
    </w:p>
    <w:p w14:paraId="719F81ED" w14:textId="77777777" w:rsidR="00054996" w:rsidRPr="00957C7F" w:rsidRDefault="00054996" w:rsidP="00121658">
      <w:pPr>
        <w:pStyle w:val="Tablenote"/>
        <w:spacing w:after="0"/>
        <w:rPr>
          <w:rFonts w:ascii="Arial" w:hAnsi="Arial" w:cs="Arial"/>
        </w:rPr>
      </w:pPr>
      <w:r w:rsidRPr="00957C7F">
        <w:rPr>
          <w:rFonts w:ascii="Arial" w:hAnsi="Arial" w:cs="Arial"/>
        </w:rPr>
        <w:t xml:space="preserve">Source: </w:t>
      </w:r>
      <w:proofErr w:type="spellStart"/>
      <w:r w:rsidRPr="00957C7F">
        <w:rPr>
          <w:rFonts w:ascii="Arial" w:hAnsi="Arial" w:cs="Arial"/>
        </w:rPr>
        <w:t>Benza</w:t>
      </w:r>
      <w:proofErr w:type="spellEnd"/>
      <w:r w:rsidRPr="00957C7F">
        <w:rPr>
          <w:rFonts w:ascii="Arial" w:hAnsi="Arial" w:cs="Arial"/>
        </w:rPr>
        <w:t xml:space="preserve"> </w:t>
      </w:r>
      <w:r w:rsidRPr="00957C7F">
        <w:rPr>
          <w:rFonts w:ascii="Arial" w:hAnsi="Arial" w:cs="Arial"/>
          <w:i/>
        </w:rPr>
        <w:t xml:space="preserve">et al </w:t>
      </w:r>
      <w:r w:rsidRPr="00957C7F">
        <w:rPr>
          <w:rFonts w:ascii="Arial" w:hAnsi="Arial" w:cs="Arial"/>
        </w:rPr>
        <w:t>2012</w:t>
      </w:r>
      <w:r w:rsidR="009C556B" w:rsidRPr="009C556B">
        <w:rPr>
          <w:rFonts w:ascii="Arial" w:hAnsi="Arial" w:cs="Arial"/>
          <w:noProof/>
          <w:vertAlign w:val="superscript"/>
        </w:rPr>
        <w:t>33</w:t>
      </w:r>
    </w:p>
    <w:p w14:paraId="0F486054" w14:textId="77777777" w:rsidR="00054996" w:rsidRPr="00BB3BA9" w:rsidRDefault="00054996" w:rsidP="00121658">
      <w:pPr>
        <w:pStyle w:val="Heading4"/>
        <w:jc w:val="left"/>
        <w:rPr>
          <w:rFonts w:eastAsiaTheme="minorEastAsia"/>
        </w:rPr>
      </w:pPr>
      <w:r>
        <w:rPr>
          <w:rFonts w:eastAsiaTheme="minorEastAsia"/>
        </w:rPr>
        <w:br w:type="page"/>
      </w:r>
      <w:bookmarkStart w:id="181" w:name="_Toc503800640"/>
      <w:bookmarkStart w:id="182" w:name="_Toc503811592"/>
      <w:bookmarkStart w:id="183" w:name="_Toc503800641"/>
      <w:bookmarkStart w:id="184" w:name="_Toc503811593"/>
      <w:r>
        <w:rPr>
          <w:rFonts w:eastAsiaTheme="minorEastAsia"/>
        </w:rPr>
        <w:lastRenderedPageBreak/>
        <w:t>Definition of response and monitoring</w:t>
      </w:r>
      <w:bookmarkEnd w:id="181"/>
      <w:bookmarkEnd w:id="182"/>
    </w:p>
    <w:p w14:paraId="66A43A79" w14:textId="77777777" w:rsidR="00054996" w:rsidRPr="00AE134B" w:rsidRDefault="00054996" w:rsidP="00957C7F">
      <w:pPr>
        <w:pStyle w:val="BodyTextnospacebefore"/>
      </w:pPr>
      <w:r w:rsidRPr="00AE134B">
        <w:t xml:space="preserve">The </w:t>
      </w:r>
      <w:r w:rsidR="008F6AA4">
        <w:t>2015 ESC/ERS Guidelines</w:t>
      </w:r>
      <w:r w:rsidRPr="00AE134B">
        <w:t xml:space="preserve"> </w:t>
      </w:r>
      <w:r w:rsidR="00A10002">
        <w:t>contains the key recommendations regarding type of</w:t>
      </w:r>
      <w:r w:rsidRPr="00AE134B">
        <w:t xml:space="preserve"> tests and </w:t>
      </w:r>
      <w:r w:rsidRPr="00631656">
        <w:t xml:space="preserve">frequency of monitoring </w:t>
      </w:r>
      <w:r w:rsidR="00CE16FA">
        <w:t>(Table 1.10 and Table 1.13)</w:t>
      </w:r>
      <w:r w:rsidR="00FB1802" w:rsidRPr="00631656">
        <w:t xml:space="preserve"> – these</w:t>
      </w:r>
      <w:r w:rsidR="00670DB9">
        <w:t xml:space="preserve"> </w:t>
      </w:r>
      <w:proofErr w:type="gramStart"/>
      <w:r w:rsidR="00670DB9">
        <w:t>are based</w:t>
      </w:r>
      <w:proofErr w:type="gramEnd"/>
      <w:r w:rsidR="00670DB9">
        <w:t xml:space="preserve"> on those</w:t>
      </w:r>
      <w:r w:rsidR="00FB1802" w:rsidRPr="00631656">
        <w:t xml:space="preserve"> for determining</w:t>
      </w:r>
      <w:r w:rsidR="00FB1802">
        <w:t xml:space="preserve"> patient risk factors and for setting therapeutic goals</w:t>
      </w:r>
      <w:r w:rsidR="00EE1F96">
        <w:t>.</w:t>
      </w:r>
    </w:p>
    <w:p w14:paraId="45642A7E" w14:textId="77777777" w:rsidR="00054996" w:rsidRPr="007B0F54" w:rsidRDefault="00DE6308" w:rsidP="00F75B8B">
      <w:pPr>
        <w:pStyle w:val="Caption"/>
      </w:pPr>
      <w:bookmarkStart w:id="185" w:name="_Ref510795448"/>
      <w:bookmarkStart w:id="186" w:name="_Toc29377259"/>
      <w:r>
        <w:t>Table 1.</w:t>
      </w:r>
      <w:r w:rsidR="00505D99">
        <w:rPr>
          <w:noProof/>
        </w:rPr>
        <w:t>13</w:t>
      </w:r>
      <w:bookmarkEnd w:id="185"/>
      <w:r w:rsidR="00F75B8B">
        <w:tab/>
      </w:r>
      <w:r w:rsidR="00F75B8B" w:rsidRPr="007B0F54">
        <w:t>ESC/ERS suggested assessments and timing for follow-up</w:t>
      </w:r>
      <w:bookmarkEnd w:id="186"/>
    </w:p>
    <w:tbl>
      <w:tblPr>
        <w:tblStyle w:val="TableGrid"/>
        <w:tblW w:w="0" w:type="auto"/>
        <w:tblLook w:val="04A0" w:firstRow="1" w:lastRow="0" w:firstColumn="1" w:lastColumn="0" w:noHBand="0" w:noVBand="1"/>
        <w:tblCaption w:val="ESC/ERS suggested assessments and timing for follow-up"/>
      </w:tblPr>
      <w:tblGrid>
        <w:gridCol w:w="2557"/>
        <w:gridCol w:w="1124"/>
        <w:gridCol w:w="1286"/>
        <w:gridCol w:w="1275"/>
        <w:gridCol w:w="1418"/>
        <w:gridCol w:w="1356"/>
      </w:tblGrid>
      <w:tr w:rsidR="00054996" w:rsidRPr="001B2E37" w14:paraId="71CC812A" w14:textId="77777777" w:rsidTr="003A5843">
        <w:trPr>
          <w:cnfStyle w:val="100000000000" w:firstRow="1" w:lastRow="0" w:firstColumn="0" w:lastColumn="0" w:oddVBand="0" w:evenVBand="0" w:oddHBand="0" w:evenHBand="0" w:firstRowFirstColumn="0" w:firstRowLastColumn="0" w:lastRowFirstColumn="0" w:lastRowLastColumn="0"/>
        </w:trPr>
        <w:tc>
          <w:tcPr>
            <w:tcW w:w="2557" w:type="dxa"/>
            <w:shd w:val="clear" w:color="auto" w:fill="BFBFBF" w:themeFill="background1" w:themeFillShade="BF"/>
          </w:tcPr>
          <w:p w14:paraId="2EBF0B40" w14:textId="77777777" w:rsidR="00054996" w:rsidRPr="003A5843" w:rsidRDefault="00054996" w:rsidP="003A5843">
            <w:pPr>
              <w:pStyle w:val="TableText"/>
              <w:ind w:left="147"/>
              <w:rPr>
                <w:rFonts w:ascii="Arial" w:hAnsi="Arial"/>
                <w:b/>
                <w:szCs w:val="20"/>
              </w:rPr>
            </w:pPr>
            <w:r w:rsidRPr="003A5843">
              <w:rPr>
                <w:rFonts w:ascii="Arial" w:hAnsi="Arial"/>
                <w:b/>
                <w:szCs w:val="20"/>
              </w:rPr>
              <w:t>Parameters</w:t>
            </w:r>
          </w:p>
        </w:tc>
        <w:tc>
          <w:tcPr>
            <w:tcW w:w="1124" w:type="dxa"/>
            <w:shd w:val="clear" w:color="auto" w:fill="BFBFBF" w:themeFill="background1" w:themeFillShade="BF"/>
          </w:tcPr>
          <w:p w14:paraId="721F6A2B" w14:textId="77777777" w:rsidR="00054996" w:rsidRPr="003A5843" w:rsidRDefault="00054996" w:rsidP="003A5843">
            <w:pPr>
              <w:pStyle w:val="TableText"/>
              <w:ind w:left="142"/>
              <w:rPr>
                <w:rFonts w:ascii="Arial" w:hAnsi="Arial"/>
                <w:b/>
                <w:szCs w:val="20"/>
              </w:rPr>
            </w:pPr>
            <w:r w:rsidRPr="003A5843">
              <w:rPr>
                <w:rFonts w:ascii="Arial" w:hAnsi="Arial"/>
                <w:b/>
                <w:szCs w:val="20"/>
              </w:rPr>
              <w:t>Baseline</w:t>
            </w:r>
          </w:p>
        </w:tc>
        <w:tc>
          <w:tcPr>
            <w:tcW w:w="1286" w:type="dxa"/>
            <w:shd w:val="clear" w:color="auto" w:fill="BFBFBF" w:themeFill="background1" w:themeFillShade="BF"/>
          </w:tcPr>
          <w:p w14:paraId="3A38DE3F" w14:textId="77777777" w:rsidR="003A5843" w:rsidRDefault="00054996" w:rsidP="003A5843">
            <w:pPr>
              <w:pStyle w:val="TableText"/>
              <w:ind w:left="152"/>
              <w:rPr>
                <w:rFonts w:ascii="Arial" w:hAnsi="Arial"/>
                <w:b/>
                <w:szCs w:val="20"/>
              </w:rPr>
            </w:pPr>
            <w:r w:rsidRPr="003A5843">
              <w:rPr>
                <w:rFonts w:ascii="Arial" w:hAnsi="Arial"/>
                <w:b/>
                <w:szCs w:val="20"/>
              </w:rPr>
              <w:t xml:space="preserve">Every </w:t>
            </w:r>
          </w:p>
          <w:p w14:paraId="32B2DCA5" w14:textId="77777777" w:rsidR="00054996" w:rsidRPr="003A5843" w:rsidRDefault="00054996" w:rsidP="003A5843">
            <w:pPr>
              <w:pStyle w:val="TableText"/>
              <w:ind w:left="152"/>
              <w:rPr>
                <w:rFonts w:ascii="Arial" w:hAnsi="Arial"/>
                <w:b/>
                <w:szCs w:val="20"/>
              </w:rPr>
            </w:pPr>
            <w:r w:rsidRPr="003A5843">
              <w:rPr>
                <w:rFonts w:ascii="Arial" w:hAnsi="Arial"/>
                <w:b/>
                <w:szCs w:val="20"/>
              </w:rPr>
              <w:t>3-6 mo</w:t>
            </w:r>
            <w:r w:rsidR="003A5843">
              <w:rPr>
                <w:rFonts w:ascii="Arial" w:hAnsi="Arial"/>
                <w:b/>
                <w:szCs w:val="20"/>
              </w:rPr>
              <w:t>nth</w:t>
            </w:r>
          </w:p>
        </w:tc>
        <w:tc>
          <w:tcPr>
            <w:tcW w:w="1275" w:type="dxa"/>
            <w:shd w:val="clear" w:color="auto" w:fill="BFBFBF" w:themeFill="background1" w:themeFillShade="BF"/>
          </w:tcPr>
          <w:p w14:paraId="12C783E8" w14:textId="77777777" w:rsidR="003A5843" w:rsidRDefault="00054996" w:rsidP="003A5843">
            <w:pPr>
              <w:pStyle w:val="TableText"/>
              <w:ind w:left="94"/>
              <w:rPr>
                <w:rFonts w:ascii="Arial" w:hAnsi="Arial"/>
                <w:b/>
                <w:szCs w:val="20"/>
              </w:rPr>
            </w:pPr>
            <w:r w:rsidRPr="003A5843">
              <w:rPr>
                <w:rFonts w:ascii="Arial" w:hAnsi="Arial"/>
                <w:b/>
                <w:szCs w:val="20"/>
              </w:rPr>
              <w:t xml:space="preserve">Every </w:t>
            </w:r>
          </w:p>
          <w:p w14:paraId="0B1C0638" w14:textId="77777777" w:rsidR="00054996" w:rsidRPr="003A5843" w:rsidRDefault="00054996" w:rsidP="003A5843">
            <w:pPr>
              <w:pStyle w:val="TableText"/>
              <w:ind w:left="94"/>
              <w:rPr>
                <w:rFonts w:ascii="Arial" w:hAnsi="Arial"/>
                <w:b/>
                <w:szCs w:val="20"/>
              </w:rPr>
            </w:pPr>
            <w:r w:rsidRPr="003A5843">
              <w:rPr>
                <w:rFonts w:ascii="Arial" w:hAnsi="Arial"/>
                <w:b/>
                <w:szCs w:val="20"/>
              </w:rPr>
              <w:t>6-12 mo</w:t>
            </w:r>
            <w:r w:rsidR="003A5843">
              <w:rPr>
                <w:rFonts w:ascii="Arial" w:hAnsi="Arial"/>
                <w:b/>
                <w:szCs w:val="20"/>
              </w:rPr>
              <w:t>nth</w:t>
            </w:r>
          </w:p>
        </w:tc>
        <w:tc>
          <w:tcPr>
            <w:tcW w:w="1418" w:type="dxa"/>
            <w:shd w:val="clear" w:color="auto" w:fill="BFBFBF" w:themeFill="background1" w:themeFillShade="BF"/>
          </w:tcPr>
          <w:p w14:paraId="4D2748E4" w14:textId="77777777" w:rsidR="003A5843" w:rsidRDefault="00054996" w:rsidP="003A5843">
            <w:pPr>
              <w:pStyle w:val="TableText"/>
              <w:ind w:left="36"/>
              <w:rPr>
                <w:rFonts w:ascii="Arial" w:hAnsi="Arial"/>
                <w:b/>
                <w:szCs w:val="20"/>
              </w:rPr>
            </w:pPr>
            <w:r w:rsidRPr="003A5843">
              <w:rPr>
                <w:rFonts w:ascii="Arial" w:hAnsi="Arial"/>
                <w:b/>
                <w:szCs w:val="20"/>
              </w:rPr>
              <w:t>3-6 mo</w:t>
            </w:r>
            <w:r w:rsidR="003A5843">
              <w:rPr>
                <w:rFonts w:ascii="Arial" w:hAnsi="Arial"/>
                <w:b/>
                <w:szCs w:val="20"/>
              </w:rPr>
              <w:t>nth</w:t>
            </w:r>
            <w:r w:rsidRPr="003A5843">
              <w:rPr>
                <w:rFonts w:ascii="Arial" w:hAnsi="Arial"/>
                <w:b/>
                <w:szCs w:val="20"/>
              </w:rPr>
              <w:t xml:space="preserve"> </w:t>
            </w:r>
          </w:p>
          <w:p w14:paraId="772435A8" w14:textId="77777777" w:rsidR="00054996" w:rsidRPr="003A5843" w:rsidRDefault="00054996" w:rsidP="003A5843">
            <w:pPr>
              <w:pStyle w:val="TableText"/>
              <w:ind w:left="36"/>
              <w:rPr>
                <w:rFonts w:ascii="Arial" w:hAnsi="Arial"/>
                <w:b/>
                <w:szCs w:val="20"/>
              </w:rPr>
            </w:pPr>
            <w:r w:rsidRPr="003A5843">
              <w:rPr>
                <w:rFonts w:ascii="Arial" w:hAnsi="Arial"/>
                <w:b/>
                <w:szCs w:val="20"/>
              </w:rPr>
              <w:t>after therapy change</w:t>
            </w:r>
          </w:p>
        </w:tc>
        <w:tc>
          <w:tcPr>
            <w:tcW w:w="1356" w:type="dxa"/>
            <w:shd w:val="clear" w:color="auto" w:fill="BFBFBF" w:themeFill="background1" w:themeFillShade="BF"/>
          </w:tcPr>
          <w:p w14:paraId="432B5E46" w14:textId="77777777" w:rsidR="00054996" w:rsidRPr="003A5843" w:rsidRDefault="00054996" w:rsidP="003A5843">
            <w:pPr>
              <w:pStyle w:val="TableText"/>
              <w:ind w:left="142" w:firstLine="9"/>
              <w:rPr>
                <w:rFonts w:ascii="Arial" w:hAnsi="Arial"/>
                <w:b/>
                <w:szCs w:val="20"/>
              </w:rPr>
            </w:pPr>
            <w:r w:rsidRPr="003A5843">
              <w:rPr>
                <w:rFonts w:ascii="Arial" w:hAnsi="Arial"/>
                <w:b/>
                <w:szCs w:val="20"/>
              </w:rPr>
              <w:t>On clinical worsening</w:t>
            </w:r>
          </w:p>
        </w:tc>
      </w:tr>
      <w:tr w:rsidR="00054996" w:rsidRPr="001B2E37" w14:paraId="3820CEC6" w14:textId="77777777" w:rsidTr="003A5843">
        <w:tc>
          <w:tcPr>
            <w:tcW w:w="2557" w:type="dxa"/>
          </w:tcPr>
          <w:p w14:paraId="4D840B03" w14:textId="77777777" w:rsidR="00054996" w:rsidRPr="003A5843" w:rsidRDefault="00054996" w:rsidP="003A5843">
            <w:pPr>
              <w:pStyle w:val="TableText"/>
              <w:spacing w:beforeLines="40" w:before="96" w:afterLines="40" w:after="96"/>
              <w:ind w:left="147"/>
              <w:rPr>
                <w:rFonts w:ascii="Arial" w:hAnsi="Arial"/>
                <w:szCs w:val="20"/>
              </w:rPr>
            </w:pPr>
            <w:r w:rsidRPr="003A5843">
              <w:rPr>
                <w:rFonts w:ascii="Arial" w:hAnsi="Arial"/>
                <w:szCs w:val="20"/>
              </w:rPr>
              <w:t>Medical assessment; determination of Functional class</w:t>
            </w:r>
          </w:p>
        </w:tc>
        <w:tc>
          <w:tcPr>
            <w:tcW w:w="1124" w:type="dxa"/>
          </w:tcPr>
          <w:p w14:paraId="5DA75B83"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86" w:type="dxa"/>
          </w:tcPr>
          <w:p w14:paraId="786EA03B"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75" w:type="dxa"/>
          </w:tcPr>
          <w:p w14:paraId="4705EA00"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418" w:type="dxa"/>
          </w:tcPr>
          <w:p w14:paraId="48EED180"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356" w:type="dxa"/>
          </w:tcPr>
          <w:p w14:paraId="0CE7EAA1"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r>
      <w:tr w:rsidR="00054996" w:rsidRPr="001B2E37" w14:paraId="7B481B1F" w14:textId="77777777" w:rsidTr="003A5843">
        <w:tc>
          <w:tcPr>
            <w:tcW w:w="2557" w:type="dxa"/>
          </w:tcPr>
          <w:p w14:paraId="5DA942D1" w14:textId="77777777" w:rsidR="00054996" w:rsidRPr="003A5843" w:rsidRDefault="00054996" w:rsidP="003A5843">
            <w:pPr>
              <w:pStyle w:val="TableText"/>
              <w:spacing w:beforeLines="40" w:before="96" w:afterLines="40" w:after="96"/>
              <w:ind w:left="147"/>
              <w:rPr>
                <w:rFonts w:ascii="Arial" w:hAnsi="Arial"/>
                <w:szCs w:val="20"/>
              </w:rPr>
            </w:pPr>
            <w:r w:rsidRPr="003A5843">
              <w:rPr>
                <w:rFonts w:ascii="Arial" w:hAnsi="Arial"/>
                <w:szCs w:val="20"/>
              </w:rPr>
              <w:t>ECG</w:t>
            </w:r>
          </w:p>
        </w:tc>
        <w:tc>
          <w:tcPr>
            <w:tcW w:w="1124" w:type="dxa"/>
          </w:tcPr>
          <w:p w14:paraId="4175314E"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86" w:type="dxa"/>
          </w:tcPr>
          <w:p w14:paraId="47F14DF5"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75" w:type="dxa"/>
          </w:tcPr>
          <w:p w14:paraId="0F489AEE"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418" w:type="dxa"/>
          </w:tcPr>
          <w:p w14:paraId="6F6C57A7"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356" w:type="dxa"/>
          </w:tcPr>
          <w:p w14:paraId="2A6B8E8A"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r>
      <w:tr w:rsidR="00054996" w:rsidRPr="001B2E37" w14:paraId="5F8D38A5" w14:textId="77777777" w:rsidTr="003A5843">
        <w:tc>
          <w:tcPr>
            <w:tcW w:w="2557" w:type="dxa"/>
          </w:tcPr>
          <w:p w14:paraId="1845700C" w14:textId="77777777" w:rsidR="00054996" w:rsidRPr="003A5843" w:rsidRDefault="00054996" w:rsidP="003A5843">
            <w:pPr>
              <w:pStyle w:val="TableText"/>
              <w:spacing w:beforeLines="40" w:before="96" w:afterLines="40" w:after="96"/>
              <w:ind w:left="147"/>
              <w:rPr>
                <w:rFonts w:ascii="Arial" w:hAnsi="Arial"/>
                <w:szCs w:val="20"/>
              </w:rPr>
            </w:pPr>
            <w:r w:rsidRPr="003A5843">
              <w:rPr>
                <w:rFonts w:ascii="Arial" w:hAnsi="Arial"/>
                <w:szCs w:val="20"/>
              </w:rPr>
              <w:t>6MWD + Borg Dyspnoea</w:t>
            </w:r>
          </w:p>
        </w:tc>
        <w:tc>
          <w:tcPr>
            <w:tcW w:w="1124" w:type="dxa"/>
          </w:tcPr>
          <w:p w14:paraId="3AE83288"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86" w:type="dxa"/>
          </w:tcPr>
          <w:p w14:paraId="78E771C1"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75" w:type="dxa"/>
          </w:tcPr>
          <w:p w14:paraId="6203FDF6"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418" w:type="dxa"/>
          </w:tcPr>
          <w:p w14:paraId="4E32A227"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356" w:type="dxa"/>
          </w:tcPr>
          <w:p w14:paraId="07839F91"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r>
      <w:tr w:rsidR="00054996" w:rsidRPr="001B2E37" w14:paraId="674FCAEA" w14:textId="77777777" w:rsidTr="003A5843">
        <w:tc>
          <w:tcPr>
            <w:tcW w:w="2557" w:type="dxa"/>
          </w:tcPr>
          <w:p w14:paraId="47C2E9E8" w14:textId="77777777" w:rsidR="00054996" w:rsidRPr="003A5843" w:rsidRDefault="00054996" w:rsidP="003A5843">
            <w:pPr>
              <w:pStyle w:val="TableText"/>
              <w:spacing w:beforeLines="40" w:before="96" w:afterLines="40" w:after="96"/>
              <w:ind w:left="147"/>
              <w:rPr>
                <w:rFonts w:ascii="Arial" w:hAnsi="Arial"/>
                <w:szCs w:val="20"/>
              </w:rPr>
            </w:pPr>
            <w:r w:rsidRPr="003A5843">
              <w:rPr>
                <w:rFonts w:ascii="Arial" w:hAnsi="Arial"/>
                <w:szCs w:val="20"/>
              </w:rPr>
              <w:t>CPET</w:t>
            </w:r>
          </w:p>
        </w:tc>
        <w:tc>
          <w:tcPr>
            <w:tcW w:w="1124" w:type="dxa"/>
          </w:tcPr>
          <w:p w14:paraId="1B944C90"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86" w:type="dxa"/>
          </w:tcPr>
          <w:p w14:paraId="2349FDA4"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75" w:type="dxa"/>
          </w:tcPr>
          <w:p w14:paraId="6894416F"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418" w:type="dxa"/>
          </w:tcPr>
          <w:p w14:paraId="1A9F3CC2"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356" w:type="dxa"/>
          </w:tcPr>
          <w:p w14:paraId="69EA947F"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r>
      <w:tr w:rsidR="00054996" w:rsidRPr="001B2E37" w14:paraId="65B25664" w14:textId="77777777" w:rsidTr="003A5843">
        <w:tc>
          <w:tcPr>
            <w:tcW w:w="2557" w:type="dxa"/>
          </w:tcPr>
          <w:p w14:paraId="7B2859BB" w14:textId="77777777" w:rsidR="00054996" w:rsidRPr="003A5843" w:rsidRDefault="00054996" w:rsidP="003A5843">
            <w:pPr>
              <w:pStyle w:val="TableText"/>
              <w:spacing w:beforeLines="40" w:before="96" w:afterLines="40" w:after="96"/>
              <w:ind w:left="147"/>
              <w:rPr>
                <w:rFonts w:ascii="Arial" w:hAnsi="Arial"/>
                <w:szCs w:val="20"/>
              </w:rPr>
            </w:pPr>
            <w:r w:rsidRPr="003A5843">
              <w:rPr>
                <w:rFonts w:ascii="Arial" w:hAnsi="Arial"/>
                <w:szCs w:val="20"/>
              </w:rPr>
              <w:t>ECHO</w:t>
            </w:r>
          </w:p>
        </w:tc>
        <w:tc>
          <w:tcPr>
            <w:tcW w:w="1124" w:type="dxa"/>
          </w:tcPr>
          <w:p w14:paraId="56075C42"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86" w:type="dxa"/>
          </w:tcPr>
          <w:p w14:paraId="736B3D98"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75" w:type="dxa"/>
          </w:tcPr>
          <w:p w14:paraId="7426E674"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418" w:type="dxa"/>
          </w:tcPr>
          <w:p w14:paraId="1363E242"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356" w:type="dxa"/>
          </w:tcPr>
          <w:p w14:paraId="79EBCA07"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r>
      <w:tr w:rsidR="00054996" w:rsidRPr="001B2E37" w14:paraId="63832C86" w14:textId="77777777" w:rsidTr="003A5843">
        <w:tc>
          <w:tcPr>
            <w:tcW w:w="2557" w:type="dxa"/>
          </w:tcPr>
          <w:p w14:paraId="05A9313E" w14:textId="77777777" w:rsidR="00054996" w:rsidRPr="003A5843" w:rsidRDefault="00054996" w:rsidP="003A5843">
            <w:pPr>
              <w:pStyle w:val="TableText"/>
              <w:spacing w:beforeLines="40" w:before="96" w:afterLines="40" w:after="96"/>
              <w:ind w:left="147"/>
              <w:rPr>
                <w:rFonts w:ascii="Arial" w:hAnsi="Arial"/>
                <w:szCs w:val="20"/>
              </w:rPr>
            </w:pPr>
            <w:r w:rsidRPr="003A5843">
              <w:rPr>
                <w:rFonts w:ascii="Arial" w:hAnsi="Arial"/>
                <w:szCs w:val="20"/>
              </w:rPr>
              <w:t>Basic lab</w:t>
            </w:r>
          </w:p>
        </w:tc>
        <w:tc>
          <w:tcPr>
            <w:tcW w:w="1124" w:type="dxa"/>
          </w:tcPr>
          <w:p w14:paraId="46D2D51D"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86" w:type="dxa"/>
          </w:tcPr>
          <w:p w14:paraId="21469F37"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75" w:type="dxa"/>
          </w:tcPr>
          <w:p w14:paraId="2D56C71D"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418" w:type="dxa"/>
          </w:tcPr>
          <w:p w14:paraId="75217DF8"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356" w:type="dxa"/>
          </w:tcPr>
          <w:p w14:paraId="20EA9C84"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r>
      <w:tr w:rsidR="00054996" w:rsidRPr="001B2E37" w14:paraId="42074A33" w14:textId="77777777" w:rsidTr="003A5843">
        <w:tc>
          <w:tcPr>
            <w:tcW w:w="2557" w:type="dxa"/>
          </w:tcPr>
          <w:p w14:paraId="3A4FEFD7" w14:textId="77777777" w:rsidR="00054996" w:rsidRPr="003A5843" w:rsidRDefault="00054996" w:rsidP="003A5843">
            <w:pPr>
              <w:pStyle w:val="TableText"/>
              <w:spacing w:beforeLines="40" w:before="96" w:afterLines="40" w:after="96"/>
              <w:ind w:left="147"/>
              <w:rPr>
                <w:rFonts w:ascii="Arial" w:hAnsi="Arial"/>
                <w:szCs w:val="20"/>
              </w:rPr>
            </w:pPr>
            <w:r w:rsidRPr="003A5843">
              <w:rPr>
                <w:rFonts w:ascii="Arial" w:hAnsi="Arial"/>
                <w:szCs w:val="20"/>
              </w:rPr>
              <w:t>Extended lab</w:t>
            </w:r>
          </w:p>
        </w:tc>
        <w:tc>
          <w:tcPr>
            <w:tcW w:w="1124" w:type="dxa"/>
          </w:tcPr>
          <w:p w14:paraId="27B0D8CF"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86" w:type="dxa"/>
          </w:tcPr>
          <w:p w14:paraId="467A3E89"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75" w:type="dxa"/>
          </w:tcPr>
          <w:p w14:paraId="5ABDF698"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418" w:type="dxa"/>
          </w:tcPr>
          <w:p w14:paraId="44AA037B"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356" w:type="dxa"/>
          </w:tcPr>
          <w:p w14:paraId="49544C7E"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r>
      <w:tr w:rsidR="00054996" w:rsidRPr="001B2E37" w14:paraId="036A3742" w14:textId="77777777" w:rsidTr="003A5843">
        <w:tc>
          <w:tcPr>
            <w:tcW w:w="2557" w:type="dxa"/>
          </w:tcPr>
          <w:p w14:paraId="2CB66ADC" w14:textId="77777777" w:rsidR="00054996" w:rsidRPr="003A5843" w:rsidRDefault="00054996" w:rsidP="003A5843">
            <w:pPr>
              <w:pStyle w:val="TableText"/>
              <w:spacing w:beforeLines="40" w:before="96" w:afterLines="40" w:after="96"/>
              <w:ind w:left="147"/>
              <w:rPr>
                <w:rFonts w:ascii="Arial" w:hAnsi="Arial"/>
                <w:szCs w:val="20"/>
              </w:rPr>
            </w:pPr>
            <w:r w:rsidRPr="003A5843">
              <w:rPr>
                <w:rFonts w:ascii="Arial" w:hAnsi="Arial"/>
                <w:szCs w:val="20"/>
              </w:rPr>
              <w:t>Arterial blood gas</w:t>
            </w:r>
          </w:p>
        </w:tc>
        <w:tc>
          <w:tcPr>
            <w:tcW w:w="1124" w:type="dxa"/>
          </w:tcPr>
          <w:p w14:paraId="6D2E35B6"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86" w:type="dxa"/>
          </w:tcPr>
          <w:p w14:paraId="20CF8560"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75" w:type="dxa"/>
          </w:tcPr>
          <w:p w14:paraId="543C69E6"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418" w:type="dxa"/>
          </w:tcPr>
          <w:p w14:paraId="2CB774F9"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356" w:type="dxa"/>
          </w:tcPr>
          <w:p w14:paraId="150F34D3"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r>
      <w:tr w:rsidR="00054996" w:rsidRPr="001B2E37" w14:paraId="2B17FEFB" w14:textId="77777777" w:rsidTr="003A5843">
        <w:tc>
          <w:tcPr>
            <w:tcW w:w="2557" w:type="dxa"/>
          </w:tcPr>
          <w:p w14:paraId="1CD67FB9" w14:textId="77777777" w:rsidR="00054996" w:rsidRPr="003A5843" w:rsidRDefault="00054996" w:rsidP="003A5843">
            <w:pPr>
              <w:pStyle w:val="TableText"/>
              <w:spacing w:beforeLines="40" w:before="96" w:afterLines="40" w:after="96"/>
              <w:ind w:left="147"/>
              <w:rPr>
                <w:rFonts w:ascii="Arial" w:hAnsi="Arial"/>
                <w:szCs w:val="20"/>
              </w:rPr>
            </w:pPr>
            <w:r w:rsidRPr="003A5843">
              <w:rPr>
                <w:rFonts w:ascii="Arial" w:hAnsi="Arial"/>
                <w:szCs w:val="20"/>
              </w:rPr>
              <w:t>RHC</w:t>
            </w:r>
          </w:p>
        </w:tc>
        <w:tc>
          <w:tcPr>
            <w:tcW w:w="1124" w:type="dxa"/>
          </w:tcPr>
          <w:p w14:paraId="6BEE9E24"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86" w:type="dxa"/>
          </w:tcPr>
          <w:p w14:paraId="3C35C549"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275" w:type="dxa"/>
          </w:tcPr>
          <w:p w14:paraId="75DE653F"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418" w:type="dxa"/>
          </w:tcPr>
          <w:p w14:paraId="6FDF1905"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c>
          <w:tcPr>
            <w:tcW w:w="1356" w:type="dxa"/>
          </w:tcPr>
          <w:p w14:paraId="5CCFCDD3" w14:textId="77777777" w:rsidR="00054996" w:rsidRPr="003A5843" w:rsidRDefault="00054996" w:rsidP="003A5843">
            <w:pPr>
              <w:pStyle w:val="TableText"/>
              <w:spacing w:beforeLines="40" w:before="96" w:afterLines="40" w:after="96"/>
              <w:jc w:val="center"/>
              <w:rPr>
                <w:rFonts w:ascii="Arial" w:hAnsi="Arial"/>
                <w:b/>
                <w:szCs w:val="20"/>
              </w:rPr>
            </w:pPr>
            <w:r w:rsidRPr="003A5843">
              <w:rPr>
                <w:rFonts w:ascii="Arial" w:hAnsi="Arial"/>
                <w:b/>
                <w:szCs w:val="20"/>
              </w:rPr>
              <w:t>+*</w:t>
            </w:r>
          </w:p>
        </w:tc>
      </w:tr>
    </w:tbl>
    <w:p w14:paraId="529DA92A" w14:textId="77777777" w:rsidR="00054996" w:rsidRPr="003A5843" w:rsidRDefault="00054996" w:rsidP="00121658">
      <w:pPr>
        <w:pStyle w:val="Tablenote"/>
        <w:rPr>
          <w:rFonts w:ascii="Arial" w:hAnsi="Arial" w:cs="Arial"/>
          <w:sz w:val="16"/>
          <w:szCs w:val="16"/>
        </w:rPr>
      </w:pPr>
      <w:r w:rsidRPr="003A5843">
        <w:rPr>
          <w:rFonts w:ascii="Arial" w:hAnsi="Arial" w:cs="Arial"/>
          <w:sz w:val="16"/>
          <w:szCs w:val="16"/>
        </w:rPr>
        <w:t>Basic lab: includes blood count, INR (if on warfarin), serum creatinine, sodium, potassium, aminotransferases (if on ERAs), bilirubin and BNP/NT-</w:t>
      </w:r>
      <w:proofErr w:type="spellStart"/>
      <w:r w:rsidRPr="003A5843">
        <w:rPr>
          <w:rFonts w:ascii="Arial" w:hAnsi="Arial" w:cs="Arial"/>
          <w:sz w:val="16"/>
          <w:szCs w:val="16"/>
        </w:rPr>
        <w:t>proBNP</w:t>
      </w:r>
      <w:proofErr w:type="spellEnd"/>
      <w:r w:rsidRPr="003A5843">
        <w:rPr>
          <w:rFonts w:ascii="Arial" w:hAnsi="Arial" w:cs="Arial"/>
          <w:sz w:val="16"/>
          <w:szCs w:val="16"/>
        </w:rPr>
        <w:t>.</w:t>
      </w:r>
    </w:p>
    <w:p w14:paraId="056FA320" w14:textId="77777777" w:rsidR="00054996" w:rsidRPr="003A5843" w:rsidRDefault="00054996" w:rsidP="00121658">
      <w:pPr>
        <w:pStyle w:val="Tablenote"/>
        <w:rPr>
          <w:rFonts w:ascii="Arial" w:hAnsi="Arial" w:cs="Arial"/>
          <w:sz w:val="16"/>
          <w:szCs w:val="16"/>
        </w:rPr>
      </w:pPr>
      <w:r w:rsidRPr="003A5843">
        <w:rPr>
          <w:rFonts w:ascii="Arial" w:hAnsi="Arial" w:cs="Arial"/>
          <w:sz w:val="16"/>
          <w:szCs w:val="16"/>
        </w:rPr>
        <w:t>Extended lab: includes TSH (thyroid stimulating hormone), troponin, uric acid, iron status (iron, ferritin, soluble transferrin receptor) and other variables according to individual patient needs.</w:t>
      </w:r>
    </w:p>
    <w:p w14:paraId="26D1C790" w14:textId="77777777" w:rsidR="00054996" w:rsidRPr="003A5843" w:rsidRDefault="00054996" w:rsidP="00121658">
      <w:pPr>
        <w:pStyle w:val="Tablenote"/>
        <w:rPr>
          <w:rFonts w:ascii="Arial" w:hAnsi="Arial" w:cs="Arial"/>
          <w:sz w:val="16"/>
          <w:szCs w:val="16"/>
        </w:rPr>
      </w:pPr>
      <w:r w:rsidRPr="003A5843">
        <w:rPr>
          <w:rFonts w:ascii="Arial" w:hAnsi="Arial" w:cs="Arial"/>
          <w:sz w:val="16"/>
          <w:szCs w:val="16"/>
        </w:rPr>
        <w:t xml:space="preserve">Notes: the intermediate (3-6 </w:t>
      </w:r>
      <w:proofErr w:type="spellStart"/>
      <w:r w:rsidRPr="003A5843">
        <w:rPr>
          <w:rFonts w:ascii="Arial" w:hAnsi="Arial" w:cs="Arial"/>
          <w:sz w:val="16"/>
          <w:szCs w:val="16"/>
        </w:rPr>
        <w:t>mo</w:t>
      </w:r>
      <w:proofErr w:type="spellEnd"/>
      <w:r w:rsidRPr="003A5843">
        <w:rPr>
          <w:rFonts w:ascii="Arial" w:hAnsi="Arial" w:cs="Arial"/>
          <w:sz w:val="16"/>
          <w:szCs w:val="16"/>
        </w:rPr>
        <w:t xml:space="preserve">) interval to be adjusted according to patient need; RHC beyond baseline (*) to be considered but is recommended after therapy change; arterial blood gas can be replaced by oximetry/peripheral oxygen saturation in stable patients. </w:t>
      </w:r>
    </w:p>
    <w:p w14:paraId="58E196FC" w14:textId="77777777" w:rsidR="00054996" w:rsidRPr="003A5843" w:rsidRDefault="00054996" w:rsidP="00121658">
      <w:pPr>
        <w:pStyle w:val="Tablenote"/>
        <w:rPr>
          <w:rFonts w:ascii="Arial" w:hAnsi="Arial" w:cs="Arial"/>
          <w:sz w:val="16"/>
          <w:szCs w:val="16"/>
        </w:rPr>
      </w:pPr>
      <w:r w:rsidRPr="003A5843">
        <w:rPr>
          <w:rFonts w:ascii="Arial" w:hAnsi="Arial" w:cs="Arial"/>
          <w:sz w:val="16"/>
          <w:szCs w:val="16"/>
        </w:rPr>
        <w:t xml:space="preserve">Source: </w:t>
      </w:r>
      <w:proofErr w:type="spellStart"/>
      <w:r w:rsidRPr="003A5843">
        <w:rPr>
          <w:rFonts w:ascii="Arial" w:hAnsi="Arial" w:cs="Arial"/>
          <w:sz w:val="16"/>
          <w:szCs w:val="16"/>
        </w:rPr>
        <w:t>Galie</w:t>
      </w:r>
      <w:proofErr w:type="spellEnd"/>
      <w:r w:rsidRPr="003A5843">
        <w:rPr>
          <w:rFonts w:ascii="Arial" w:hAnsi="Arial" w:cs="Arial"/>
          <w:sz w:val="16"/>
          <w:szCs w:val="16"/>
        </w:rPr>
        <w:t xml:space="preserve"> </w:t>
      </w:r>
      <w:r w:rsidRPr="003A5843">
        <w:rPr>
          <w:rFonts w:ascii="Arial" w:hAnsi="Arial" w:cs="Arial"/>
          <w:i/>
          <w:sz w:val="16"/>
          <w:szCs w:val="16"/>
        </w:rPr>
        <w:t xml:space="preserve">et al </w:t>
      </w:r>
      <w:r w:rsidRPr="003A5843">
        <w:rPr>
          <w:rFonts w:ascii="Arial" w:hAnsi="Arial" w:cs="Arial"/>
          <w:sz w:val="16"/>
          <w:szCs w:val="16"/>
        </w:rPr>
        <w:t>2015</w:t>
      </w:r>
      <w:r w:rsidR="009C556B" w:rsidRPr="003A5843">
        <w:rPr>
          <w:rFonts w:ascii="Arial" w:hAnsi="Arial" w:cs="Arial"/>
          <w:noProof/>
          <w:sz w:val="16"/>
          <w:szCs w:val="16"/>
          <w:vertAlign w:val="superscript"/>
        </w:rPr>
        <w:t>8</w:t>
      </w:r>
    </w:p>
    <w:p w14:paraId="616A19D0" w14:textId="77777777" w:rsidR="00054996" w:rsidRPr="001B2E37" w:rsidRDefault="00054996" w:rsidP="003A5843">
      <w:pPr>
        <w:pStyle w:val="BodyTextnospacebefore"/>
      </w:pPr>
      <w:r w:rsidRPr="001B2E37">
        <w:t>The CADTH review</w:t>
      </w:r>
      <w:r w:rsidR="009C556B" w:rsidRPr="009C556B">
        <w:rPr>
          <w:noProof/>
          <w:vertAlign w:val="superscript"/>
        </w:rPr>
        <w:t>25</w:t>
      </w:r>
      <w:r w:rsidRPr="001B2E37">
        <w:t xml:space="preserve"> commented that </w:t>
      </w:r>
      <w:r w:rsidR="003B625D">
        <w:t xml:space="preserve">WHO FC improvement </w:t>
      </w:r>
      <w:proofErr w:type="gramStart"/>
      <w:r w:rsidR="003B625D">
        <w:t>may</w:t>
      </w:r>
      <w:proofErr w:type="gramEnd"/>
      <w:r w:rsidR="003B625D">
        <w:t xml:space="preserve"> be</w:t>
      </w:r>
      <w:r w:rsidRPr="001B2E37">
        <w:t xml:space="preserve"> a less reliable measure of response than clinical worsening, because WHO FC is a single outco</w:t>
      </w:r>
      <w:r w:rsidR="003B625D">
        <w:t>me whereas clinical worsening is</w:t>
      </w:r>
      <w:r w:rsidRPr="001B2E37">
        <w:t xml:space="preserve"> a composite of multiple factors</w:t>
      </w:r>
      <w:r>
        <w:t>.</w:t>
      </w:r>
      <w:r w:rsidRPr="001B2E37">
        <w:t xml:space="preserve"> The review also commented that there is no minimally </w:t>
      </w:r>
      <w:r w:rsidRPr="00524771">
        <w:t xml:space="preserve">clinically important difference that </w:t>
      </w:r>
      <w:proofErr w:type="gramStart"/>
      <w:r w:rsidRPr="00524771">
        <w:t>can be defined</w:t>
      </w:r>
      <w:proofErr w:type="gramEnd"/>
      <w:r w:rsidRPr="00524771">
        <w:t xml:space="preserve"> for clinical worsening. Clinical worsening </w:t>
      </w:r>
      <w:proofErr w:type="gramStart"/>
      <w:r w:rsidRPr="00524771">
        <w:t>is understood</w:t>
      </w:r>
      <w:proofErr w:type="gramEnd"/>
      <w:r w:rsidRPr="00524771">
        <w:t xml:space="preserve"> to be a judgement made by the treating physician, based on the change in monitoring parameters</w:t>
      </w:r>
      <w:r w:rsidR="002F0F70" w:rsidRPr="00524771">
        <w:t xml:space="preserve"> over two or more consecutive visits</w:t>
      </w:r>
      <w:r w:rsidRPr="00524771">
        <w:t>.</w:t>
      </w:r>
    </w:p>
    <w:bookmarkEnd w:id="183"/>
    <w:bookmarkEnd w:id="184"/>
    <w:p w14:paraId="3E6D195A" w14:textId="77777777" w:rsidR="00054996" w:rsidRPr="001B2E37" w:rsidRDefault="00054996" w:rsidP="003A5843">
      <w:pPr>
        <w:pStyle w:val="BodyTextnospacebefore"/>
      </w:pPr>
      <w:r w:rsidRPr="001B2E37">
        <w:t xml:space="preserve">Guidelines recommend that patients </w:t>
      </w:r>
      <w:proofErr w:type="gramStart"/>
      <w:r w:rsidRPr="001B2E37">
        <w:t>should be considered</w:t>
      </w:r>
      <w:proofErr w:type="gramEnd"/>
      <w:r w:rsidRPr="001B2E37">
        <w:t xml:space="preserve"> primarily according to progress against therapeutic goals and their risk of poor prognosis when making treatment decisions (an approach that uses WHO Functional Class as a component)</w:t>
      </w:r>
      <w:r>
        <w:t xml:space="preserve">. </w:t>
      </w:r>
      <w:r w:rsidRPr="001B2E37">
        <w:t xml:space="preserve">Treatment goals </w:t>
      </w:r>
      <w:proofErr w:type="gramStart"/>
      <w:r w:rsidRPr="001B2E37">
        <w:t>are defined</w:t>
      </w:r>
      <w:proofErr w:type="gramEnd"/>
      <w:r w:rsidRPr="001B2E37">
        <w:t xml:space="preserve"> as target improvements in specific variables to improve the patient’s prognosis or risk category. </w:t>
      </w:r>
      <w:r w:rsidR="00FB1802" w:rsidRPr="00F53D1B">
        <w:t xml:space="preserve">A patient already on PAH treatment could be low or intermediate risk, with stable disease but with unmet treatment goals. According to guideline </w:t>
      </w:r>
      <w:proofErr w:type="gramStart"/>
      <w:r w:rsidR="00FB1802" w:rsidRPr="00F53D1B">
        <w:t>recommendations</w:t>
      </w:r>
      <w:proofErr w:type="gramEnd"/>
      <w:r w:rsidR="00FB1802" w:rsidRPr="00F53D1B">
        <w:t xml:space="preserve"> this is sufficient evidence to add another PAH </w:t>
      </w:r>
      <w:r w:rsidR="00517C17">
        <w:t>medicine</w:t>
      </w:r>
      <w:r w:rsidR="00EE1F96">
        <w:t>.</w:t>
      </w:r>
    </w:p>
    <w:p w14:paraId="7A7274E6" w14:textId="77777777" w:rsidR="00364153" w:rsidRPr="00B92CC9" w:rsidRDefault="00364153" w:rsidP="00121658">
      <w:pPr>
        <w:pStyle w:val="Heading3"/>
        <w:jc w:val="left"/>
      </w:pPr>
      <w:bookmarkStart w:id="187" w:name="_Ref506182486"/>
      <w:bookmarkStart w:id="188" w:name="_Ref506480697"/>
      <w:bookmarkStart w:id="189" w:name="_Toc38377506"/>
      <w:bookmarkEnd w:id="171"/>
      <w:bookmarkEnd w:id="172"/>
      <w:bookmarkEnd w:id="173"/>
      <w:r>
        <w:lastRenderedPageBreak/>
        <w:t>PAH treatment centres</w:t>
      </w:r>
      <w:bookmarkEnd w:id="187"/>
      <w:bookmarkEnd w:id="188"/>
      <w:bookmarkEnd w:id="189"/>
    </w:p>
    <w:p w14:paraId="13FB8847" w14:textId="77777777" w:rsidR="00364153" w:rsidRPr="00533AB0" w:rsidRDefault="00364153" w:rsidP="003A5843">
      <w:pPr>
        <w:pStyle w:val="BodyTextnospacebefore"/>
        <w:rPr>
          <w:szCs w:val="22"/>
          <w:lang w:eastAsia="en-AU"/>
        </w:rPr>
      </w:pPr>
      <w:r w:rsidRPr="00533AB0">
        <w:t xml:space="preserve">The </w:t>
      </w:r>
      <w:r w:rsidR="008F6AA4">
        <w:t>2015 ESC/ERS Guidelines</w:t>
      </w:r>
      <w:r w:rsidRPr="00533AB0">
        <w:t xml:space="preserve"> state “</w:t>
      </w:r>
      <w:r w:rsidRPr="00533AB0">
        <w:rPr>
          <w:i/>
        </w:rPr>
        <w:t xml:space="preserve">The interpretation of these [PAH testing] investigations requires, at the very least, expertise in cardiology, imaging and respiratory medicine and </w:t>
      </w:r>
      <w:proofErr w:type="gramStart"/>
      <w:r w:rsidRPr="00533AB0">
        <w:rPr>
          <w:i/>
        </w:rPr>
        <w:t>may</w:t>
      </w:r>
      <w:proofErr w:type="gramEnd"/>
      <w:r w:rsidRPr="00533AB0">
        <w:rPr>
          <w:i/>
        </w:rPr>
        <w:t xml:space="preserve"> best be discussed at a multidisciplinary team meeting</w:t>
      </w:r>
      <w:r w:rsidRPr="00533AB0">
        <w:t>.” A similar statement is included in the US 2014 CHEST guideline</w:t>
      </w:r>
      <w:r w:rsidR="009C556B" w:rsidRPr="009C556B">
        <w:rPr>
          <w:noProof/>
          <w:vertAlign w:val="superscript"/>
        </w:rPr>
        <w:t>8, 19</w:t>
      </w:r>
      <w:r w:rsidRPr="00533AB0">
        <w:t>.</w:t>
      </w:r>
    </w:p>
    <w:p w14:paraId="33A7D4D9" w14:textId="77777777" w:rsidR="00364153" w:rsidRPr="00533AB0" w:rsidRDefault="00826896" w:rsidP="003A5843">
      <w:pPr>
        <w:pStyle w:val="BodyTextnospacebefore"/>
      </w:pPr>
      <w:r>
        <w:t xml:space="preserve">The CADTH review also </w:t>
      </w:r>
      <w:proofErr w:type="gramStart"/>
      <w:r>
        <w:t>stated</w:t>
      </w:r>
      <w:proofErr w:type="gramEnd"/>
      <w:r>
        <w:t xml:space="preserve"> </w:t>
      </w:r>
      <w:r w:rsidRPr="00826896">
        <w:rPr>
          <w:i/>
        </w:rPr>
        <w:t>“[The Canadian Drug Expert Committee]</w:t>
      </w:r>
      <w:r w:rsidR="00364153" w:rsidRPr="00826896">
        <w:rPr>
          <w:i/>
        </w:rPr>
        <w:t xml:space="preserve"> acknowledges that medical specialists working in PH clinics are best suited to prescribe these medications for adults with PAH, given the nature of the disease as well as the complexity and costs of drug r</w:t>
      </w:r>
      <w:r w:rsidRPr="00826896">
        <w:rPr>
          <w:i/>
        </w:rPr>
        <w:t>egimens”</w:t>
      </w:r>
      <w:r w:rsidR="009C556B" w:rsidRPr="009C556B">
        <w:rPr>
          <w:noProof/>
          <w:vertAlign w:val="superscript"/>
        </w:rPr>
        <w:t>25</w:t>
      </w:r>
      <w:r w:rsidR="00364153" w:rsidRPr="00533AB0">
        <w:t>.</w:t>
      </w:r>
    </w:p>
    <w:p w14:paraId="489D667E" w14:textId="77777777" w:rsidR="00364153" w:rsidRPr="00533AB0" w:rsidRDefault="00364153" w:rsidP="003A5843">
      <w:pPr>
        <w:pStyle w:val="BodyTextnospacebefore"/>
      </w:pPr>
      <w:r w:rsidRPr="00533AB0">
        <w:t xml:space="preserve">The authors of the paediatric guideline concur, stating </w:t>
      </w:r>
      <w:proofErr w:type="gramStart"/>
      <w:r w:rsidRPr="00533AB0">
        <w:t>further that</w:t>
      </w:r>
      <w:proofErr w:type="gramEnd"/>
      <w:r w:rsidRPr="00533AB0">
        <w:t xml:space="preserve"> </w:t>
      </w:r>
      <w:r w:rsidRPr="00533AB0">
        <w:rPr>
          <w:i/>
        </w:rPr>
        <w:t>“children with PH should be evaluated and treated in comprehensive, multidisciplinary clinics at specialised paediatric centres”</w:t>
      </w:r>
      <w:r w:rsidR="009C556B" w:rsidRPr="009C556B">
        <w:rPr>
          <w:noProof/>
          <w:vertAlign w:val="superscript"/>
        </w:rPr>
        <w:t>22</w:t>
      </w:r>
      <w:r w:rsidR="00EE1F96">
        <w:t>.</w:t>
      </w:r>
    </w:p>
    <w:p w14:paraId="5971CB8F" w14:textId="77777777" w:rsidR="00364153" w:rsidRPr="00533AB0" w:rsidRDefault="00364153" w:rsidP="003A5843">
      <w:pPr>
        <w:pStyle w:val="BodyTextnospacebefore"/>
      </w:pPr>
      <w:r w:rsidRPr="00533AB0">
        <w:t xml:space="preserve">Minimum criteria for referral centres for treatment of </w:t>
      </w:r>
      <w:proofErr w:type="gramStart"/>
      <w:r w:rsidRPr="00533AB0">
        <w:t>PAH</w:t>
      </w:r>
      <w:proofErr w:type="gramEnd"/>
      <w:r w:rsidRPr="00533AB0">
        <w:t xml:space="preserve"> patients should be</w:t>
      </w:r>
      <w:r w:rsidR="009C556B" w:rsidRPr="00DC475B">
        <w:rPr>
          <w:noProof/>
          <w:vertAlign w:val="superscript"/>
        </w:rPr>
        <w:t>8</w:t>
      </w:r>
      <w:r w:rsidRPr="00533AB0">
        <w:t>:</w:t>
      </w:r>
    </w:p>
    <w:p w14:paraId="7D9B1A57" w14:textId="77777777" w:rsidR="00364153" w:rsidRPr="00826896" w:rsidRDefault="00364153" w:rsidP="00921D13">
      <w:pPr>
        <w:pStyle w:val="08Bulletsseriesofsentences"/>
      </w:pPr>
      <w:r w:rsidRPr="00826896">
        <w:t xml:space="preserve">No fewer than 200 </w:t>
      </w:r>
      <w:proofErr w:type="gramStart"/>
      <w:r w:rsidRPr="00826896">
        <w:t>adults</w:t>
      </w:r>
      <w:proofErr w:type="gramEnd"/>
      <w:r w:rsidRPr="00826896">
        <w:t xml:space="preserve"> patients seen per centre per year of which at least half have a final diagnosis of PAH. In countries such as Australia having a population larger than 10</w:t>
      </w:r>
      <w:r w:rsidRPr="00826896">
        <w:rPr>
          <w:rFonts w:ascii="Times New Roman" w:hAnsi="Times New Roman"/>
        </w:rPr>
        <w:t>◦</w:t>
      </w:r>
      <w:r w:rsidRPr="00826896">
        <w:t>million, the number should be greater than 300 patients per centre per year;</w:t>
      </w:r>
    </w:p>
    <w:p w14:paraId="424E834D" w14:textId="77777777" w:rsidR="00364153" w:rsidRPr="00826896" w:rsidRDefault="00364153" w:rsidP="00921D13">
      <w:pPr>
        <w:pStyle w:val="08Bulletsseriesofsentences"/>
      </w:pPr>
      <w:r w:rsidRPr="00826896">
        <w:t>The centre should at any time be following at least 50 patients with PAH or CTEPH;</w:t>
      </w:r>
    </w:p>
    <w:p w14:paraId="590FF903" w14:textId="77777777" w:rsidR="00364153" w:rsidRPr="00826896" w:rsidRDefault="00364153" w:rsidP="00921D13">
      <w:pPr>
        <w:pStyle w:val="08Bulletsseriesofsentences"/>
      </w:pPr>
      <w:r w:rsidRPr="00826896">
        <w:t>At least two PAH or CTEPH referrals per month;</w:t>
      </w:r>
    </w:p>
    <w:p w14:paraId="54D0D256" w14:textId="77777777" w:rsidR="00364153" w:rsidRPr="00826896" w:rsidRDefault="00364153" w:rsidP="00921D13">
      <w:pPr>
        <w:pStyle w:val="08Bulletsseriesofsentences"/>
      </w:pPr>
      <w:r w:rsidRPr="00826896">
        <w:t>The patient should be seen by a multi-profession team including cardiology and respiratory medicine physicians, clinical nurse specialist, radiologists, psychological and social work support, and other appropriate on-call expertise;</w:t>
      </w:r>
    </w:p>
    <w:p w14:paraId="6A221CCF" w14:textId="77777777" w:rsidR="00364153" w:rsidRPr="00826896" w:rsidRDefault="00364153" w:rsidP="00921D13">
      <w:pPr>
        <w:pStyle w:val="08Bulletsseriesofsentences"/>
      </w:pPr>
      <w:r w:rsidRPr="00826896">
        <w:t>The centre to perform 20 vasoreactivity tests per year.</w:t>
      </w:r>
    </w:p>
    <w:p w14:paraId="39B81CCC" w14:textId="77777777" w:rsidR="004937E8" w:rsidRDefault="004937E8">
      <w:pPr>
        <w:spacing w:before="0" w:line="240" w:lineRule="auto"/>
        <w:rPr>
          <w:rFonts w:asciiTheme="minorHAnsi" w:eastAsia="Times New Roman" w:hAnsiTheme="minorHAnsi"/>
          <w:b/>
          <w:color w:val="4F81BD"/>
          <w:sz w:val="32"/>
          <w:szCs w:val="26"/>
        </w:rPr>
      </w:pPr>
      <w:r>
        <w:br w:type="page"/>
      </w:r>
    </w:p>
    <w:p w14:paraId="673591A7" w14:textId="77777777" w:rsidR="009918A3" w:rsidRDefault="00A46536" w:rsidP="00121658">
      <w:pPr>
        <w:pStyle w:val="Heading2"/>
        <w:jc w:val="left"/>
      </w:pPr>
      <w:bookmarkStart w:id="190" w:name="_Toc38377507"/>
      <w:r>
        <w:lastRenderedPageBreak/>
        <w:t>PBS restrictions and TGA indications</w:t>
      </w:r>
      <w:bookmarkEnd w:id="190"/>
      <w:r>
        <w:t xml:space="preserve"> </w:t>
      </w:r>
    </w:p>
    <w:p w14:paraId="0D21A1D1" w14:textId="77777777" w:rsidR="00D32790" w:rsidRPr="00B92CC9" w:rsidRDefault="00A46536" w:rsidP="00121658">
      <w:pPr>
        <w:pStyle w:val="Heading3"/>
        <w:jc w:val="left"/>
      </w:pPr>
      <w:bookmarkStart w:id="191" w:name="_Ref505886754"/>
      <w:bookmarkStart w:id="192" w:name="_Toc38377508"/>
      <w:bookmarkEnd w:id="163"/>
      <w:bookmarkEnd w:id="164"/>
      <w:r>
        <w:t>TGA indications</w:t>
      </w:r>
      <w:bookmarkEnd w:id="191"/>
      <w:bookmarkEnd w:id="192"/>
    </w:p>
    <w:p w14:paraId="5E4982D9" w14:textId="77777777" w:rsidR="00236FB8" w:rsidRPr="00BB3BA9" w:rsidRDefault="00236FB8" w:rsidP="00121658">
      <w:pPr>
        <w:pStyle w:val="Heading4"/>
        <w:jc w:val="left"/>
        <w:rPr>
          <w:rFonts w:eastAsiaTheme="minorEastAsia"/>
        </w:rPr>
      </w:pPr>
      <w:bookmarkStart w:id="193" w:name="_Toc503800645"/>
      <w:bookmarkStart w:id="194" w:name="_Toc503811597"/>
      <w:bookmarkStart w:id="195" w:name="_Toc473291081"/>
      <w:bookmarkStart w:id="196" w:name="_Toc480371884"/>
      <w:bookmarkStart w:id="197" w:name="_Toc486514232"/>
      <w:r w:rsidRPr="00A2374E">
        <w:rPr>
          <w:rFonts w:eastAsiaTheme="minorEastAsia"/>
        </w:rPr>
        <w:t>Current ARTG registered PAH medicines</w:t>
      </w:r>
      <w:bookmarkEnd w:id="193"/>
      <w:bookmarkEnd w:id="194"/>
    </w:p>
    <w:p w14:paraId="452DBA50" w14:textId="77777777" w:rsidR="00236FB8" w:rsidRPr="00236FB8" w:rsidRDefault="00236FB8" w:rsidP="003A5843">
      <w:pPr>
        <w:pStyle w:val="BodyTextnospacebefore"/>
      </w:pPr>
      <w:r w:rsidRPr="009C074C">
        <w:t xml:space="preserve">Medications registered for PAH in Australia </w:t>
      </w:r>
      <w:proofErr w:type="gramStart"/>
      <w:r w:rsidRPr="009C074C">
        <w:t>are listed</w:t>
      </w:r>
      <w:proofErr w:type="gramEnd"/>
      <w:r w:rsidRPr="009C074C">
        <w:t xml:space="preserve"> in </w:t>
      </w:r>
      <w:r w:rsidR="00505D99">
        <w:t>Table 1.14</w:t>
      </w:r>
      <w:r w:rsidRPr="009C074C">
        <w:t xml:space="preserve"> with an overview of their approved indications for use in</w:t>
      </w:r>
      <w:r w:rsidR="00FB0A8B" w:rsidRPr="009C074C">
        <w:t xml:space="preserve"> terms of</w:t>
      </w:r>
      <w:r w:rsidRPr="009C074C">
        <w:t xml:space="preserve"> WHO Functional Classes and combination use. Information on paediatric use is also included </w:t>
      </w:r>
      <w:proofErr w:type="gramStart"/>
      <w:r w:rsidRPr="009C074C">
        <w:t>as this was a significant area where the registered indications, PBS restrictions and clinical guidelines do not align</w:t>
      </w:r>
      <w:proofErr w:type="gramEnd"/>
      <w:r w:rsidR="00C6734D" w:rsidRPr="009C074C">
        <w:t>.</w:t>
      </w:r>
    </w:p>
    <w:p w14:paraId="06517618" w14:textId="77777777" w:rsidR="00826896" w:rsidRPr="00FB1802" w:rsidRDefault="00236FB8" w:rsidP="003A5843">
      <w:pPr>
        <w:pStyle w:val="BodyTextnospacebefore"/>
      </w:pPr>
      <w:r w:rsidRPr="00236FB8">
        <w:t xml:space="preserve">Text of registered indications as it appears in the PI for each medicine </w:t>
      </w:r>
      <w:proofErr w:type="gramStart"/>
      <w:r w:rsidRPr="00236FB8">
        <w:t>is reproduced</w:t>
      </w:r>
      <w:proofErr w:type="gramEnd"/>
      <w:r w:rsidRPr="00236FB8">
        <w:t xml:space="preserve"> in</w:t>
      </w:r>
      <w:r w:rsidR="007B0F54">
        <w:t xml:space="preserve"> </w:t>
      </w:r>
      <w:r w:rsidR="00505D99">
        <w:t>Table 1.</w:t>
      </w:r>
      <w:r w:rsidR="00505D99">
        <w:rPr>
          <w:noProof/>
        </w:rPr>
        <w:t>15</w:t>
      </w:r>
      <w:r w:rsidR="003A5843">
        <w:t>. The approved</w:t>
      </w:r>
      <w:r w:rsidRPr="00236FB8">
        <w:t xml:space="preserve"> indications are either for the whole of Group 1 of the WHO PH classification </w:t>
      </w:r>
      <w:r w:rsidR="00EE1F96">
        <w:t>or for the individual subtypes.</w:t>
      </w:r>
    </w:p>
    <w:p w14:paraId="7E2C20D3" w14:textId="77777777" w:rsidR="00236FB8" w:rsidRDefault="00236FB8" w:rsidP="00121658">
      <w:pPr>
        <w:rPr>
          <w:rFonts w:asciiTheme="minorHAnsi" w:hAnsiTheme="minorHAnsi"/>
        </w:rPr>
        <w:sectPr w:rsidR="00236FB8" w:rsidSect="00C978EB">
          <w:footnotePr>
            <w:numFmt w:val="chicago"/>
          </w:footnotePr>
          <w:pgSz w:w="11906" w:h="16838"/>
          <w:pgMar w:top="1440" w:right="1440" w:bottom="1440" w:left="1440" w:header="708" w:footer="708" w:gutter="0"/>
          <w:cols w:space="708"/>
          <w:titlePg/>
          <w:docGrid w:linePitch="360"/>
        </w:sectPr>
      </w:pPr>
    </w:p>
    <w:p w14:paraId="7DF44200" w14:textId="77777777" w:rsidR="00236FB8" w:rsidRDefault="00F75B8B" w:rsidP="00F75B8B">
      <w:pPr>
        <w:pStyle w:val="Caption"/>
      </w:pPr>
      <w:bookmarkStart w:id="198" w:name="_Ref510795505"/>
      <w:bookmarkStart w:id="199" w:name="_Toc29377260"/>
      <w:bookmarkStart w:id="200" w:name="_Ref501004341"/>
      <w:r>
        <w:lastRenderedPageBreak/>
        <w:t>Table 1.</w:t>
      </w:r>
      <w:r w:rsidR="00505D99">
        <w:rPr>
          <w:noProof/>
        </w:rPr>
        <w:t>14</w:t>
      </w:r>
      <w:bookmarkEnd w:id="198"/>
      <w:r>
        <w:tab/>
        <w:t>Overview of registered indications for PAH medicines</w:t>
      </w:r>
      <w:bookmarkEnd w:id="199"/>
    </w:p>
    <w:tbl>
      <w:tblPr>
        <w:tblW w:w="46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Overview of registered indications for PAH medicines "/>
      </w:tblPr>
      <w:tblGrid>
        <w:gridCol w:w="1395"/>
        <w:gridCol w:w="2773"/>
        <w:gridCol w:w="1669"/>
        <w:gridCol w:w="4597"/>
        <w:gridCol w:w="2646"/>
      </w:tblGrid>
      <w:tr w:rsidR="00236FB8" w:rsidRPr="007E6A14" w14:paraId="17F4BC66" w14:textId="77777777" w:rsidTr="007D269C">
        <w:trPr>
          <w:tblHeader/>
        </w:trPr>
        <w:tc>
          <w:tcPr>
            <w:tcW w:w="526" w:type="pct"/>
            <w:shd w:val="clear" w:color="auto" w:fill="BFBFBF" w:themeFill="background1" w:themeFillShade="BF"/>
            <w:vAlign w:val="center"/>
          </w:tcPr>
          <w:p w14:paraId="1E94E3E0" w14:textId="77777777" w:rsidR="00236FB8" w:rsidRPr="007D269C" w:rsidRDefault="00236FB8" w:rsidP="007D269C">
            <w:pPr>
              <w:spacing w:beforeLines="20" w:before="48" w:afterLines="20" w:after="48" w:line="240" w:lineRule="auto"/>
              <w:rPr>
                <w:rFonts w:ascii="Arial" w:hAnsi="Arial" w:cs="Arial"/>
                <w:b/>
                <w:caps/>
                <w:color w:val="000000"/>
                <w:spacing w:val="5"/>
                <w:kern w:val="28"/>
                <w:sz w:val="20"/>
                <w:szCs w:val="20"/>
                <w:lang w:val="en-US"/>
              </w:rPr>
            </w:pPr>
            <w:r w:rsidRPr="007D269C">
              <w:rPr>
                <w:rFonts w:ascii="Arial" w:hAnsi="Arial" w:cs="Arial"/>
                <w:b/>
                <w:sz w:val="20"/>
                <w:szCs w:val="20"/>
              </w:rPr>
              <w:t>Treatment</w:t>
            </w:r>
          </w:p>
        </w:tc>
        <w:tc>
          <w:tcPr>
            <w:tcW w:w="1062" w:type="pct"/>
            <w:shd w:val="clear" w:color="auto" w:fill="BFBFBF" w:themeFill="background1" w:themeFillShade="BF"/>
            <w:vAlign w:val="center"/>
          </w:tcPr>
          <w:p w14:paraId="50F6D52D" w14:textId="77777777" w:rsidR="00236FB8" w:rsidRPr="007D269C" w:rsidRDefault="00236FB8" w:rsidP="007D269C">
            <w:pPr>
              <w:spacing w:beforeLines="20" w:before="48" w:afterLines="20" w:after="48" w:line="240" w:lineRule="auto"/>
              <w:rPr>
                <w:rFonts w:ascii="Arial" w:hAnsi="Arial" w:cs="Arial"/>
                <w:b/>
                <w:caps/>
                <w:color w:val="000000"/>
                <w:spacing w:val="5"/>
                <w:kern w:val="28"/>
                <w:sz w:val="20"/>
                <w:szCs w:val="20"/>
                <w:lang w:val="en-US"/>
              </w:rPr>
            </w:pPr>
            <w:r w:rsidRPr="007D269C">
              <w:rPr>
                <w:rFonts w:ascii="Arial" w:hAnsi="Arial" w:cs="Arial"/>
                <w:b/>
                <w:sz w:val="20"/>
                <w:szCs w:val="20"/>
              </w:rPr>
              <w:t>Aetiology / PAH subtypes</w:t>
            </w:r>
          </w:p>
        </w:tc>
        <w:tc>
          <w:tcPr>
            <w:tcW w:w="640" w:type="pct"/>
            <w:shd w:val="clear" w:color="auto" w:fill="BFBFBF" w:themeFill="background1" w:themeFillShade="BF"/>
            <w:vAlign w:val="center"/>
          </w:tcPr>
          <w:p w14:paraId="285D0028" w14:textId="77777777" w:rsidR="00236FB8" w:rsidRPr="007D269C" w:rsidRDefault="00236FB8" w:rsidP="007D269C">
            <w:pPr>
              <w:spacing w:beforeLines="20" w:before="48" w:afterLines="20" w:after="48" w:line="240" w:lineRule="auto"/>
              <w:rPr>
                <w:rFonts w:ascii="Arial" w:hAnsi="Arial" w:cs="Arial"/>
                <w:b/>
                <w:caps/>
                <w:color w:val="000000"/>
                <w:spacing w:val="5"/>
                <w:kern w:val="28"/>
                <w:sz w:val="20"/>
                <w:szCs w:val="20"/>
                <w:lang w:val="en-US"/>
              </w:rPr>
            </w:pPr>
            <w:r w:rsidRPr="007D269C">
              <w:rPr>
                <w:rFonts w:ascii="Arial" w:hAnsi="Arial" w:cs="Arial"/>
                <w:b/>
                <w:sz w:val="20"/>
                <w:szCs w:val="20"/>
              </w:rPr>
              <w:t>WHO FC</w:t>
            </w:r>
          </w:p>
        </w:tc>
        <w:tc>
          <w:tcPr>
            <w:tcW w:w="1759" w:type="pct"/>
            <w:shd w:val="clear" w:color="auto" w:fill="BFBFBF" w:themeFill="background1" w:themeFillShade="BF"/>
            <w:vAlign w:val="center"/>
          </w:tcPr>
          <w:p w14:paraId="12DBCC16"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b/>
                <w:sz w:val="20"/>
                <w:szCs w:val="20"/>
              </w:rPr>
              <w:t>Combination therapy</w:t>
            </w:r>
          </w:p>
        </w:tc>
        <w:tc>
          <w:tcPr>
            <w:tcW w:w="1013" w:type="pct"/>
            <w:shd w:val="clear" w:color="auto" w:fill="BFBFBF" w:themeFill="background1" w:themeFillShade="BF"/>
          </w:tcPr>
          <w:p w14:paraId="15311B65" w14:textId="77777777" w:rsidR="00236FB8" w:rsidRPr="007D269C" w:rsidRDefault="00236FB8" w:rsidP="007D269C">
            <w:pPr>
              <w:spacing w:beforeLines="20" w:before="48" w:afterLines="20" w:after="48" w:line="240" w:lineRule="auto"/>
              <w:rPr>
                <w:rFonts w:ascii="Arial" w:hAnsi="Arial" w:cs="Arial"/>
                <w:b/>
                <w:sz w:val="20"/>
                <w:szCs w:val="20"/>
              </w:rPr>
            </w:pPr>
            <w:r w:rsidRPr="007D269C">
              <w:rPr>
                <w:rFonts w:ascii="Arial" w:hAnsi="Arial" w:cs="Arial"/>
                <w:b/>
                <w:sz w:val="20"/>
                <w:szCs w:val="20"/>
              </w:rPr>
              <w:t xml:space="preserve">Children </w:t>
            </w:r>
          </w:p>
        </w:tc>
      </w:tr>
      <w:tr w:rsidR="00236FB8" w:rsidRPr="007E6A14" w14:paraId="6761C953" w14:textId="77777777" w:rsidTr="007D269C">
        <w:tc>
          <w:tcPr>
            <w:tcW w:w="526" w:type="pct"/>
            <w:shd w:val="clear" w:color="auto" w:fill="auto"/>
            <w:vAlign w:val="center"/>
          </w:tcPr>
          <w:p w14:paraId="22EC4C34"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Macitentan</w:t>
            </w:r>
          </w:p>
        </w:tc>
        <w:tc>
          <w:tcPr>
            <w:tcW w:w="1062" w:type="pct"/>
            <w:shd w:val="clear" w:color="auto" w:fill="auto"/>
            <w:vAlign w:val="center"/>
          </w:tcPr>
          <w:p w14:paraId="5E3434BD"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IPAH, HPAH, PAH-CTD or PAH-CHD</w:t>
            </w:r>
          </w:p>
        </w:tc>
        <w:tc>
          <w:tcPr>
            <w:tcW w:w="640" w:type="pct"/>
            <w:shd w:val="clear" w:color="auto" w:fill="auto"/>
            <w:vAlign w:val="center"/>
          </w:tcPr>
          <w:p w14:paraId="13D82C4D" w14:textId="77777777" w:rsidR="00236FB8" w:rsidRPr="007D269C" w:rsidRDefault="00236FB8" w:rsidP="007D269C">
            <w:pPr>
              <w:spacing w:beforeLines="20" w:before="48" w:afterLines="20" w:after="48" w:line="240" w:lineRule="auto"/>
              <w:rPr>
                <w:rFonts w:ascii="Arial" w:hAnsi="Arial" w:cs="Arial"/>
                <w:b/>
                <w:caps/>
                <w:color w:val="000000"/>
                <w:spacing w:val="5"/>
                <w:kern w:val="28"/>
                <w:sz w:val="20"/>
                <w:szCs w:val="20"/>
                <w:lang w:val="en-US"/>
              </w:rPr>
            </w:pPr>
            <w:r w:rsidRPr="007D269C">
              <w:rPr>
                <w:rFonts w:ascii="Arial" w:hAnsi="Arial" w:cs="Arial"/>
                <w:sz w:val="20"/>
                <w:szCs w:val="20"/>
              </w:rPr>
              <w:t>II,III, IV</w:t>
            </w:r>
          </w:p>
        </w:tc>
        <w:tc>
          <w:tcPr>
            <w:tcW w:w="1759" w:type="pct"/>
            <w:shd w:val="clear" w:color="auto" w:fill="auto"/>
            <w:vAlign w:val="center"/>
          </w:tcPr>
          <w:p w14:paraId="67284031" w14:textId="77777777" w:rsidR="00236FB8" w:rsidRPr="007D269C" w:rsidRDefault="00A9100A" w:rsidP="007D269C">
            <w:pPr>
              <w:spacing w:beforeLines="20" w:before="48" w:afterLines="20" w:after="48" w:line="240" w:lineRule="auto"/>
              <w:rPr>
                <w:rFonts w:ascii="Arial" w:hAnsi="Arial" w:cs="Arial"/>
                <w:sz w:val="20"/>
                <w:szCs w:val="20"/>
              </w:rPr>
            </w:pPr>
            <w:r w:rsidRPr="007D269C">
              <w:rPr>
                <w:rFonts w:ascii="Arial" w:hAnsi="Arial" w:cs="Arial"/>
                <w:sz w:val="20"/>
                <w:szCs w:val="20"/>
              </w:rPr>
              <w:t>Yes</w:t>
            </w:r>
            <w:r w:rsidR="00236FB8" w:rsidRPr="007D269C">
              <w:rPr>
                <w:rFonts w:ascii="Arial" w:hAnsi="Arial" w:cs="Arial"/>
                <w:sz w:val="20"/>
                <w:szCs w:val="20"/>
              </w:rPr>
              <w:t>, approved PAH treatments (</w:t>
            </w:r>
            <w:r w:rsidR="00AF191D" w:rsidRPr="007D269C">
              <w:rPr>
                <w:rFonts w:ascii="Arial" w:hAnsi="Arial" w:cs="Arial"/>
                <w:sz w:val="20"/>
                <w:szCs w:val="20"/>
              </w:rPr>
              <w:t>PDE</w:t>
            </w:r>
            <w:r w:rsidR="00AF191D" w:rsidRPr="007D269C">
              <w:rPr>
                <w:rFonts w:ascii="Arial" w:hAnsi="Arial" w:cs="Arial"/>
                <w:sz w:val="20"/>
                <w:szCs w:val="20"/>
              </w:rPr>
              <w:noBreakHyphen/>
              <w:t>5</w:t>
            </w:r>
            <w:r w:rsidR="00236FB8" w:rsidRPr="007D269C">
              <w:rPr>
                <w:rFonts w:ascii="Arial" w:hAnsi="Arial" w:cs="Arial"/>
                <w:sz w:val="20"/>
                <w:szCs w:val="20"/>
              </w:rPr>
              <w:t xml:space="preserve"> inhibitors or prostanoids)</w:t>
            </w:r>
          </w:p>
        </w:tc>
        <w:tc>
          <w:tcPr>
            <w:tcW w:w="1013" w:type="pct"/>
            <w:vAlign w:val="center"/>
          </w:tcPr>
          <w:p w14:paraId="0E3376D0"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Limited data in children aged 12 and above, none in children &lt;12 years</w:t>
            </w:r>
          </w:p>
        </w:tc>
      </w:tr>
      <w:tr w:rsidR="00236FB8" w:rsidRPr="007E6A14" w14:paraId="33558C9E" w14:textId="77777777" w:rsidTr="007D269C">
        <w:tc>
          <w:tcPr>
            <w:tcW w:w="526" w:type="pct"/>
            <w:vAlign w:val="center"/>
          </w:tcPr>
          <w:p w14:paraId="2D756519"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Bosentan</w:t>
            </w:r>
          </w:p>
        </w:tc>
        <w:tc>
          <w:tcPr>
            <w:tcW w:w="1062" w:type="pct"/>
            <w:vAlign w:val="center"/>
          </w:tcPr>
          <w:p w14:paraId="0BB431CC" w14:textId="77777777" w:rsidR="00236FB8" w:rsidRPr="007D269C" w:rsidRDefault="00236FB8" w:rsidP="007D269C">
            <w:pPr>
              <w:spacing w:beforeLines="20" w:before="48" w:afterLines="20" w:after="48" w:line="240" w:lineRule="auto"/>
              <w:rPr>
                <w:rFonts w:ascii="Arial" w:hAnsi="Arial" w:cs="Arial"/>
                <w:b/>
                <w:caps/>
                <w:color w:val="000000"/>
                <w:spacing w:val="5"/>
                <w:kern w:val="28"/>
                <w:sz w:val="20"/>
                <w:szCs w:val="20"/>
                <w:lang w:val="en-US"/>
              </w:rPr>
            </w:pPr>
            <w:r w:rsidRPr="007D269C">
              <w:rPr>
                <w:rFonts w:ascii="Arial" w:hAnsi="Arial" w:cs="Arial"/>
                <w:sz w:val="20"/>
                <w:szCs w:val="20"/>
              </w:rPr>
              <w:t>IPAH, HPAH, PAH-CTD or PAH-CHD</w:t>
            </w:r>
          </w:p>
        </w:tc>
        <w:tc>
          <w:tcPr>
            <w:tcW w:w="640" w:type="pct"/>
            <w:vAlign w:val="center"/>
          </w:tcPr>
          <w:p w14:paraId="1AE71E0D" w14:textId="77777777" w:rsidR="00236FB8" w:rsidRPr="007D269C" w:rsidRDefault="00236FB8" w:rsidP="007D269C">
            <w:pPr>
              <w:spacing w:beforeLines="20" w:before="48" w:afterLines="20" w:after="48" w:line="240" w:lineRule="auto"/>
              <w:rPr>
                <w:rFonts w:ascii="Arial" w:hAnsi="Arial" w:cs="Arial"/>
                <w:b/>
                <w:caps/>
                <w:color w:val="000000"/>
                <w:spacing w:val="5"/>
                <w:kern w:val="28"/>
                <w:sz w:val="20"/>
                <w:szCs w:val="20"/>
                <w:lang w:val="en-US"/>
              </w:rPr>
            </w:pPr>
            <w:r w:rsidRPr="007D269C">
              <w:rPr>
                <w:rFonts w:ascii="Arial" w:hAnsi="Arial" w:cs="Arial"/>
                <w:sz w:val="20"/>
                <w:szCs w:val="20"/>
              </w:rPr>
              <w:t>II,III, IV</w:t>
            </w:r>
          </w:p>
        </w:tc>
        <w:tc>
          <w:tcPr>
            <w:tcW w:w="1759" w:type="pct"/>
            <w:vAlign w:val="center"/>
          </w:tcPr>
          <w:p w14:paraId="2F78A261"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Clinical benefit of the combination of bosentan and epoprostenol has not been demonstrated</w:t>
            </w:r>
          </w:p>
          <w:p w14:paraId="41FA2BEB"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Use with sildenafil should be avoided due altered PK</w:t>
            </w:r>
          </w:p>
        </w:tc>
        <w:tc>
          <w:tcPr>
            <w:tcW w:w="1013" w:type="pct"/>
            <w:vAlign w:val="center"/>
          </w:tcPr>
          <w:p w14:paraId="3573B78E"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Yes</w:t>
            </w:r>
          </w:p>
        </w:tc>
      </w:tr>
      <w:tr w:rsidR="00236FB8" w:rsidRPr="00F44148" w14:paraId="5611D8D9" w14:textId="77777777" w:rsidTr="007D269C">
        <w:tc>
          <w:tcPr>
            <w:tcW w:w="526" w:type="pct"/>
            <w:vAlign w:val="center"/>
          </w:tcPr>
          <w:p w14:paraId="74004E8E"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Ambrisentan</w:t>
            </w:r>
          </w:p>
        </w:tc>
        <w:tc>
          <w:tcPr>
            <w:tcW w:w="1062" w:type="pct"/>
            <w:vAlign w:val="center"/>
          </w:tcPr>
          <w:p w14:paraId="4AD29087" w14:textId="77777777" w:rsidR="00880436" w:rsidRPr="007D269C" w:rsidRDefault="00880436" w:rsidP="007D269C">
            <w:pPr>
              <w:spacing w:beforeLines="20" w:before="48" w:afterLines="20" w:after="48" w:line="240" w:lineRule="auto"/>
              <w:rPr>
                <w:rFonts w:ascii="Arial" w:hAnsi="Arial" w:cs="Arial"/>
                <w:sz w:val="20"/>
                <w:szCs w:val="20"/>
              </w:rPr>
            </w:pPr>
            <w:r w:rsidRPr="007D269C">
              <w:rPr>
                <w:rFonts w:ascii="Arial" w:hAnsi="Arial" w:cs="Arial"/>
                <w:sz w:val="20"/>
                <w:szCs w:val="20"/>
              </w:rPr>
              <w:t xml:space="preserve">As monotherapy: </w:t>
            </w:r>
            <w:r w:rsidR="00236FB8" w:rsidRPr="007D269C">
              <w:rPr>
                <w:rFonts w:ascii="Arial" w:hAnsi="Arial" w:cs="Arial"/>
                <w:sz w:val="20"/>
                <w:szCs w:val="20"/>
              </w:rPr>
              <w:t>IPAH, PAH-CTD</w:t>
            </w:r>
            <w:r w:rsidR="007D269C">
              <w:rPr>
                <w:rFonts w:ascii="Arial" w:hAnsi="Arial" w:cs="Arial"/>
                <w:sz w:val="20"/>
                <w:szCs w:val="20"/>
              </w:rPr>
              <w:t xml:space="preserve">; </w:t>
            </w:r>
            <w:r w:rsidRPr="007D269C">
              <w:rPr>
                <w:rFonts w:ascii="Arial" w:hAnsi="Arial" w:cs="Arial"/>
                <w:sz w:val="20"/>
                <w:szCs w:val="20"/>
              </w:rPr>
              <w:t>With tadalafil: all WHO Group 1 / PAH</w:t>
            </w:r>
          </w:p>
        </w:tc>
        <w:tc>
          <w:tcPr>
            <w:tcW w:w="640" w:type="pct"/>
            <w:vAlign w:val="center"/>
          </w:tcPr>
          <w:p w14:paraId="0AFF5719" w14:textId="77777777" w:rsidR="00880436" w:rsidRPr="007D269C" w:rsidRDefault="00880436" w:rsidP="007D269C">
            <w:pPr>
              <w:spacing w:beforeLines="20" w:before="48" w:afterLines="20" w:after="48" w:line="240" w:lineRule="auto"/>
              <w:rPr>
                <w:rFonts w:ascii="Arial" w:hAnsi="Arial" w:cs="Arial"/>
                <w:sz w:val="20"/>
                <w:szCs w:val="20"/>
              </w:rPr>
            </w:pPr>
            <w:r w:rsidRPr="007D269C">
              <w:rPr>
                <w:rFonts w:ascii="Arial" w:hAnsi="Arial" w:cs="Arial"/>
                <w:sz w:val="20"/>
                <w:szCs w:val="20"/>
              </w:rPr>
              <w:t>Mono: unspecified</w:t>
            </w:r>
          </w:p>
          <w:p w14:paraId="00BD1B93" w14:textId="77777777" w:rsidR="00236FB8" w:rsidRPr="007D269C" w:rsidRDefault="00880436" w:rsidP="007D269C">
            <w:pPr>
              <w:spacing w:beforeLines="20" w:before="48" w:afterLines="20" w:after="48" w:line="240" w:lineRule="auto"/>
              <w:rPr>
                <w:rFonts w:ascii="Arial" w:hAnsi="Arial" w:cs="Arial"/>
                <w:b/>
                <w:caps/>
                <w:color w:val="000000"/>
                <w:spacing w:val="5"/>
                <w:kern w:val="28"/>
                <w:sz w:val="20"/>
                <w:szCs w:val="20"/>
                <w:lang w:val="en-US"/>
              </w:rPr>
            </w:pPr>
            <w:r w:rsidRPr="007D269C">
              <w:rPr>
                <w:rFonts w:ascii="Arial" w:hAnsi="Arial" w:cs="Arial"/>
                <w:sz w:val="20"/>
                <w:szCs w:val="20"/>
              </w:rPr>
              <w:t xml:space="preserve">Combo: </w:t>
            </w:r>
            <w:r w:rsidR="00236FB8" w:rsidRPr="007D269C">
              <w:rPr>
                <w:rFonts w:ascii="Arial" w:hAnsi="Arial" w:cs="Arial"/>
                <w:sz w:val="20"/>
                <w:szCs w:val="20"/>
              </w:rPr>
              <w:t>II,III, IV</w:t>
            </w:r>
          </w:p>
        </w:tc>
        <w:tc>
          <w:tcPr>
            <w:tcW w:w="1759" w:type="pct"/>
            <w:vAlign w:val="center"/>
          </w:tcPr>
          <w:p w14:paraId="71D7806F" w14:textId="77777777" w:rsidR="00236FB8" w:rsidRPr="007D269C" w:rsidRDefault="00A9100A" w:rsidP="007D269C">
            <w:pPr>
              <w:spacing w:beforeLines="20" w:before="48" w:afterLines="20" w:after="48" w:line="240" w:lineRule="auto"/>
              <w:rPr>
                <w:rFonts w:ascii="Arial" w:hAnsi="Arial" w:cs="Arial"/>
                <w:sz w:val="20"/>
                <w:szCs w:val="20"/>
              </w:rPr>
            </w:pPr>
            <w:r w:rsidRPr="007D269C">
              <w:rPr>
                <w:rFonts w:ascii="Arial" w:hAnsi="Arial" w:cs="Arial"/>
                <w:sz w:val="20"/>
                <w:szCs w:val="20"/>
              </w:rPr>
              <w:t>Yes, w</w:t>
            </w:r>
            <w:r w:rsidR="00236FB8" w:rsidRPr="007D269C">
              <w:rPr>
                <w:rFonts w:ascii="Arial" w:hAnsi="Arial" w:cs="Arial"/>
                <w:sz w:val="20"/>
                <w:szCs w:val="20"/>
              </w:rPr>
              <w:t xml:space="preserve">ith tadalafil (WHO Group 1, II/III/IV PAH) </w:t>
            </w:r>
          </w:p>
        </w:tc>
        <w:tc>
          <w:tcPr>
            <w:tcW w:w="1013" w:type="pct"/>
            <w:vAlign w:val="center"/>
          </w:tcPr>
          <w:p w14:paraId="73671EB4"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No</w:t>
            </w:r>
          </w:p>
        </w:tc>
      </w:tr>
      <w:tr w:rsidR="00236FB8" w:rsidRPr="004A366B" w14:paraId="66501318" w14:textId="77777777" w:rsidTr="007D269C">
        <w:tc>
          <w:tcPr>
            <w:tcW w:w="526" w:type="pct"/>
            <w:vAlign w:val="center"/>
          </w:tcPr>
          <w:p w14:paraId="05B8E79C"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Sildenafil</w:t>
            </w:r>
          </w:p>
        </w:tc>
        <w:tc>
          <w:tcPr>
            <w:tcW w:w="1062" w:type="pct"/>
            <w:vAlign w:val="center"/>
          </w:tcPr>
          <w:p w14:paraId="2199F8EE" w14:textId="77777777" w:rsidR="00236FB8" w:rsidRPr="007D269C" w:rsidRDefault="00B833FE" w:rsidP="007D269C">
            <w:pPr>
              <w:spacing w:beforeLines="20" w:before="48" w:afterLines="20" w:after="48" w:line="240" w:lineRule="auto"/>
              <w:rPr>
                <w:rFonts w:ascii="Arial" w:hAnsi="Arial" w:cs="Arial"/>
                <w:b/>
                <w:caps/>
                <w:color w:val="000000"/>
                <w:spacing w:val="5"/>
                <w:kern w:val="28"/>
                <w:sz w:val="20"/>
                <w:szCs w:val="20"/>
                <w:lang w:val="en-US"/>
              </w:rPr>
            </w:pPr>
            <w:r w:rsidRPr="007D269C">
              <w:rPr>
                <w:rFonts w:ascii="Arial" w:hAnsi="Arial" w:cs="Arial"/>
                <w:sz w:val="20"/>
                <w:szCs w:val="20"/>
              </w:rPr>
              <w:t xml:space="preserve">PAH </w:t>
            </w:r>
            <w:r w:rsidRPr="007D269C">
              <w:rPr>
                <w:rFonts w:ascii="Arial" w:hAnsi="Arial" w:cs="Arial"/>
                <w:sz w:val="20"/>
                <w:szCs w:val="20"/>
              </w:rPr>
              <w:br/>
              <w:t>(</w:t>
            </w:r>
            <w:r w:rsidR="00236FB8" w:rsidRPr="007D269C">
              <w:rPr>
                <w:rFonts w:ascii="Arial" w:hAnsi="Arial" w:cs="Arial"/>
                <w:sz w:val="20"/>
                <w:szCs w:val="20"/>
              </w:rPr>
              <w:t>efficacy has been shown</w:t>
            </w:r>
            <w:r w:rsidRPr="007D269C">
              <w:rPr>
                <w:rFonts w:ascii="Arial" w:hAnsi="Arial" w:cs="Arial"/>
                <w:sz w:val="20"/>
                <w:szCs w:val="20"/>
              </w:rPr>
              <w:br/>
            </w:r>
            <w:r w:rsidR="00236FB8" w:rsidRPr="007D269C">
              <w:rPr>
                <w:rFonts w:ascii="Arial" w:hAnsi="Arial" w:cs="Arial"/>
                <w:sz w:val="20"/>
                <w:szCs w:val="20"/>
              </w:rPr>
              <w:t>in IPAH and PAH-CTD</w:t>
            </w:r>
            <w:r w:rsidRPr="007D269C">
              <w:rPr>
                <w:rFonts w:ascii="Arial" w:hAnsi="Arial" w:cs="Arial"/>
                <w:sz w:val="20"/>
                <w:szCs w:val="20"/>
              </w:rPr>
              <w:t>)</w:t>
            </w:r>
          </w:p>
        </w:tc>
        <w:tc>
          <w:tcPr>
            <w:tcW w:w="640" w:type="pct"/>
            <w:vAlign w:val="center"/>
          </w:tcPr>
          <w:p w14:paraId="2AEF9136" w14:textId="77777777" w:rsidR="00236FB8" w:rsidRPr="007D269C" w:rsidRDefault="00236FB8" w:rsidP="007D269C">
            <w:pPr>
              <w:spacing w:beforeLines="20" w:before="48" w:afterLines="20" w:after="48" w:line="240" w:lineRule="auto"/>
              <w:rPr>
                <w:rFonts w:ascii="Arial" w:hAnsi="Arial" w:cs="Arial"/>
                <w:b/>
                <w:caps/>
                <w:color w:val="000000"/>
                <w:spacing w:val="5"/>
                <w:kern w:val="28"/>
                <w:sz w:val="20"/>
                <w:szCs w:val="20"/>
                <w:lang w:val="en-US"/>
              </w:rPr>
            </w:pPr>
            <w:r w:rsidRPr="007D269C">
              <w:rPr>
                <w:rFonts w:ascii="Arial" w:hAnsi="Arial" w:cs="Arial"/>
                <w:sz w:val="20"/>
                <w:szCs w:val="20"/>
              </w:rPr>
              <w:t>II,III</w:t>
            </w:r>
          </w:p>
        </w:tc>
        <w:tc>
          <w:tcPr>
            <w:tcW w:w="1759" w:type="pct"/>
            <w:vAlign w:val="center"/>
          </w:tcPr>
          <w:p w14:paraId="43A29AC9"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 xml:space="preserve">Concomitant use of riociguat with </w:t>
            </w:r>
            <w:r w:rsidR="00AF191D" w:rsidRPr="007D269C">
              <w:rPr>
                <w:rFonts w:ascii="Arial" w:hAnsi="Arial" w:cs="Arial"/>
                <w:sz w:val="20"/>
                <w:szCs w:val="20"/>
              </w:rPr>
              <w:t>PDE</w:t>
            </w:r>
            <w:r w:rsidR="00AF191D" w:rsidRPr="007D269C">
              <w:rPr>
                <w:rFonts w:ascii="Arial" w:hAnsi="Arial" w:cs="Arial"/>
                <w:sz w:val="20"/>
                <w:szCs w:val="20"/>
              </w:rPr>
              <w:noBreakHyphen/>
              <w:t>5</w:t>
            </w:r>
            <w:r w:rsidRPr="007D269C">
              <w:rPr>
                <w:rFonts w:ascii="Arial" w:hAnsi="Arial" w:cs="Arial"/>
                <w:sz w:val="20"/>
                <w:szCs w:val="20"/>
              </w:rPr>
              <w:t xml:space="preserve"> inhibitors is contraindicated. Efficacy of sildenafil </w:t>
            </w:r>
            <w:proofErr w:type="gramStart"/>
            <w:r w:rsidRPr="007D269C">
              <w:rPr>
                <w:rFonts w:ascii="Arial" w:hAnsi="Arial" w:cs="Arial"/>
                <w:sz w:val="20"/>
                <w:szCs w:val="20"/>
              </w:rPr>
              <w:t>has not been evaluated</w:t>
            </w:r>
            <w:proofErr w:type="gramEnd"/>
            <w:r w:rsidRPr="007D269C">
              <w:rPr>
                <w:rFonts w:ascii="Arial" w:hAnsi="Arial" w:cs="Arial"/>
                <w:sz w:val="20"/>
                <w:szCs w:val="20"/>
              </w:rPr>
              <w:t xml:space="preserve"> in patients currently on bosentan.</w:t>
            </w:r>
          </w:p>
        </w:tc>
        <w:tc>
          <w:tcPr>
            <w:tcW w:w="1013" w:type="pct"/>
            <w:vAlign w:val="center"/>
          </w:tcPr>
          <w:p w14:paraId="5018E683"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No</w:t>
            </w:r>
          </w:p>
        </w:tc>
      </w:tr>
      <w:tr w:rsidR="00236FB8" w:rsidRPr="00F44148" w14:paraId="485D8015" w14:textId="77777777" w:rsidTr="007D269C">
        <w:tc>
          <w:tcPr>
            <w:tcW w:w="526" w:type="pct"/>
            <w:vAlign w:val="center"/>
          </w:tcPr>
          <w:p w14:paraId="28F961F4"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Tadalafil</w:t>
            </w:r>
          </w:p>
        </w:tc>
        <w:tc>
          <w:tcPr>
            <w:tcW w:w="1062" w:type="pct"/>
            <w:vAlign w:val="center"/>
          </w:tcPr>
          <w:p w14:paraId="022F8624" w14:textId="77777777" w:rsidR="00236FB8" w:rsidRPr="007D269C" w:rsidRDefault="00B833FE" w:rsidP="007D269C">
            <w:pPr>
              <w:spacing w:beforeLines="20" w:before="48" w:afterLines="20" w:after="48" w:line="240" w:lineRule="auto"/>
              <w:rPr>
                <w:rFonts w:ascii="Arial" w:hAnsi="Arial" w:cs="Arial"/>
                <w:b/>
                <w:caps/>
                <w:color w:val="000000"/>
                <w:spacing w:val="5"/>
                <w:kern w:val="28"/>
                <w:sz w:val="20"/>
                <w:szCs w:val="20"/>
                <w:lang w:val="en-US"/>
              </w:rPr>
            </w:pPr>
            <w:r w:rsidRPr="007D269C">
              <w:rPr>
                <w:rFonts w:ascii="Arial" w:hAnsi="Arial" w:cs="Arial"/>
                <w:sz w:val="20"/>
                <w:szCs w:val="20"/>
              </w:rPr>
              <w:t>PAH</w:t>
            </w:r>
            <w:r w:rsidRPr="007D269C">
              <w:rPr>
                <w:rFonts w:ascii="Arial" w:hAnsi="Arial" w:cs="Arial"/>
                <w:sz w:val="20"/>
                <w:szCs w:val="20"/>
              </w:rPr>
              <w:br/>
              <w:t>(</w:t>
            </w:r>
            <w:r w:rsidR="00236FB8" w:rsidRPr="007D269C">
              <w:rPr>
                <w:rFonts w:ascii="Arial" w:hAnsi="Arial" w:cs="Arial"/>
                <w:sz w:val="20"/>
                <w:szCs w:val="20"/>
              </w:rPr>
              <w:t xml:space="preserve">efficacy has been shown </w:t>
            </w:r>
            <w:r w:rsidRPr="007D269C">
              <w:rPr>
                <w:rFonts w:ascii="Arial" w:hAnsi="Arial" w:cs="Arial"/>
                <w:sz w:val="20"/>
                <w:szCs w:val="20"/>
              </w:rPr>
              <w:br/>
            </w:r>
            <w:r w:rsidR="00236FB8" w:rsidRPr="007D269C">
              <w:rPr>
                <w:rFonts w:ascii="Arial" w:hAnsi="Arial" w:cs="Arial"/>
                <w:sz w:val="20"/>
                <w:szCs w:val="20"/>
              </w:rPr>
              <w:t>in IPAH and PAH-CTD</w:t>
            </w:r>
            <w:r w:rsidRPr="007D269C">
              <w:rPr>
                <w:rFonts w:ascii="Arial" w:hAnsi="Arial" w:cs="Arial"/>
                <w:sz w:val="20"/>
                <w:szCs w:val="20"/>
              </w:rPr>
              <w:t>)</w:t>
            </w:r>
          </w:p>
        </w:tc>
        <w:tc>
          <w:tcPr>
            <w:tcW w:w="640" w:type="pct"/>
            <w:vAlign w:val="center"/>
          </w:tcPr>
          <w:p w14:paraId="7439C4E7" w14:textId="77777777" w:rsidR="00236FB8" w:rsidRPr="007D269C" w:rsidRDefault="00236FB8" w:rsidP="007D269C">
            <w:pPr>
              <w:spacing w:beforeLines="20" w:before="48" w:afterLines="20" w:after="48" w:line="240" w:lineRule="auto"/>
              <w:rPr>
                <w:rFonts w:ascii="Arial" w:hAnsi="Arial" w:cs="Arial"/>
                <w:b/>
                <w:caps/>
                <w:color w:val="000000"/>
                <w:spacing w:val="5"/>
                <w:kern w:val="28"/>
                <w:sz w:val="20"/>
                <w:szCs w:val="20"/>
                <w:lang w:val="en-US"/>
              </w:rPr>
            </w:pPr>
            <w:r w:rsidRPr="007D269C">
              <w:rPr>
                <w:rFonts w:ascii="Arial" w:hAnsi="Arial" w:cs="Arial"/>
                <w:sz w:val="20"/>
                <w:szCs w:val="20"/>
              </w:rPr>
              <w:t>II,III</w:t>
            </w:r>
          </w:p>
        </w:tc>
        <w:tc>
          <w:tcPr>
            <w:tcW w:w="1759" w:type="pct"/>
            <w:vAlign w:val="center"/>
          </w:tcPr>
          <w:p w14:paraId="6743CA1A"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 xml:space="preserve">Concomitant use of riociguat with </w:t>
            </w:r>
            <w:r w:rsidR="00AF191D" w:rsidRPr="007D269C">
              <w:rPr>
                <w:rFonts w:ascii="Arial" w:hAnsi="Arial" w:cs="Arial"/>
                <w:sz w:val="20"/>
                <w:szCs w:val="20"/>
              </w:rPr>
              <w:t>PDE</w:t>
            </w:r>
            <w:r w:rsidR="00AF191D" w:rsidRPr="007D269C">
              <w:rPr>
                <w:rFonts w:ascii="Arial" w:hAnsi="Arial" w:cs="Arial"/>
                <w:sz w:val="20"/>
                <w:szCs w:val="20"/>
              </w:rPr>
              <w:noBreakHyphen/>
              <w:t>5</w:t>
            </w:r>
            <w:r w:rsidRPr="007D269C">
              <w:rPr>
                <w:rFonts w:ascii="Arial" w:hAnsi="Arial" w:cs="Arial"/>
                <w:sz w:val="20"/>
                <w:szCs w:val="20"/>
              </w:rPr>
              <w:t xml:space="preserve"> inhibitors is contraindicated</w:t>
            </w:r>
          </w:p>
        </w:tc>
        <w:tc>
          <w:tcPr>
            <w:tcW w:w="1013" w:type="pct"/>
            <w:vAlign w:val="center"/>
          </w:tcPr>
          <w:p w14:paraId="2EAD45DA"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No</w:t>
            </w:r>
          </w:p>
        </w:tc>
      </w:tr>
      <w:tr w:rsidR="00236FB8" w:rsidRPr="00054B90" w14:paraId="06CB11DF" w14:textId="77777777" w:rsidTr="007D269C">
        <w:tc>
          <w:tcPr>
            <w:tcW w:w="526" w:type="pct"/>
            <w:vAlign w:val="center"/>
          </w:tcPr>
          <w:p w14:paraId="46076ED5"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 xml:space="preserve">Riociguat </w:t>
            </w:r>
          </w:p>
        </w:tc>
        <w:tc>
          <w:tcPr>
            <w:tcW w:w="1062" w:type="pct"/>
            <w:vAlign w:val="center"/>
          </w:tcPr>
          <w:p w14:paraId="2633CCFA"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IPAH, HPAH, PAH-CTD or PAH-CHD</w:t>
            </w:r>
          </w:p>
        </w:tc>
        <w:tc>
          <w:tcPr>
            <w:tcW w:w="640" w:type="pct"/>
            <w:vAlign w:val="center"/>
          </w:tcPr>
          <w:p w14:paraId="2C4B665E"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II,III, IV</w:t>
            </w:r>
          </w:p>
        </w:tc>
        <w:tc>
          <w:tcPr>
            <w:tcW w:w="1759" w:type="pct"/>
            <w:vAlign w:val="center"/>
          </w:tcPr>
          <w:p w14:paraId="63A2EBEE" w14:textId="77777777" w:rsidR="00236FB8" w:rsidRPr="007D269C" w:rsidRDefault="00A9100A" w:rsidP="007D269C">
            <w:pPr>
              <w:spacing w:beforeLines="20" w:before="48" w:afterLines="20" w:after="48" w:line="240" w:lineRule="auto"/>
              <w:rPr>
                <w:rFonts w:ascii="Arial" w:hAnsi="Arial" w:cs="Arial"/>
                <w:sz w:val="20"/>
                <w:szCs w:val="20"/>
              </w:rPr>
            </w:pPr>
            <w:r w:rsidRPr="007D269C">
              <w:rPr>
                <w:rFonts w:ascii="Arial" w:hAnsi="Arial" w:cs="Arial"/>
                <w:sz w:val="20"/>
                <w:szCs w:val="20"/>
              </w:rPr>
              <w:t>Yes</w:t>
            </w:r>
            <w:r w:rsidR="00236FB8" w:rsidRPr="007D269C">
              <w:rPr>
                <w:rFonts w:ascii="Arial" w:hAnsi="Arial" w:cs="Arial"/>
                <w:sz w:val="20"/>
                <w:szCs w:val="20"/>
              </w:rPr>
              <w:t xml:space="preserve">, approved PAH treatments (ERAs or prostanoids). Concomitant use of riociguat with </w:t>
            </w:r>
            <w:r w:rsidR="00AF191D" w:rsidRPr="007D269C">
              <w:rPr>
                <w:rFonts w:ascii="Arial" w:hAnsi="Arial" w:cs="Arial"/>
                <w:sz w:val="20"/>
                <w:szCs w:val="20"/>
              </w:rPr>
              <w:t>PDE</w:t>
            </w:r>
            <w:r w:rsidR="00AF191D" w:rsidRPr="007D269C">
              <w:rPr>
                <w:rFonts w:ascii="Arial" w:hAnsi="Arial" w:cs="Arial"/>
                <w:sz w:val="20"/>
                <w:szCs w:val="20"/>
              </w:rPr>
              <w:noBreakHyphen/>
              <w:t>5</w:t>
            </w:r>
            <w:r w:rsidR="00B835D2">
              <w:rPr>
                <w:rFonts w:ascii="Arial" w:hAnsi="Arial" w:cs="Arial"/>
                <w:sz w:val="20"/>
                <w:szCs w:val="20"/>
              </w:rPr>
              <w:t xml:space="preserve"> inhibitors is contraindicated</w:t>
            </w:r>
          </w:p>
        </w:tc>
        <w:tc>
          <w:tcPr>
            <w:tcW w:w="1013" w:type="pct"/>
            <w:vAlign w:val="center"/>
          </w:tcPr>
          <w:p w14:paraId="7C41E3BF"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No</w:t>
            </w:r>
          </w:p>
        </w:tc>
      </w:tr>
      <w:tr w:rsidR="00236FB8" w:rsidRPr="00F44148" w14:paraId="1E5AA343" w14:textId="77777777" w:rsidTr="007D269C">
        <w:tc>
          <w:tcPr>
            <w:tcW w:w="526" w:type="pct"/>
            <w:vAlign w:val="center"/>
          </w:tcPr>
          <w:p w14:paraId="377958AD"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Iloprost</w:t>
            </w:r>
          </w:p>
        </w:tc>
        <w:tc>
          <w:tcPr>
            <w:tcW w:w="1062" w:type="pct"/>
            <w:vAlign w:val="center"/>
          </w:tcPr>
          <w:p w14:paraId="454BB552" w14:textId="77777777" w:rsidR="00236FB8" w:rsidRPr="007D269C" w:rsidRDefault="00236FB8" w:rsidP="007D269C">
            <w:pPr>
              <w:pStyle w:val="TableText"/>
              <w:spacing w:beforeLines="20" w:before="48" w:afterLines="20" w:after="48"/>
              <w:rPr>
                <w:rFonts w:ascii="Arial" w:hAnsi="Arial"/>
                <w:b/>
                <w:caps/>
                <w:color w:val="000000"/>
                <w:spacing w:val="5"/>
                <w:kern w:val="28"/>
                <w:szCs w:val="20"/>
                <w:lang w:val="en-US"/>
              </w:rPr>
            </w:pPr>
            <w:r w:rsidRPr="007D269C">
              <w:rPr>
                <w:rFonts w:ascii="Arial" w:hAnsi="Arial"/>
                <w:szCs w:val="20"/>
              </w:rPr>
              <w:t>IPAH, PAH</w:t>
            </w:r>
            <w:r w:rsidR="00B833FE" w:rsidRPr="007D269C">
              <w:rPr>
                <w:rFonts w:ascii="Arial" w:hAnsi="Arial"/>
                <w:szCs w:val="20"/>
              </w:rPr>
              <w:t>-DT</w:t>
            </w:r>
            <w:r w:rsidRPr="007D269C">
              <w:rPr>
                <w:rFonts w:ascii="Arial" w:hAnsi="Arial"/>
                <w:szCs w:val="20"/>
              </w:rPr>
              <w:t>, PAH-CTD</w:t>
            </w:r>
          </w:p>
        </w:tc>
        <w:tc>
          <w:tcPr>
            <w:tcW w:w="640" w:type="pct"/>
            <w:vAlign w:val="center"/>
          </w:tcPr>
          <w:p w14:paraId="0477E7C7" w14:textId="77777777" w:rsidR="00236FB8" w:rsidRPr="007D269C" w:rsidRDefault="00236FB8" w:rsidP="007D269C">
            <w:pPr>
              <w:pStyle w:val="TableText"/>
              <w:spacing w:beforeLines="20" w:before="48" w:afterLines="20" w:after="48"/>
              <w:rPr>
                <w:rFonts w:ascii="Arial" w:hAnsi="Arial"/>
                <w:b/>
                <w:caps/>
                <w:color w:val="000000"/>
                <w:spacing w:val="5"/>
                <w:kern w:val="28"/>
                <w:szCs w:val="20"/>
                <w:lang w:val="en-US"/>
              </w:rPr>
            </w:pPr>
            <w:r w:rsidRPr="007D269C">
              <w:rPr>
                <w:rFonts w:ascii="Arial" w:hAnsi="Arial"/>
                <w:szCs w:val="20"/>
              </w:rPr>
              <w:t>Moderate or severe stage</w:t>
            </w:r>
          </w:p>
        </w:tc>
        <w:tc>
          <w:tcPr>
            <w:tcW w:w="1759" w:type="pct"/>
            <w:vAlign w:val="center"/>
          </w:tcPr>
          <w:p w14:paraId="070380BB" w14:textId="77777777" w:rsidR="00236FB8" w:rsidRPr="007D269C" w:rsidRDefault="00236FB8" w:rsidP="007D269C">
            <w:pPr>
              <w:pStyle w:val="TableText"/>
              <w:spacing w:beforeLines="20" w:before="48" w:afterLines="20" w:after="48"/>
              <w:rPr>
                <w:rFonts w:ascii="Arial" w:hAnsi="Arial"/>
                <w:szCs w:val="20"/>
              </w:rPr>
            </w:pPr>
            <w:r w:rsidRPr="007D269C">
              <w:rPr>
                <w:rFonts w:ascii="Arial" w:hAnsi="Arial"/>
                <w:szCs w:val="20"/>
              </w:rPr>
              <w:t>Not mentioned</w:t>
            </w:r>
          </w:p>
        </w:tc>
        <w:tc>
          <w:tcPr>
            <w:tcW w:w="1013" w:type="pct"/>
            <w:vAlign w:val="center"/>
          </w:tcPr>
          <w:p w14:paraId="2C6E4BB1"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No</w:t>
            </w:r>
          </w:p>
        </w:tc>
      </w:tr>
      <w:tr w:rsidR="00236FB8" w:rsidRPr="00F44148" w14:paraId="13231B42" w14:textId="77777777" w:rsidTr="007D269C">
        <w:tc>
          <w:tcPr>
            <w:tcW w:w="526" w:type="pct"/>
            <w:vAlign w:val="center"/>
          </w:tcPr>
          <w:p w14:paraId="163612A4"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Epoprostenol</w:t>
            </w:r>
          </w:p>
        </w:tc>
        <w:tc>
          <w:tcPr>
            <w:tcW w:w="1062" w:type="pct"/>
            <w:vAlign w:val="center"/>
          </w:tcPr>
          <w:p w14:paraId="3375D421" w14:textId="77777777" w:rsidR="00236FB8" w:rsidRPr="007D269C" w:rsidRDefault="00236FB8" w:rsidP="007D269C">
            <w:pPr>
              <w:pStyle w:val="TableText"/>
              <w:spacing w:beforeLines="20" w:before="48" w:afterLines="20" w:after="48"/>
              <w:rPr>
                <w:rFonts w:ascii="Arial" w:hAnsi="Arial"/>
                <w:b/>
                <w:caps/>
                <w:color w:val="000000"/>
                <w:spacing w:val="5"/>
                <w:kern w:val="28"/>
                <w:szCs w:val="20"/>
                <w:lang w:val="en-US"/>
              </w:rPr>
            </w:pPr>
            <w:r w:rsidRPr="007D269C">
              <w:rPr>
                <w:rFonts w:ascii="Arial" w:hAnsi="Arial"/>
                <w:szCs w:val="20"/>
              </w:rPr>
              <w:t>IPAH, HPAH, PAH-CTD</w:t>
            </w:r>
          </w:p>
        </w:tc>
        <w:tc>
          <w:tcPr>
            <w:tcW w:w="640" w:type="pct"/>
            <w:vAlign w:val="center"/>
          </w:tcPr>
          <w:p w14:paraId="4A57B275" w14:textId="77777777" w:rsidR="00236FB8" w:rsidRPr="007D269C" w:rsidRDefault="00B833FE" w:rsidP="007D269C">
            <w:pPr>
              <w:pStyle w:val="TableText"/>
              <w:spacing w:beforeLines="20" w:before="48" w:afterLines="20" w:after="48"/>
              <w:rPr>
                <w:rFonts w:ascii="Arial" w:hAnsi="Arial"/>
                <w:b/>
                <w:caps/>
                <w:color w:val="000000"/>
                <w:spacing w:val="5"/>
                <w:kern w:val="28"/>
                <w:szCs w:val="20"/>
                <w:lang w:val="en-US"/>
              </w:rPr>
            </w:pPr>
            <w:r w:rsidRPr="007D269C">
              <w:rPr>
                <w:rFonts w:ascii="Arial" w:hAnsi="Arial"/>
                <w:szCs w:val="20"/>
              </w:rPr>
              <w:t>III,</w:t>
            </w:r>
            <w:r w:rsidR="00236FB8" w:rsidRPr="007D269C">
              <w:rPr>
                <w:rFonts w:ascii="Arial" w:hAnsi="Arial"/>
                <w:szCs w:val="20"/>
              </w:rPr>
              <w:t>IV</w:t>
            </w:r>
          </w:p>
        </w:tc>
        <w:tc>
          <w:tcPr>
            <w:tcW w:w="1759" w:type="pct"/>
            <w:vAlign w:val="center"/>
          </w:tcPr>
          <w:p w14:paraId="2165FC63" w14:textId="77777777" w:rsidR="00236FB8" w:rsidRPr="007D269C" w:rsidRDefault="00236FB8" w:rsidP="007D269C">
            <w:pPr>
              <w:pStyle w:val="TableText"/>
              <w:spacing w:beforeLines="20" w:before="48" w:afterLines="20" w:after="48"/>
              <w:rPr>
                <w:rFonts w:ascii="Arial" w:hAnsi="Arial"/>
                <w:szCs w:val="20"/>
              </w:rPr>
            </w:pPr>
            <w:r w:rsidRPr="007D269C">
              <w:rPr>
                <w:rFonts w:ascii="Arial" w:hAnsi="Arial"/>
                <w:szCs w:val="20"/>
              </w:rPr>
              <w:t>Not mentioned</w:t>
            </w:r>
          </w:p>
        </w:tc>
        <w:tc>
          <w:tcPr>
            <w:tcW w:w="1013" w:type="pct"/>
            <w:vAlign w:val="center"/>
          </w:tcPr>
          <w:p w14:paraId="6090192F" w14:textId="77777777" w:rsidR="00236FB8" w:rsidRPr="007D269C" w:rsidRDefault="00236FB8" w:rsidP="007D269C">
            <w:pPr>
              <w:spacing w:beforeLines="20" w:before="48" w:afterLines="20" w:after="48" w:line="240" w:lineRule="auto"/>
              <w:rPr>
                <w:rFonts w:ascii="Arial" w:hAnsi="Arial" w:cs="Arial"/>
                <w:sz w:val="20"/>
                <w:szCs w:val="20"/>
              </w:rPr>
            </w:pPr>
            <w:r w:rsidRPr="007D269C">
              <w:rPr>
                <w:rFonts w:ascii="Arial" w:hAnsi="Arial" w:cs="Arial"/>
                <w:sz w:val="20"/>
                <w:szCs w:val="20"/>
              </w:rPr>
              <w:t>No</w:t>
            </w:r>
          </w:p>
        </w:tc>
      </w:tr>
      <w:tr w:rsidR="00236FB8" w:rsidRPr="00383A9C" w14:paraId="36EF94E8" w14:textId="77777777" w:rsidTr="007D269C">
        <w:tc>
          <w:tcPr>
            <w:tcW w:w="526" w:type="pct"/>
            <w:vAlign w:val="center"/>
          </w:tcPr>
          <w:p w14:paraId="44D97E21" w14:textId="77777777" w:rsidR="00236FB8" w:rsidRPr="007D269C" w:rsidRDefault="00236FB8" w:rsidP="007D269C">
            <w:pPr>
              <w:spacing w:beforeLines="20" w:before="48" w:afterLines="20" w:after="48" w:line="240" w:lineRule="auto"/>
              <w:rPr>
                <w:rFonts w:ascii="Arial" w:hAnsi="Arial" w:cs="Arial"/>
                <w:i/>
                <w:color w:val="808080" w:themeColor="background1" w:themeShade="80"/>
                <w:sz w:val="20"/>
                <w:szCs w:val="20"/>
              </w:rPr>
            </w:pPr>
            <w:r w:rsidRPr="007D269C">
              <w:rPr>
                <w:rFonts w:ascii="Arial" w:hAnsi="Arial" w:cs="Arial"/>
                <w:i/>
                <w:color w:val="808080" w:themeColor="background1" w:themeShade="80"/>
                <w:sz w:val="20"/>
                <w:szCs w:val="20"/>
              </w:rPr>
              <w:t>Selexipag</w:t>
            </w:r>
          </w:p>
        </w:tc>
        <w:tc>
          <w:tcPr>
            <w:tcW w:w="1062" w:type="pct"/>
            <w:vAlign w:val="center"/>
          </w:tcPr>
          <w:p w14:paraId="66C898F2" w14:textId="77777777" w:rsidR="00236FB8" w:rsidRPr="007D269C" w:rsidRDefault="007D269C" w:rsidP="007D269C">
            <w:pPr>
              <w:spacing w:beforeLines="20" w:before="48" w:afterLines="20" w:after="48" w:line="240" w:lineRule="auto"/>
              <w:rPr>
                <w:rFonts w:ascii="Arial" w:hAnsi="Arial" w:cs="Arial"/>
                <w:i/>
                <w:color w:val="808080" w:themeColor="background1" w:themeShade="80"/>
                <w:sz w:val="20"/>
                <w:szCs w:val="20"/>
              </w:rPr>
            </w:pPr>
            <w:r>
              <w:rPr>
                <w:rFonts w:ascii="Arial" w:hAnsi="Arial" w:cs="Arial"/>
                <w:i/>
                <w:color w:val="808080" w:themeColor="background1" w:themeShade="80"/>
                <w:sz w:val="20"/>
                <w:szCs w:val="20"/>
              </w:rPr>
              <w:t xml:space="preserve">IPAH, HPAH, PAH-CTD or PAH-CHD, </w:t>
            </w:r>
            <w:r w:rsidR="00236FB8" w:rsidRPr="007D269C">
              <w:rPr>
                <w:rFonts w:ascii="Arial" w:hAnsi="Arial" w:cs="Arial"/>
                <w:i/>
                <w:color w:val="808080" w:themeColor="background1" w:themeShade="80"/>
                <w:sz w:val="20"/>
                <w:szCs w:val="20"/>
              </w:rPr>
              <w:t>PAH-DT</w:t>
            </w:r>
          </w:p>
        </w:tc>
        <w:tc>
          <w:tcPr>
            <w:tcW w:w="640" w:type="pct"/>
            <w:vAlign w:val="center"/>
          </w:tcPr>
          <w:p w14:paraId="38A05767" w14:textId="77777777" w:rsidR="00236FB8" w:rsidRPr="007D269C" w:rsidRDefault="00236FB8" w:rsidP="007D269C">
            <w:pPr>
              <w:pStyle w:val="TableText"/>
              <w:spacing w:beforeLines="20" w:before="48" w:afterLines="20" w:after="48"/>
              <w:rPr>
                <w:rFonts w:ascii="Arial" w:hAnsi="Arial"/>
                <w:i/>
                <w:color w:val="808080" w:themeColor="background1" w:themeShade="80"/>
                <w:szCs w:val="20"/>
              </w:rPr>
            </w:pPr>
            <w:r w:rsidRPr="007D269C">
              <w:rPr>
                <w:rFonts w:ascii="Arial" w:hAnsi="Arial"/>
                <w:i/>
                <w:color w:val="808080" w:themeColor="background1" w:themeShade="80"/>
                <w:szCs w:val="20"/>
              </w:rPr>
              <w:t>II,III, IV</w:t>
            </w:r>
          </w:p>
        </w:tc>
        <w:tc>
          <w:tcPr>
            <w:tcW w:w="1759" w:type="pct"/>
            <w:vAlign w:val="center"/>
          </w:tcPr>
          <w:p w14:paraId="7A45DBF0" w14:textId="77777777" w:rsidR="00236FB8" w:rsidRPr="007D269C" w:rsidRDefault="00A9100A" w:rsidP="007D269C">
            <w:pPr>
              <w:pStyle w:val="TableText"/>
              <w:spacing w:beforeLines="20" w:before="48" w:afterLines="20" w:after="48"/>
              <w:rPr>
                <w:rFonts w:ascii="Arial" w:hAnsi="Arial"/>
                <w:i/>
                <w:color w:val="808080" w:themeColor="background1" w:themeShade="80"/>
                <w:szCs w:val="20"/>
              </w:rPr>
            </w:pPr>
            <w:r w:rsidRPr="007D269C">
              <w:rPr>
                <w:rFonts w:ascii="Arial" w:hAnsi="Arial"/>
                <w:i/>
                <w:color w:val="808080" w:themeColor="background1" w:themeShade="80"/>
                <w:szCs w:val="20"/>
              </w:rPr>
              <w:t>Yes</w:t>
            </w:r>
            <w:r w:rsidR="00236FB8" w:rsidRPr="007D269C">
              <w:rPr>
                <w:rFonts w:ascii="Arial" w:hAnsi="Arial"/>
                <w:i/>
                <w:color w:val="808080" w:themeColor="background1" w:themeShade="80"/>
                <w:szCs w:val="20"/>
              </w:rPr>
              <w:t>, patients insufficiently controlled with an ERA and/or a PDE</w:t>
            </w:r>
            <w:r w:rsidR="00546064">
              <w:rPr>
                <w:rFonts w:ascii="Arial" w:hAnsi="Arial"/>
                <w:i/>
                <w:color w:val="808080" w:themeColor="background1" w:themeShade="80"/>
                <w:szCs w:val="20"/>
              </w:rPr>
              <w:t>-</w:t>
            </w:r>
            <w:r w:rsidR="00236FB8" w:rsidRPr="007D269C">
              <w:rPr>
                <w:rFonts w:ascii="Arial" w:hAnsi="Arial"/>
                <w:i/>
                <w:color w:val="808080" w:themeColor="background1" w:themeShade="80"/>
                <w:szCs w:val="20"/>
              </w:rPr>
              <w:t>5 inhibitor</w:t>
            </w:r>
          </w:p>
        </w:tc>
        <w:tc>
          <w:tcPr>
            <w:tcW w:w="1013" w:type="pct"/>
            <w:vAlign w:val="center"/>
          </w:tcPr>
          <w:p w14:paraId="65137800" w14:textId="77777777" w:rsidR="00236FB8" w:rsidRPr="007D269C" w:rsidRDefault="00236FB8" w:rsidP="007D269C">
            <w:pPr>
              <w:pStyle w:val="TableText"/>
              <w:spacing w:beforeLines="20" w:before="48" w:afterLines="20" w:after="48"/>
              <w:rPr>
                <w:rFonts w:ascii="Arial" w:hAnsi="Arial"/>
                <w:i/>
                <w:color w:val="808080" w:themeColor="background1" w:themeShade="80"/>
                <w:szCs w:val="20"/>
              </w:rPr>
            </w:pPr>
            <w:r w:rsidRPr="007D269C">
              <w:rPr>
                <w:rFonts w:ascii="Arial" w:hAnsi="Arial"/>
                <w:i/>
                <w:color w:val="808080" w:themeColor="background1" w:themeShade="80"/>
                <w:szCs w:val="20"/>
              </w:rPr>
              <w:t>No</w:t>
            </w:r>
          </w:p>
        </w:tc>
      </w:tr>
    </w:tbl>
    <w:p w14:paraId="20305A41" w14:textId="77777777" w:rsidR="00236FB8" w:rsidRPr="006D2683" w:rsidRDefault="00236FB8" w:rsidP="00121658">
      <w:pPr>
        <w:pStyle w:val="tabletext1"/>
        <w:rPr>
          <w:rFonts w:ascii="Arial" w:hAnsi="Arial"/>
          <w:sz w:val="16"/>
          <w:szCs w:val="16"/>
        </w:rPr>
      </w:pPr>
      <w:r w:rsidRPr="006D2683">
        <w:rPr>
          <w:rFonts w:ascii="Arial" w:hAnsi="Arial"/>
          <w:sz w:val="16"/>
          <w:szCs w:val="16"/>
        </w:rPr>
        <w:lastRenderedPageBreak/>
        <w:t xml:space="preserve">ERA = endothelin receptor antagonist; FC = Functional Class; HPAH = heritable pulmonary arterial hypertension; IPAH = idiopathic pulmonary arterial hypertension; PAH = pulmonary arterial hypertension; PAH-CHD = pulmonary arterial hypertension associated with congenital heart disease; PAH-CTD = pulmonary arterial hypertension associated with connective tissue disease; PAH-DT = drug/toxin-induced pulmonary arterial hypertension; </w:t>
      </w:r>
      <w:r w:rsidR="00AF191D" w:rsidRPr="006D2683">
        <w:rPr>
          <w:rFonts w:ascii="Arial" w:hAnsi="Arial"/>
          <w:sz w:val="16"/>
          <w:szCs w:val="16"/>
        </w:rPr>
        <w:t>PDE</w:t>
      </w:r>
      <w:r w:rsidR="00AF191D" w:rsidRPr="006D2683">
        <w:rPr>
          <w:rFonts w:ascii="Arial" w:hAnsi="Arial"/>
          <w:sz w:val="16"/>
          <w:szCs w:val="16"/>
        </w:rPr>
        <w:noBreakHyphen/>
        <w:t>5</w:t>
      </w:r>
      <w:r w:rsidRPr="006D2683">
        <w:rPr>
          <w:rFonts w:ascii="Arial" w:hAnsi="Arial"/>
          <w:sz w:val="16"/>
          <w:szCs w:val="16"/>
        </w:rPr>
        <w:t xml:space="preserve"> = phosphodiesterase type 5; </w:t>
      </w:r>
    </w:p>
    <w:p w14:paraId="7A033E82" w14:textId="77777777" w:rsidR="00236FB8" w:rsidRPr="006D2683" w:rsidRDefault="00236FB8" w:rsidP="00121658">
      <w:pPr>
        <w:pStyle w:val="tabletext1"/>
        <w:rPr>
          <w:rFonts w:ascii="Arial" w:hAnsi="Arial"/>
          <w:sz w:val="16"/>
          <w:szCs w:val="16"/>
        </w:rPr>
      </w:pPr>
      <w:r w:rsidRPr="006D2683">
        <w:rPr>
          <w:rFonts w:ascii="Arial" w:hAnsi="Arial"/>
          <w:sz w:val="16"/>
          <w:szCs w:val="16"/>
        </w:rPr>
        <w:t xml:space="preserve">Note: selexipag (in grey) </w:t>
      </w:r>
      <w:proofErr w:type="gramStart"/>
      <w:r w:rsidRPr="006D2683">
        <w:rPr>
          <w:rFonts w:ascii="Arial" w:hAnsi="Arial"/>
          <w:sz w:val="16"/>
          <w:szCs w:val="16"/>
        </w:rPr>
        <w:t>is approved</w:t>
      </w:r>
      <w:proofErr w:type="gramEnd"/>
      <w:r w:rsidRPr="006D2683">
        <w:rPr>
          <w:rFonts w:ascii="Arial" w:hAnsi="Arial"/>
          <w:sz w:val="16"/>
          <w:szCs w:val="16"/>
        </w:rPr>
        <w:t xml:space="preserve"> but not PBS listed and is not in scope for this Post-Market Review</w:t>
      </w:r>
      <w:r w:rsidR="00C6734D" w:rsidRPr="006D2683">
        <w:rPr>
          <w:rFonts w:ascii="Arial" w:hAnsi="Arial"/>
          <w:sz w:val="16"/>
          <w:szCs w:val="16"/>
        </w:rPr>
        <w:t xml:space="preserve">. </w:t>
      </w:r>
    </w:p>
    <w:p w14:paraId="69820BB1" w14:textId="77777777" w:rsidR="00236FB8" w:rsidRPr="006D2683" w:rsidRDefault="00236FB8" w:rsidP="00121658">
      <w:pPr>
        <w:pStyle w:val="tabletext1"/>
        <w:rPr>
          <w:rFonts w:ascii="Arial" w:hAnsi="Arial"/>
          <w:sz w:val="16"/>
          <w:szCs w:val="16"/>
        </w:rPr>
      </w:pPr>
      <w:r w:rsidRPr="006D2683">
        <w:rPr>
          <w:rFonts w:ascii="Arial" w:hAnsi="Arial"/>
          <w:sz w:val="16"/>
          <w:szCs w:val="16"/>
        </w:rPr>
        <w:t>Source: Relevant product information documents</w:t>
      </w:r>
    </w:p>
    <w:p w14:paraId="3D0778EA" w14:textId="77777777" w:rsidR="00236FB8" w:rsidRDefault="00236FB8" w:rsidP="00121658">
      <w:pPr>
        <w:pStyle w:val="tabletext1"/>
        <w:keepNext w:val="0"/>
      </w:pPr>
    </w:p>
    <w:p w14:paraId="62B68D43" w14:textId="77777777" w:rsidR="00236FB8" w:rsidRDefault="00F75B8B" w:rsidP="00F75B8B">
      <w:pPr>
        <w:pStyle w:val="Caption"/>
      </w:pPr>
      <w:bookmarkStart w:id="201" w:name="_Ref510795515"/>
      <w:bookmarkStart w:id="202" w:name="_Toc29377261"/>
      <w:bookmarkEnd w:id="200"/>
      <w:r>
        <w:t>Table 1.</w:t>
      </w:r>
      <w:r w:rsidR="00505D99">
        <w:rPr>
          <w:noProof/>
        </w:rPr>
        <w:t>15</w:t>
      </w:r>
      <w:bookmarkEnd w:id="201"/>
      <w:r>
        <w:rPr>
          <w:noProof/>
        </w:rPr>
        <w:tab/>
      </w:r>
      <w:r>
        <w:t>PAH medicines – TGA wording of registered indications</w:t>
      </w:r>
      <w:bookmarkEnd w:id="2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H medicines – TGA wording of registered indications"/>
      </w:tblPr>
      <w:tblGrid>
        <w:gridCol w:w="1395"/>
        <w:gridCol w:w="1157"/>
        <w:gridCol w:w="1759"/>
        <w:gridCol w:w="9637"/>
      </w:tblGrid>
      <w:tr w:rsidR="00236FB8" w:rsidRPr="00847CCD" w14:paraId="206EC7E6" w14:textId="77777777" w:rsidTr="006D2683">
        <w:trPr>
          <w:tblHeader/>
        </w:trPr>
        <w:tc>
          <w:tcPr>
            <w:tcW w:w="492" w:type="pct"/>
            <w:shd w:val="clear" w:color="auto" w:fill="BFBFBF" w:themeFill="background1" w:themeFillShade="BF"/>
          </w:tcPr>
          <w:p w14:paraId="10561E88" w14:textId="77777777" w:rsidR="00236FB8" w:rsidRPr="006D2683" w:rsidRDefault="00236FB8" w:rsidP="006D2683">
            <w:pPr>
              <w:spacing w:beforeLines="40" w:before="96" w:afterLines="40" w:after="96" w:line="240" w:lineRule="auto"/>
              <w:rPr>
                <w:rFonts w:ascii="Arial" w:hAnsi="Arial" w:cs="Arial"/>
                <w:b/>
                <w:caps/>
                <w:color w:val="000000"/>
                <w:spacing w:val="5"/>
                <w:kern w:val="28"/>
                <w:sz w:val="20"/>
                <w:szCs w:val="20"/>
                <w:lang w:val="en-US"/>
              </w:rPr>
            </w:pPr>
            <w:r w:rsidRPr="006D2683">
              <w:rPr>
                <w:rFonts w:ascii="Arial" w:hAnsi="Arial" w:cs="Arial"/>
                <w:b/>
                <w:sz w:val="20"/>
                <w:szCs w:val="20"/>
              </w:rPr>
              <w:t>Medicine</w:t>
            </w:r>
          </w:p>
        </w:tc>
        <w:tc>
          <w:tcPr>
            <w:tcW w:w="408" w:type="pct"/>
            <w:shd w:val="clear" w:color="auto" w:fill="BFBFBF" w:themeFill="background1" w:themeFillShade="BF"/>
          </w:tcPr>
          <w:p w14:paraId="52DDFD0E" w14:textId="77777777" w:rsidR="00236FB8" w:rsidRPr="006D2683" w:rsidRDefault="00236FB8" w:rsidP="006D2683">
            <w:pPr>
              <w:spacing w:beforeLines="40" w:before="96" w:afterLines="40" w:after="96" w:line="240" w:lineRule="auto"/>
              <w:rPr>
                <w:rFonts w:ascii="Arial" w:hAnsi="Arial" w:cs="Arial"/>
                <w:b/>
                <w:sz w:val="20"/>
                <w:szCs w:val="20"/>
              </w:rPr>
            </w:pPr>
            <w:r w:rsidRPr="006D2683">
              <w:rPr>
                <w:rFonts w:ascii="Arial" w:hAnsi="Arial" w:cs="Arial"/>
                <w:b/>
                <w:sz w:val="20"/>
                <w:szCs w:val="20"/>
              </w:rPr>
              <w:t>Brand</w:t>
            </w:r>
          </w:p>
        </w:tc>
        <w:tc>
          <w:tcPr>
            <w:tcW w:w="638" w:type="pct"/>
            <w:shd w:val="clear" w:color="auto" w:fill="BFBFBF" w:themeFill="background1" w:themeFillShade="BF"/>
          </w:tcPr>
          <w:p w14:paraId="2941DE06" w14:textId="77777777" w:rsidR="00236FB8" w:rsidRPr="006D2683" w:rsidRDefault="00236FB8" w:rsidP="006D2683">
            <w:pPr>
              <w:spacing w:beforeLines="40" w:before="96" w:afterLines="40" w:after="96" w:line="240" w:lineRule="auto"/>
              <w:rPr>
                <w:rFonts w:ascii="Arial" w:hAnsi="Arial" w:cs="Arial"/>
                <w:b/>
                <w:sz w:val="20"/>
                <w:szCs w:val="20"/>
              </w:rPr>
            </w:pPr>
            <w:r w:rsidRPr="006D2683">
              <w:rPr>
                <w:rFonts w:ascii="Arial" w:hAnsi="Arial" w:cs="Arial"/>
                <w:b/>
                <w:sz w:val="20"/>
                <w:szCs w:val="20"/>
              </w:rPr>
              <w:t>PI Version Date</w:t>
            </w:r>
          </w:p>
        </w:tc>
        <w:tc>
          <w:tcPr>
            <w:tcW w:w="3462" w:type="pct"/>
            <w:shd w:val="clear" w:color="auto" w:fill="BFBFBF" w:themeFill="background1" w:themeFillShade="BF"/>
            <w:vAlign w:val="center"/>
          </w:tcPr>
          <w:p w14:paraId="5EEF6126" w14:textId="77777777" w:rsidR="00236FB8" w:rsidRPr="006D2683" w:rsidRDefault="00236FB8" w:rsidP="00647D4E">
            <w:pPr>
              <w:spacing w:beforeLines="40" w:before="96" w:afterLines="40" w:after="96" w:line="240" w:lineRule="auto"/>
              <w:ind w:left="35"/>
              <w:rPr>
                <w:rFonts w:ascii="Arial" w:hAnsi="Arial" w:cs="Arial"/>
                <w:b/>
                <w:sz w:val="20"/>
                <w:szCs w:val="20"/>
              </w:rPr>
            </w:pPr>
            <w:r w:rsidRPr="006D2683">
              <w:rPr>
                <w:rFonts w:ascii="Arial" w:hAnsi="Arial" w:cs="Arial"/>
                <w:b/>
                <w:sz w:val="20"/>
                <w:szCs w:val="20"/>
              </w:rPr>
              <w:t>Registered Indications – extract from Product Information</w:t>
            </w:r>
          </w:p>
        </w:tc>
      </w:tr>
      <w:tr w:rsidR="00236FB8" w:rsidRPr="00847CCD" w14:paraId="5820424C" w14:textId="77777777" w:rsidTr="006D2683">
        <w:tc>
          <w:tcPr>
            <w:tcW w:w="492" w:type="pct"/>
            <w:shd w:val="clear" w:color="auto" w:fill="auto"/>
          </w:tcPr>
          <w:p w14:paraId="54F774E8" w14:textId="77777777" w:rsidR="00236FB8" w:rsidRPr="006D2683" w:rsidRDefault="00236FB8" w:rsidP="006D2683">
            <w:pPr>
              <w:spacing w:beforeLines="40" w:before="96" w:afterLines="40" w:after="96" w:line="240" w:lineRule="auto"/>
              <w:rPr>
                <w:rFonts w:ascii="Arial" w:hAnsi="Arial" w:cs="Arial"/>
                <w:sz w:val="20"/>
                <w:szCs w:val="20"/>
              </w:rPr>
            </w:pPr>
            <w:r w:rsidRPr="006D2683">
              <w:rPr>
                <w:rFonts w:ascii="Arial" w:hAnsi="Arial" w:cs="Arial"/>
                <w:sz w:val="20"/>
                <w:szCs w:val="20"/>
              </w:rPr>
              <w:t>Bosentan</w:t>
            </w:r>
          </w:p>
        </w:tc>
        <w:tc>
          <w:tcPr>
            <w:tcW w:w="408" w:type="pct"/>
          </w:tcPr>
          <w:p w14:paraId="344CC485" w14:textId="77777777" w:rsidR="00236FB8" w:rsidRPr="006D2683" w:rsidRDefault="00060C26" w:rsidP="006D2683">
            <w:pPr>
              <w:spacing w:beforeLines="40" w:before="96" w:afterLines="40" w:after="96" w:line="240" w:lineRule="auto"/>
              <w:rPr>
                <w:rFonts w:ascii="Arial" w:hAnsi="Arial" w:cs="Arial"/>
                <w:sz w:val="20"/>
                <w:szCs w:val="20"/>
              </w:rPr>
            </w:pPr>
            <w:proofErr w:type="spellStart"/>
            <w:r w:rsidRPr="006D2683">
              <w:rPr>
                <w:rFonts w:ascii="Arial" w:hAnsi="Arial" w:cs="Arial"/>
                <w:sz w:val="20"/>
                <w:szCs w:val="20"/>
              </w:rPr>
              <w:t>Tracleer</w:t>
            </w:r>
            <w:proofErr w:type="spellEnd"/>
            <w:r w:rsidR="00252749" w:rsidRPr="006D2683">
              <w:rPr>
                <w:rFonts w:ascii="Arial" w:hAnsi="Arial" w:cs="Arial"/>
                <w:sz w:val="20"/>
                <w:szCs w:val="20"/>
                <w:vertAlign w:val="superscript"/>
              </w:rPr>
              <w:t>®</w:t>
            </w:r>
          </w:p>
        </w:tc>
        <w:tc>
          <w:tcPr>
            <w:tcW w:w="638" w:type="pct"/>
          </w:tcPr>
          <w:p w14:paraId="001BECCD" w14:textId="77777777" w:rsidR="00236FB8" w:rsidRPr="006D2683" w:rsidRDefault="00236FB8" w:rsidP="006D2683">
            <w:pPr>
              <w:spacing w:beforeLines="40" w:before="96" w:afterLines="40" w:after="96" w:line="240" w:lineRule="auto"/>
              <w:rPr>
                <w:rFonts w:ascii="Arial" w:hAnsi="Arial" w:cs="Arial"/>
                <w:sz w:val="20"/>
                <w:szCs w:val="20"/>
              </w:rPr>
            </w:pPr>
            <w:r w:rsidRPr="006D2683">
              <w:rPr>
                <w:rFonts w:ascii="Arial" w:hAnsi="Arial" w:cs="Arial"/>
                <w:sz w:val="20"/>
                <w:szCs w:val="20"/>
              </w:rPr>
              <w:t>15 February 2016</w:t>
            </w:r>
          </w:p>
        </w:tc>
        <w:tc>
          <w:tcPr>
            <w:tcW w:w="3462" w:type="pct"/>
            <w:shd w:val="clear" w:color="auto" w:fill="auto"/>
            <w:vAlign w:val="center"/>
          </w:tcPr>
          <w:p w14:paraId="4A5816B7" w14:textId="77777777" w:rsidR="00236FB8" w:rsidRPr="006D2683" w:rsidRDefault="00060C26" w:rsidP="00647D4E">
            <w:pPr>
              <w:spacing w:beforeLines="40" w:before="96" w:afterLines="40" w:after="96" w:line="240" w:lineRule="auto"/>
              <w:ind w:left="176" w:hanging="141"/>
              <w:rPr>
                <w:rFonts w:ascii="Arial" w:hAnsi="Arial" w:cs="Arial"/>
                <w:i/>
                <w:sz w:val="20"/>
                <w:szCs w:val="20"/>
              </w:rPr>
            </w:pPr>
            <w:r w:rsidRPr="006D2683">
              <w:rPr>
                <w:rFonts w:ascii="Arial" w:hAnsi="Arial" w:cs="Arial"/>
                <w:i/>
                <w:sz w:val="20"/>
                <w:szCs w:val="20"/>
              </w:rPr>
              <w:t>TRACLEER</w:t>
            </w:r>
            <w:r w:rsidR="00252749" w:rsidRPr="006D2683">
              <w:rPr>
                <w:rFonts w:ascii="Arial" w:hAnsi="Arial" w:cs="Arial"/>
                <w:i/>
                <w:sz w:val="20"/>
                <w:szCs w:val="20"/>
                <w:vertAlign w:val="superscript"/>
              </w:rPr>
              <w:t>®</w:t>
            </w:r>
            <w:r w:rsidR="00236FB8" w:rsidRPr="006D2683">
              <w:rPr>
                <w:rFonts w:ascii="Arial" w:hAnsi="Arial" w:cs="Arial"/>
                <w:i/>
                <w:sz w:val="20"/>
                <w:szCs w:val="20"/>
              </w:rPr>
              <w:t xml:space="preserve"> is indicated for the treatment of</w:t>
            </w:r>
          </w:p>
          <w:p w14:paraId="306C44B2"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r w:rsidRPr="006D2683">
              <w:rPr>
                <w:rFonts w:ascii="Arial" w:hAnsi="Arial" w:cs="Arial"/>
                <w:i/>
                <w:sz w:val="20"/>
                <w:szCs w:val="20"/>
              </w:rPr>
              <w:t>idiopathic pulmonary arterial hypertension</w:t>
            </w:r>
          </w:p>
          <w:p w14:paraId="44943D33"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r w:rsidRPr="006D2683">
              <w:rPr>
                <w:rFonts w:ascii="Arial" w:hAnsi="Arial" w:cs="Arial"/>
                <w:i/>
                <w:sz w:val="20"/>
                <w:szCs w:val="20"/>
              </w:rPr>
              <w:t>familial pulmonary arterial hypertension</w:t>
            </w:r>
          </w:p>
          <w:p w14:paraId="05FCB3E2"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r w:rsidRPr="006D2683">
              <w:rPr>
                <w:rFonts w:ascii="Arial" w:hAnsi="Arial" w:cs="Arial"/>
                <w:i/>
                <w:sz w:val="20"/>
                <w:szCs w:val="20"/>
              </w:rPr>
              <w:t>pulmonary arterial hypertension associated with scleroderma or</w:t>
            </w:r>
          </w:p>
          <w:p w14:paraId="4A8D9D39" w14:textId="77777777" w:rsidR="00236FB8" w:rsidRPr="006D2683" w:rsidRDefault="00236FB8" w:rsidP="00807704">
            <w:pPr>
              <w:pStyle w:val="ListParagraph"/>
              <w:numPr>
                <w:ilvl w:val="0"/>
                <w:numId w:val="13"/>
              </w:numPr>
              <w:spacing w:beforeLines="40" w:before="96" w:afterLines="40" w:after="96" w:line="240" w:lineRule="auto"/>
              <w:ind w:left="743" w:hanging="567"/>
              <w:contextualSpacing w:val="0"/>
              <w:rPr>
                <w:rFonts w:ascii="Arial" w:hAnsi="Arial" w:cs="Arial"/>
                <w:i/>
                <w:sz w:val="20"/>
                <w:szCs w:val="20"/>
              </w:rPr>
            </w:pPr>
            <w:r w:rsidRPr="006D2683">
              <w:rPr>
                <w:rFonts w:ascii="Arial" w:hAnsi="Arial" w:cs="Arial"/>
                <w:i/>
                <w:sz w:val="20"/>
                <w:szCs w:val="20"/>
              </w:rPr>
              <w:t>pulmonary arterial hypertension associated with congenital systemic to pulmonary shunts including Eisenmenger physiology</w:t>
            </w:r>
          </w:p>
          <w:p w14:paraId="35D56F6C" w14:textId="77777777" w:rsidR="00236FB8" w:rsidRPr="006D2683" w:rsidRDefault="00236FB8" w:rsidP="006D2683">
            <w:pPr>
              <w:spacing w:beforeLines="40" w:before="96" w:afterLines="40" w:after="96" w:line="240" w:lineRule="auto"/>
              <w:ind w:left="88"/>
              <w:rPr>
                <w:rFonts w:ascii="Arial" w:hAnsi="Arial" w:cs="Arial"/>
                <w:i/>
                <w:sz w:val="20"/>
                <w:szCs w:val="20"/>
                <w:highlight w:val="yellow"/>
              </w:rPr>
            </w:pPr>
            <w:proofErr w:type="gramStart"/>
            <w:r w:rsidRPr="006D2683">
              <w:rPr>
                <w:rFonts w:ascii="Arial" w:hAnsi="Arial" w:cs="Arial"/>
                <w:i/>
                <w:sz w:val="20"/>
                <w:szCs w:val="20"/>
              </w:rPr>
              <w:t>in</w:t>
            </w:r>
            <w:proofErr w:type="gramEnd"/>
            <w:r w:rsidRPr="006D2683">
              <w:rPr>
                <w:rFonts w:ascii="Arial" w:hAnsi="Arial" w:cs="Arial"/>
                <w:i/>
                <w:sz w:val="20"/>
                <w:szCs w:val="20"/>
              </w:rPr>
              <w:t xml:space="preserve"> patients with WHO functional Class II, III or IV symptoms</w:t>
            </w:r>
            <w:r w:rsidR="00B835D2">
              <w:rPr>
                <w:rFonts w:ascii="Arial" w:hAnsi="Arial" w:cs="Arial"/>
                <w:i/>
                <w:sz w:val="20"/>
                <w:szCs w:val="20"/>
              </w:rPr>
              <w:t>.</w:t>
            </w:r>
          </w:p>
        </w:tc>
      </w:tr>
      <w:tr w:rsidR="00236FB8" w:rsidRPr="00847CCD" w14:paraId="7B4CCE69" w14:textId="77777777" w:rsidTr="006D2683">
        <w:tc>
          <w:tcPr>
            <w:tcW w:w="492" w:type="pct"/>
            <w:shd w:val="clear" w:color="auto" w:fill="auto"/>
          </w:tcPr>
          <w:p w14:paraId="689C430F" w14:textId="77777777" w:rsidR="00236FB8" w:rsidRPr="006D2683" w:rsidRDefault="00236FB8" w:rsidP="006D2683">
            <w:pPr>
              <w:spacing w:beforeLines="40" w:before="96" w:afterLines="40" w:after="96" w:line="240" w:lineRule="auto"/>
              <w:rPr>
                <w:rFonts w:ascii="Arial" w:hAnsi="Arial" w:cs="Arial"/>
                <w:sz w:val="20"/>
                <w:szCs w:val="20"/>
              </w:rPr>
            </w:pPr>
            <w:r w:rsidRPr="006D2683">
              <w:rPr>
                <w:rFonts w:ascii="Arial" w:hAnsi="Arial" w:cs="Arial"/>
                <w:sz w:val="20"/>
                <w:szCs w:val="20"/>
              </w:rPr>
              <w:t>Ambrisentan</w:t>
            </w:r>
          </w:p>
        </w:tc>
        <w:tc>
          <w:tcPr>
            <w:tcW w:w="408" w:type="pct"/>
          </w:tcPr>
          <w:p w14:paraId="4DC59467" w14:textId="77777777" w:rsidR="00236FB8" w:rsidRPr="006D2683" w:rsidRDefault="00777ACB" w:rsidP="006D2683">
            <w:pPr>
              <w:spacing w:beforeLines="40" w:before="96" w:afterLines="40" w:after="96" w:line="240" w:lineRule="auto"/>
              <w:rPr>
                <w:rFonts w:ascii="Arial" w:hAnsi="Arial" w:cs="Arial"/>
                <w:sz w:val="20"/>
                <w:szCs w:val="20"/>
              </w:rPr>
            </w:pPr>
            <w:proofErr w:type="spellStart"/>
            <w:r w:rsidRPr="006D2683">
              <w:rPr>
                <w:rFonts w:ascii="Arial" w:hAnsi="Arial" w:cs="Arial"/>
                <w:sz w:val="20"/>
                <w:szCs w:val="20"/>
              </w:rPr>
              <w:t>Volibris</w:t>
            </w:r>
            <w:proofErr w:type="spellEnd"/>
            <w:r w:rsidR="00252749" w:rsidRPr="002614AE">
              <w:rPr>
                <w:rFonts w:ascii="Arial" w:hAnsi="Arial" w:cs="Arial"/>
                <w:sz w:val="20"/>
                <w:szCs w:val="20"/>
                <w:vertAlign w:val="superscript"/>
              </w:rPr>
              <w:t>®</w:t>
            </w:r>
          </w:p>
        </w:tc>
        <w:tc>
          <w:tcPr>
            <w:tcW w:w="638" w:type="pct"/>
          </w:tcPr>
          <w:p w14:paraId="2FDB1A39" w14:textId="77777777" w:rsidR="00236FB8" w:rsidRPr="006D2683" w:rsidRDefault="00236FB8" w:rsidP="006D2683">
            <w:pPr>
              <w:spacing w:beforeLines="40" w:before="96" w:afterLines="40" w:after="96" w:line="240" w:lineRule="auto"/>
              <w:rPr>
                <w:rFonts w:ascii="Arial" w:hAnsi="Arial" w:cs="Arial"/>
                <w:sz w:val="20"/>
                <w:szCs w:val="20"/>
              </w:rPr>
            </w:pPr>
            <w:r w:rsidRPr="006D2683">
              <w:rPr>
                <w:rFonts w:ascii="Arial" w:hAnsi="Arial" w:cs="Arial"/>
                <w:sz w:val="20"/>
                <w:szCs w:val="20"/>
              </w:rPr>
              <w:t>16 February 2016</w:t>
            </w:r>
          </w:p>
        </w:tc>
        <w:tc>
          <w:tcPr>
            <w:tcW w:w="3462" w:type="pct"/>
            <w:shd w:val="clear" w:color="auto" w:fill="auto"/>
            <w:vAlign w:val="center"/>
          </w:tcPr>
          <w:p w14:paraId="0389B847" w14:textId="77777777" w:rsidR="00236FB8" w:rsidRPr="006D2683" w:rsidRDefault="00777ACB" w:rsidP="006D2683">
            <w:pPr>
              <w:spacing w:beforeLines="40" w:before="96" w:afterLines="40" w:after="96" w:line="240" w:lineRule="auto"/>
              <w:ind w:left="88"/>
              <w:rPr>
                <w:rFonts w:ascii="Arial" w:hAnsi="Arial" w:cs="Arial"/>
                <w:i/>
                <w:sz w:val="20"/>
                <w:szCs w:val="20"/>
              </w:rPr>
            </w:pPr>
            <w:r w:rsidRPr="006D2683">
              <w:rPr>
                <w:rFonts w:ascii="Arial" w:hAnsi="Arial" w:cs="Arial"/>
                <w:i/>
                <w:sz w:val="20"/>
                <w:szCs w:val="20"/>
              </w:rPr>
              <w:t>VOLIBRIS</w:t>
            </w:r>
            <w:r w:rsidR="00252749" w:rsidRPr="002614AE">
              <w:rPr>
                <w:rFonts w:ascii="Arial" w:hAnsi="Arial" w:cs="Arial"/>
                <w:i/>
                <w:sz w:val="20"/>
                <w:szCs w:val="20"/>
                <w:vertAlign w:val="superscript"/>
              </w:rPr>
              <w:t>®</w:t>
            </w:r>
            <w:r w:rsidR="00236FB8" w:rsidRPr="006D2683">
              <w:rPr>
                <w:rFonts w:ascii="Arial" w:hAnsi="Arial" w:cs="Arial"/>
                <w:i/>
                <w:sz w:val="20"/>
                <w:szCs w:val="20"/>
              </w:rPr>
              <w:t xml:space="preserve"> is indicated for the treatment of:</w:t>
            </w:r>
          </w:p>
          <w:p w14:paraId="556F3EC7"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r w:rsidRPr="006D2683">
              <w:rPr>
                <w:rFonts w:ascii="Arial" w:hAnsi="Arial" w:cs="Arial"/>
                <w:i/>
                <w:sz w:val="20"/>
                <w:szCs w:val="20"/>
              </w:rPr>
              <w:t>idiopathic pulmonary arterial hypertension (PAH),</w:t>
            </w:r>
          </w:p>
          <w:p w14:paraId="27C840F8"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r w:rsidRPr="006D2683">
              <w:rPr>
                <w:rFonts w:ascii="Arial" w:hAnsi="Arial" w:cs="Arial"/>
                <w:i/>
                <w:sz w:val="20"/>
                <w:szCs w:val="20"/>
              </w:rPr>
              <w:t xml:space="preserve">pulmonary arterial hypertension associated with connective tissue disease (PAH-CTD), </w:t>
            </w:r>
          </w:p>
          <w:p w14:paraId="48713A6B"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proofErr w:type="gramStart"/>
            <w:r w:rsidRPr="006D2683">
              <w:rPr>
                <w:rFonts w:ascii="Arial" w:hAnsi="Arial" w:cs="Arial"/>
                <w:i/>
                <w:sz w:val="20"/>
                <w:szCs w:val="20"/>
              </w:rPr>
              <w:t>in</w:t>
            </w:r>
            <w:proofErr w:type="gramEnd"/>
            <w:r w:rsidRPr="006D2683">
              <w:rPr>
                <w:rFonts w:ascii="Arial" w:hAnsi="Arial" w:cs="Arial"/>
                <w:i/>
                <w:sz w:val="20"/>
                <w:szCs w:val="20"/>
              </w:rPr>
              <w:t xml:space="preserve"> patients with WHO functional class II, III or IV symptoms.</w:t>
            </w:r>
          </w:p>
          <w:p w14:paraId="3ADAE9EC" w14:textId="77777777" w:rsidR="00236FB8" w:rsidRPr="006D2683" w:rsidRDefault="00777ACB" w:rsidP="006D2683">
            <w:pPr>
              <w:spacing w:beforeLines="40" w:before="96" w:afterLines="40" w:after="96" w:line="240" w:lineRule="auto"/>
              <w:ind w:left="88"/>
              <w:rPr>
                <w:rFonts w:ascii="Arial" w:hAnsi="Arial" w:cs="Arial"/>
                <w:i/>
                <w:sz w:val="20"/>
                <w:szCs w:val="20"/>
              </w:rPr>
            </w:pPr>
            <w:r w:rsidRPr="006D2683">
              <w:rPr>
                <w:rFonts w:ascii="Arial" w:hAnsi="Arial" w:cs="Arial"/>
                <w:i/>
                <w:sz w:val="20"/>
                <w:szCs w:val="20"/>
              </w:rPr>
              <w:t>VOLIBRIS</w:t>
            </w:r>
            <w:r w:rsidR="00252749" w:rsidRPr="002614AE">
              <w:rPr>
                <w:rFonts w:ascii="Arial" w:hAnsi="Arial" w:cs="Arial"/>
                <w:i/>
                <w:sz w:val="20"/>
                <w:szCs w:val="20"/>
                <w:vertAlign w:val="superscript"/>
              </w:rPr>
              <w:t>®</w:t>
            </w:r>
            <w:r w:rsidR="00236FB8" w:rsidRPr="006D2683">
              <w:rPr>
                <w:rFonts w:ascii="Arial" w:hAnsi="Arial" w:cs="Arial"/>
                <w:i/>
                <w:sz w:val="20"/>
                <w:szCs w:val="20"/>
              </w:rPr>
              <w:t xml:space="preserve"> in combination with Tadalafil </w:t>
            </w:r>
            <w:proofErr w:type="gramStart"/>
            <w:r w:rsidR="00236FB8" w:rsidRPr="006D2683">
              <w:rPr>
                <w:rFonts w:ascii="Arial" w:hAnsi="Arial" w:cs="Arial"/>
                <w:i/>
                <w:sz w:val="20"/>
                <w:szCs w:val="20"/>
              </w:rPr>
              <w:t>is indicated</w:t>
            </w:r>
            <w:proofErr w:type="gramEnd"/>
            <w:r w:rsidR="00236FB8" w:rsidRPr="006D2683">
              <w:rPr>
                <w:rFonts w:ascii="Arial" w:hAnsi="Arial" w:cs="Arial"/>
                <w:i/>
                <w:sz w:val="20"/>
                <w:szCs w:val="20"/>
              </w:rPr>
              <w:t xml:space="preserve"> for the treatment of WHO Group 1 pulmonary arterial hypertension in patients with WHO functional class II, III or IV symptoms.</w:t>
            </w:r>
          </w:p>
        </w:tc>
      </w:tr>
      <w:tr w:rsidR="00236FB8" w:rsidRPr="00847CCD" w14:paraId="18457BC5" w14:textId="77777777" w:rsidTr="006D2683">
        <w:tc>
          <w:tcPr>
            <w:tcW w:w="492" w:type="pct"/>
            <w:shd w:val="clear" w:color="auto" w:fill="auto"/>
          </w:tcPr>
          <w:p w14:paraId="4C977D84" w14:textId="77777777" w:rsidR="00236FB8" w:rsidRPr="006D2683" w:rsidRDefault="00236FB8" w:rsidP="006D2683">
            <w:pPr>
              <w:spacing w:beforeLines="40" w:before="96" w:afterLines="40" w:after="96" w:line="240" w:lineRule="auto"/>
              <w:rPr>
                <w:rFonts w:ascii="Arial" w:hAnsi="Arial" w:cs="Arial"/>
                <w:sz w:val="20"/>
                <w:szCs w:val="20"/>
              </w:rPr>
            </w:pPr>
            <w:r w:rsidRPr="006D2683">
              <w:rPr>
                <w:rFonts w:ascii="Arial" w:hAnsi="Arial" w:cs="Arial"/>
                <w:sz w:val="20"/>
                <w:szCs w:val="20"/>
              </w:rPr>
              <w:t>Macitentan</w:t>
            </w:r>
          </w:p>
        </w:tc>
        <w:tc>
          <w:tcPr>
            <w:tcW w:w="408" w:type="pct"/>
          </w:tcPr>
          <w:p w14:paraId="6AB71607" w14:textId="77777777" w:rsidR="00236FB8" w:rsidRPr="006D2683" w:rsidRDefault="00060C26" w:rsidP="006D2683">
            <w:pPr>
              <w:spacing w:beforeLines="40" w:before="96" w:afterLines="40" w:after="96" w:line="240" w:lineRule="auto"/>
              <w:rPr>
                <w:rFonts w:ascii="Arial" w:hAnsi="Arial" w:cs="Arial"/>
                <w:sz w:val="20"/>
                <w:szCs w:val="20"/>
              </w:rPr>
            </w:pPr>
            <w:proofErr w:type="spellStart"/>
            <w:r w:rsidRPr="006D2683">
              <w:rPr>
                <w:rFonts w:ascii="Arial" w:hAnsi="Arial" w:cs="Arial"/>
                <w:sz w:val="20"/>
                <w:szCs w:val="20"/>
              </w:rPr>
              <w:t>Opsumit</w:t>
            </w:r>
            <w:proofErr w:type="spellEnd"/>
            <w:r w:rsidR="00252749" w:rsidRPr="006D2683">
              <w:rPr>
                <w:rFonts w:ascii="Arial" w:hAnsi="Arial" w:cs="Arial"/>
                <w:sz w:val="20"/>
                <w:szCs w:val="20"/>
                <w:vertAlign w:val="superscript"/>
              </w:rPr>
              <w:t>®</w:t>
            </w:r>
          </w:p>
        </w:tc>
        <w:tc>
          <w:tcPr>
            <w:tcW w:w="638" w:type="pct"/>
          </w:tcPr>
          <w:p w14:paraId="0CD50C06" w14:textId="77777777" w:rsidR="00236FB8" w:rsidRPr="006D2683" w:rsidRDefault="00236FB8" w:rsidP="006D2683">
            <w:pPr>
              <w:spacing w:beforeLines="40" w:before="96" w:afterLines="40" w:after="96" w:line="240" w:lineRule="auto"/>
              <w:rPr>
                <w:rFonts w:ascii="Arial" w:hAnsi="Arial" w:cs="Arial"/>
                <w:sz w:val="20"/>
                <w:szCs w:val="20"/>
              </w:rPr>
            </w:pPr>
            <w:r w:rsidRPr="006D2683">
              <w:rPr>
                <w:rFonts w:ascii="Arial" w:hAnsi="Arial" w:cs="Arial"/>
                <w:sz w:val="20"/>
                <w:szCs w:val="20"/>
              </w:rPr>
              <w:t>25 August 2016</w:t>
            </w:r>
          </w:p>
        </w:tc>
        <w:tc>
          <w:tcPr>
            <w:tcW w:w="3462" w:type="pct"/>
            <w:shd w:val="clear" w:color="auto" w:fill="auto"/>
            <w:vAlign w:val="center"/>
          </w:tcPr>
          <w:p w14:paraId="643AF0DC" w14:textId="77777777" w:rsidR="00236FB8" w:rsidRPr="006D2683" w:rsidRDefault="00060C26" w:rsidP="006D2683">
            <w:pPr>
              <w:spacing w:beforeLines="40" w:before="96" w:afterLines="40" w:after="96" w:line="240" w:lineRule="auto"/>
              <w:ind w:left="88"/>
              <w:rPr>
                <w:rFonts w:ascii="Arial" w:hAnsi="Arial" w:cs="Arial"/>
                <w:i/>
                <w:sz w:val="20"/>
                <w:szCs w:val="20"/>
              </w:rPr>
            </w:pPr>
            <w:r w:rsidRPr="006D2683">
              <w:rPr>
                <w:rFonts w:ascii="Arial" w:hAnsi="Arial" w:cs="Arial"/>
                <w:i/>
                <w:sz w:val="20"/>
                <w:szCs w:val="20"/>
              </w:rPr>
              <w:t>OPSUMIT</w:t>
            </w:r>
            <w:r w:rsidR="00252749" w:rsidRPr="006D2683">
              <w:rPr>
                <w:rFonts w:ascii="Arial" w:hAnsi="Arial" w:cs="Arial"/>
                <w:i/>
                <w:sz w:val="20"/>
                <w:szCs w:val="20"/>
                <w:vertAlign w:val="superscript"/>
              </w:rPr>
              <w:t>®</w:t>
            </w:r>
            <w:r w:rsidR="00236FB8" w:rsidRPr="006D2683">
              <w:rPr>
                <w:rFonts w:ascii="Arial" w:hAnsi="Arial" w:cs="Arial"/>
                <w:i/>
                <w:sz w:val="20"/>
                <w:szCs w:val="20"/>
              </w:rPr>
              <w:t>, as monotherapy or in combination with approved PAH treatments (phosphodiesterase-5 inhibitors or inhaled prostanoids), is indicated for the treatment of:</w:t>
            </w:r>
          </w:p>
          <w:p w14:paraId="443707FB"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r w:rsidRPr="006D2683">
              <w:rPr>
                <w:rFonts w:ascii="Arial" w:hAnsi="Arial" w:cs="Arial"/>
                <w:i/>
                <w:sz w:val="20"/>
                <w:szCs w:val="20"/>
              </w:rPr>
              <w:t>idiopathic pulmonary arterial hypertension</w:t>
            </w:r>
          </w:p>
          <w:p w14:paraId="0E39FCC8"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r w:rsidRPr="006D2683">
              <w:rPr>
                <w:rFonts w:ascii="Arial" w:hAnsi="Arial" w:cs="Arial"/>
                <w:i/>
                <w:sz w:val="20"/>
                <w:szCs w:val="20"/>
              </w:rPr>
              <w:t>heritable pulmonary arterial hypertension</w:t>
            </w:r>
          </w:p>
          <w:p w14:paraId="61A33AE7"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r w:rsidRPr="006D2683">
              <w:rPr>
                <w:rFonts w:ascii="Arial" w:hAnsi="Arial" w:cs="Arial"/>
                <w:i/>
                <w:sz w:val="20"/>
                <w:szCs w:val="20"/>
              </w:rPr>
              <w:t>pulmonary arterial hypertension associated with connective tissue disease</w:t>
            </w:r>
          </w:p>
          <w:p w14:paraId="4E179D3D"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r w:rsidRPr="006D2683">
              <w:rPr>
                <w:rFonts w:ascii="Arial" w:hAnsi="Arial" w:cs="Arial"/>
                <w:i/>
                <w:sz w:val="20"/>
                <w:szCs w:val="20"/>
              </w:rPr>
              <w:t>pulmonary arterial hypertension associated with congenital heart disease with repaired shunts</w:t>
            </w:r>
          </w:p>
          <w:p w14:paraId="7AF80785" w14:textId="77777777" w:rsidR="00236FB8" w:rsidRPr="006D2683" w:rsidRDefault="00236FB8" w:rsidP="006D2683">
            <w:pPr>
              <w:spacing w:beforeLines="40" w:before="96" w:afterLines="40" w:after="96" w:line="240" w:lineRule="auto"/>
              <w:ind w:left="88"/>
              <w:rPr>
                <w:rFonts w:ascii="Arial" w:hAnsi="Arial" w:cs="Arial"/>
                <w:i/>
                <w:sz w:val="20"/>
                <w:szCs w:val="20"/>
              </w:rPr>
            </w:pPr>
            <w:proofErr w:type="gramStart"/>
            <w:r w:rsidRPr="006D2683">
              <w:rPr>
                <w:rFonts w:ascii="Arial" w:hAnsi="Arial" w:cs="Arial"/>
                <w:i/>
                <w:sz w:val="20"/>
                <w:szCs w:val="20"/>
              </w:rPr>
              <w:lastRenderedPageBreak/>
              <w:t>in</w:t>
            </w:r>
            <w:proofErr w:type="gramEnd"/>
            <w:r w:rsidRPr="006D2683">
              <w:rPr>
                <w:rFonts w:ascii="Arial" w:hAnsi="Arial" w:cs="Arial"/>
                <w:i/>
                <w:sz w:val="20"/>
                <w:szCs w:val="20"/>
              </w:rPr>
              <w:t xml:space="preserve"> patients with WHO Functional class II, III or IV symptoms.</w:t>
            </w:r>
          </w:p>
        </w:tc>
      </w:tr>
      <w:tr w:rsidR="00236FB8" w:rsidRPr="00847CCD" w14:paraId="1E8E342A" w14:textId="77777777" w:rsidTr="006D2683">
        <w:tc>
          <w:tcPr>
            <w:tcW w:w="492" w:type="pct"/>
            <w:shd w:val="clear" w:color="auto" w:fill="auto"/>
          </w:tcPr>
          <w:p w14:paraId="3CA9F12F" w14:textId="77777777" w:rsidR="00236FB8" w:rsidRPr="006D2683" w:rsidRDefault="00236FB8" w:rsidP="006D2683">
            <w:pPr>
              <w:spacing w:beforeLines="40" w:before="96" w:afterLines="40" w:after="96" w:line="240" w:lineRule="auto"/>
              <w:rPr>
                <w:rFonts w:ascii="Arial" w:hAnsi="Arial" w:cs="Arial"/>
                <w:sz w:val="20"/>
                <w:szCs w:val="20"/>
              </w:rPr>
            </w:pPr>
            <w:r w:rsidRPr="006D2683">
              <w:rPr>
                <w:rFonts w:ascii="Arial" w:hAnsi="Arial" w:cs="Arial"/>
                <w:sz w:val="20"/>
                <w:szCs w:val="20"/>
              </w:rPr>
              <w:lastRenderedPageBreak/>
              <w:t>Sildenafil</w:t>
            </w:r>
          </w:p>
        </w:tc>
        <w:tc>
          <w:tcPr>
            <w:tcW w:w="408" w:type="pct"/>
          </w:tcPr>
          <w:p w14:paraId="5E966FE3" w14:textId="77777777" w:rsidR="00236FB8" w:rsidRPr="006D2683" w:rsidRDefault="00060C26" w:rsidP="006D2683">
            <w:pPr>
              <w:spacing w:beforeLines="40" w:before="96" w:afterLines="40" w:after="96" w:line="240" w:lineRule="auto"/>
              <w:rPr>
                <w:rFonts w:ascii="Arial" w:hAnsi="Arial" w:cs="Arial"/>
                <w:sz w:val="20"/>
                <w:szCs w:val="20"/>
              </w:rPr>
            </w:pPr>
            <w:proofErr w:type="spellStart"/>
            <w:r w:rsidRPr="006D2683">
              <w:rPr>
                <w:rFonts w:ascii="Arial" w:hAnsi="Arial" w:cs="Arial"/>
                <w:sz w:val="20"/>
                <w:szCs w:val="20"/>
              </w:rPr>
              <w:t>Revatio</w:t>
            </w:r>
            <w:proofErr w:type="spellEnd"/>
            <w:r w:rsidR="00252749" w:rsidRPr="006D2683">
              <w:rPr>
                <w:rFonts w:ascii="Arial" w:hAnsi="Arial" w:cs="Arial"/>
                <w:sz w:val="20"/>
                <w:szCs w:val="20"/>
                <w:vertAlign w:val="superscript"/>
              </w:rPr>
              <w:t>®</w:t>
            </w:r>
          </w:p>
        </w:tc>
        <w:tc>
          <w:tcPr>
            <w:tcW w:w="638" w:type="pct"/>
          </w:tcPr>
          <w:p w14:paraId="4C4F532C" w14:textId="77777777" w:rsidR="00236FB8" w:rsidRPr="006D2683" w:rsidRDefault="00236FB8" w:rsidP="006D2683">
            <w:pPr>
              <w:spacing w:beforeLines="40" w:before="96" w:afterLines="40" w:after="96" w:line="240" w:lineRule="auto"/>
              <w:rPr>
                <w:rFonts w:ascii="Arial" w:hAnsi="Arial" w:cs="Arial"/>
                <w:sz w:val="20"/>
                <w:szCs w:val="20"/>
              </w:rPr>
            </w:pPr>
            <w:r w:rsidRPr="006D2683">
              <w:rPr>
                <w:rFonts w:ascii="Arial" w:hAnsi="Arial" w:cs="Arial"/>
                <w:sz w:val="20"/>
                <w:szCs w:val="20"/>
              </w:rPr>
              <w:t>21 December 2015</w:t>
            </w:r>
          </w:p>
        </w:tc>
        <w:tc>
          <w:tcPr>
            <w:tcW w:w="3462" w:type="pct"/>
            <w:shd w:val="clear" w:color="auto" w:fill="auto"/>
            <w:vAlign w:val="center"/>
          </w:tcPr>
          <w:p w14:paraId="1A36948E" w14:textId="77777777" w:rsidR="00236FB8" w:rsidRPr="006D2683" w:rsidRDefault="00060C26" w:rsidP="00647D4E">
            <w:pPr>
              <w:spacing w:beforeLines="40" w:before="96" w:afterLines="40" w:after="96" w:line="240" w:lineRule="auto"/>
              <w:ind w:left="176"/>
              <w:rPr>
                <w:rFonts w:ascii="Arial" w:hAnsi="Arial" w:cs="Arial"/>
                <w:i/>
                <w:sz w:val="20"/>
                <w:szCs w:val="20"/>
              </w:rPr>
            </w:pPr>
            <w:r w:rsidRPr="006D2683">
              <w:rPr>
                <w:rFonts w:ascii="Arial" w:hAnsi="Arial" w:cs="Arial"/>
                <w:i/>
                <w:sz w:val="20"/>
                <w:szCs w:val="20"/>
              </w:rPr>
              <w:t>REVATIO</w:t>
            </w:r>
            <w:r w:rsidR="00252749" w:rsidRPr="006D2683">
              <w:rPr>
                <w:rFonts w:ascii="Arial" w:hAnsi="Arial" w:cs="Arial"/>
                <w:i/>
                <w:sz w:val="20"/>
                <w:szCs w:val="20"/>
                <w:vertAlign w:val="superscript"/>
              </w:rPr>
              <w:t>®</w:t>
            </w:r>
            <w:r w:rsidR="00236FB8" w:rsidRPr="006D2683">
              <w:rPr>
                <w:rFonts w:ascii="Arial" w:hAnsi="Arial" w:cs="Arial"/>
                <w:i/>
                <w:sz w:val="20"/>
                <w:szCs w:val="20"/>
              </w:rPr>
              <w:t xml:space="preserve"> tablets </w:t>
            </w:r>
            <w:proofErr w:type="gramStart"/>
            <w:r w:rsidR="00236FB8" w:rsidRPr="006D2683">
              <w:rPr>
                <w:rFonts w:ascii="Arial" w:hAnsi="Arial" w:cs="Arial"/>
                <w:i/>
                <w:sz w:val="20"/>
                <w:szCs w:val="20"/>
              </w:rPr>
              <w:t>are indicated</w:t>
            </w:r>
            <w:proofErr w:type="gramEnd"/>
            <w:r w:rsidR="00236FB8" w:rsidRPr="006D2683">
              <w:rPr>
                <w:rFonts w:ascii="Arial" w:hAnsi="Arial" w:cs="Arial"/>
                <w:i/>
                <w:sz w:val="20"/>
                <w:szCs w:val="20"/>
              </w:rPr>
              <w:t xml:space="preserve"> for the treatment of patients with pulmonary arterial hypertension classified as WHO functional classes II and III, to improve exercise capacity. Efficacy has been shown in primary pulmonary hypertension and pulmonary hypertension associated with connective tissue disease.</w:t>
            </w:r>
          </w:p>
          <w:p w14:paraId="3AEDCFB2" w14:textId="77777777" w:rsidR="00236FB8" w:rsidRPr="006D2683" w:rsidRDefault="00060C26" w:rsidP="00647D4E">
            <w:pPr>
              <w:spacing w:beforeLines="40" w:before="96" w:afterLines="40" w:after="96" w:line="240" w:lineRule="auto"/>
              <w:ind w:left="176"/>
              <w:rPr>
                <w:rFonts w:ascii="Arial" w:hAnsi="Arial" w:cs="Arial"/>
                <w:i/>
                <w:sz w:val="20"/>
                <w:szCs w:val="20"/>
              </w:rPr>
            </w:pPr>
            <w:r w:rsidRPr="006D2683">
              <w:rPr>
                <w:rFonts w:ascii="Arial" w:hAnsi="Arial" w:cs="Arial"/>
                <w:i/>
                <w:sz w:val="20"/>
                <w:szCs w:val="20"/>
              </w:rPr>
              <w:t>REVATIO</w:t>
            </w:r>
            <w:r w:rsidR="00252749" w:rsidRPr="006D2683">
              <w:rPr>
                <w:rFonts w:ascii="Arial" w:hAnsi="Arial" w:cs="Arial"/>
                <w:i/>
                <w:sz w:val="20"/>
                <w:szCs w:val="20"/>
                <w:vertAlign w:val="superscript"/>
              </w:rPr>
              <w:t>®</w:t>
            </w:r>
            <w:r w:rsidR="00236FB8" w:rsidRPr="006D2683">
              <w:rPr>
                <w:rFonts w:ascii="Arial" w:hAnsi="Arial" w:cs="Arial"/>
                <w:i/>
                <w:sz w:val="20"/>
                <w:szCs w:val="20"/>
              </w:rPr>
              <w:t xml:space="preserve"> solution for injection is for the treatment of adult patients with pulmonary arterial hypertension who </w:t>
            </w:r>
            <w:proofErr w:type="gramStart"/>
            <w:r w:rsidR="00236FB8" w:rsidRPr="006D2683">
              <w:rPr>
                <w:rFonts w:ascii="Arial" w:hAnsi="Arial" w:cs="Arial"/>
                <w:i/>
                <w:sz w:val="20"/>
                <w:szCs w:val="20"/>
              </w:rPr>
              <w:t>are currently prescribed</w:t>
            </w:r>
            <w:proofErr w:type="gramEnd"/>
            <w:r w:rsidR="00236FB8" w:rsidRPr="006D2683">
              <w:rPr>
                <w:rFonts w:ascii="Arial" w:hAnsi="Arial" w:cs="Arial"/>
                <w:i/>
                <w:sz w:val="20"/>
                <w:szCs w:val="20"/>
              </w:rPr>
              <w:t xml:space="preserve"> oral </w:t>
            </w:r>
            <w:r w:rsidRPr="006D2683">
              <w:rPr>
                <w:rFonts w:ascii="Arial" w:hAnsi="Arial" w:cs="Arial"/>
                <w:i/>
                <w:sz w:val="20"/>
                <w:szCs w:val="20"/>
              </w:rPr>
              <w:t>REVATIO</w:t>
            </w:r>
            <w:r w:rsidR="00252749" w:rsidRPr="006D2683">
              <w:rPr>
                <w:rFonts w:ascii="Arial" w:hAnsi="Arial" w:cs="Arial"/>
                <w:i/>
                <w:sz w:val="20"/>
                <w:szCs w:val="20"/>
                <w:vertAlign w:val="superscript"/>
              </w:rPr>
              <w:t>®</w:t>
            </w:r>
            <w:r w:rsidR="00236FB8" w:rsidRPr="006D2683">
              <w:rPr>
                <w:rFonts w:ascii="Arial" w:hAnsi="Arial" w:cs="Arial"/>
                <w:i/>
                <w:sz w:val="20"/>
                <w:szCs w:val="20"/>
              </w:rPr>
              <w:t xml:space="preserve"> and who are temporarily unable to take oral therapy, but are otherwise clinically and </w:t>
            </w:r>
            <w:proofErr w:type="spellStart"/>
            <w:r w:rsidR="00236FB8" w:rsidRPr="006D2683">
              <w:rPr>
                <w:rFonts w:ascii="Arial" w:hAnsi="Arial" w:cs="Arial"/>
                <w:i/>
                <w:sz w:val="20"/>
                <w:szCs w:val="20"/>
              </w:rPr>
              <w:t>haemodynamically</w:t>
            </w:r>
            <w:proofErr w:type="spellEnd"/>
            <w:r w:rsidR="00236FB8" w:rsidRPr="006D2683">
              <w:rPr>
                <w:rFonts w:ascii="Arial" w:hAnsi="Arial" w:cs="Arial"/>
                <w:i/>
                <w:sz w:val="20"/>
                <w:szCs w:val="20"/>
              </w:rPr>
              <w:t xml:space="preserve"> stable.</w:t>
            </w:r>
          </w:p>
          <w:p w14:paraId="5045BDC6" w14:textId="77777777" w:rsidR="00236FB8" w:rsidRPr="006D2683" w:rsidRDefault="00236FB8" w:rsidP="00647D4E">
            <w:pPr>
              <w:spacing w:beforeLines="40" w:before="96" w:afterLines="40" w:after="96" w:line="240" w:lineRule="auto"/>
              <w:ind w:left="176"/>
              <w:rPr>
                <w:rFonts w:ascii="Arial" w:hAnsi="Arial" w:cs="Arial"/>
                <w:i/>
                <w:sz w:val="20"/>
                <w:szCs w:val="20"/>
              </w:rPr>
            </w:pPr>
            <w:r w:rsidRPr="006D2683">
              <w:rPr>
                <w:rFonts w:ascii="Arial" w:hAnsi="Arial" w:cs="Arial"/>
                <w:i/>
                <w:sz w:val="20"/>
                <w:szCs w:val="20"/>
              </w:rPr>
              <w:t xml:space="preserve">The efficacy of </w:t>
            </w:r>
            <w:r w:rsidR="00060C26" w:rsidRPr="006D2683">
              <w:rPr>
                <w:rFonts w:ascii="Arial" w:hAnsi="Arial" w:cs="Arial"/>
                <w:i/>
                <w:sz w:val="20"/>
                <w:szCs w:val="20"/>
              </w:rPr>
              <w:t>REVATIO</w:t>
            </w:r>
            <w:r w:rsidR="00252749" w:rsidRPr="006D2683">
              <w:rPr>
                <w:rFonts w:ascii="Arial" w:hAnsi="Arial" w:cs="Arial"/>
                <w:i/>
                <w:sz w:val="20"/>
                <w:szCs w:val="20"/>
                <w:vertAlign w:val="superscript"/>
              </w:rPr>
              <w:t>®</w:t>
            </w:r>
            <w:r w:rsidRPr="006D2683">
              <w:rPr>
                <w:rFonts w:ascii="Arial" w:hAnsi="Arial" w:cs="Arial"/>
                <w:i/>
                <w:sz w:val="20"/>
                <w:szCs w:val="20"/>
              </w:rPr>
              <w:t xml:space="preserve"> </w:t>
            </w:r>
            <w:proofErr w:type="gramStart"/>
            <w:r w:rsidRPr="006D2683">
              <w:rPr>
                <w:rFonts w:ascii="Arial" w:hAnsi="Arial" w:cs="Arial"/>
                <w:i/>
                <w:sz w:val="20"/>
                <w:szCs w:val="20"/>
              </w:rPr>
              <w:t>has not been established</w:t>
            </w:r>
            <w:proofErr w:type="gramEnd"/>
            <w:r w:rsidRPr="006D2683">
              <w:rPr>
                <w:rFonts w:ascii="Arial" w:hAnsi="Arial" w:cs="Arial"/>
                <w:i/>
                <w:sz w:val="20"/>
                <w:szCs w:val="20"/>
              </w:rPr>
              <w:t xml:space="preserve"> in patients currently on bosentan therapy (see PRECAUTIONS).</w:t>
            </w:r>
          </w:p>
        </w:tc>
      </w:tr>
      <w:tr w:rsidR="00236FB8" w:rsidRPr="00847CCD" w14:paraId="3CFEBEA6" w14:textId="77777777" w:rsidTr="006D2683">
        <w:tc>
          <w:tcPr>
            <w:tcW w:w="492" w:type="pct"/>
            <w:shd w:val="clear" w:color="auto" w:fill="auto"/>
          </w:tcPr>
          <w:p w14:paraId="507403ED" w14:textId="77777777" w:rsidR="00236FB8" w:rsidRPr="006D2683" w:rsidRDefault="00236FB8" w:rsidP="006D2683">
            <w:pPr>
              <w:spacing w:beforeLines="40" w:before="96" w:afterLines="40" w:after="96" w:line="240" w:lineRule="auto"/>
              <w:rPr>
                <w:rFonts w:ascii="Arial" w:hAnsi="Arial" w:cs="Arial"/>
                <w:sz w:val="20"/>
                <w:szCs w:val="20"/>
              </w:rPr>
            </w:pPr>
            <w:r w:rsidRPr="006D2683">
              <w:rPr>
                <w:rFonts w:ascii="Arial" w:hAnsi="Arial" w:cs="Arial"/>
                <w:sz w:val="20"/>
                <w:szCs w:val="20"/>
              </w:rPr>
              <w:t>Tadalafil</w:t>
            </w:r>
          </w:p>
        </w:tc>
        <w:tc>
          <w:tcPr>
            <w:tcW w:w="408" w:type="pct"/>
          </w:tcPr>
          <w:p w14:paraId="0DC77EAE" w14:textId="77777777" w:rsidR="00236FB8" w:rsidRPr="006D2683" w:rsidRDefault="00060C26" w:rsidP="006D2683">
            <w:pPr>
              <w:spacing w:beforeLines="40" w:before="96" w:afterLines="40" w:after="96" w:line="240" w:lineRule="auto"/>
              <w:rPr>
                <w:rFonts w:ascii="Arial" w:hAnsi="Arial" w:cs="Arial"/>
                <w:sz w:val="20"/>
                <w:szCs w:val="20"/>
              </w:rPr>
            </w:pPr>
            <w:proofErr w:type="spellStart"/>
            <w:r w:rsidRPr="006D2683">
              <w:rPr>
                <w:rFonts w:ascii="Arial" w:hAnsi="Arial" w:cs="Arial"/>
                <w:sz w:val="20"/>
                <w:szCs w:val="20"/>
              </w:rPr>
              <w:t>Adcirca</w:t>
            </w:r>
            <w:proofErr w:type="spellEnd"/>
            <w:r w:rsidR="00252749" w:rsidRPr="006D2683">
              <w:rPr>
                <w:rFonts w:ascii="Arial" w:hAnsi="Arial" w:cs="Arial"/>
                <w:sz w:val="20"/>
                <w:szCs w:val="20"/>
                <w:vertAlign w:val="superscript"/>
              </w:rPr>
              <w:t>®</w:t>
            </w:r>
          </w:p>
        </w:tc>
        <w:tc>
          <w:tcPr>
            <w:tcW w:w="638" w:type="pct"/>
          </w:tcPr>
          <w:p w14:paraId="39539C0C" w14:textId="77777777" w:rsidR="00236FB8" w:rsidRPr="006D2683" w:rsidRDefault="00236FB8" w:rsidP="006D2683">
            <w:pPr>
              <w:spacing w:beforeLines="40" w:before="96" w:afterLines="40" w:after="96" w:line="240" w:lineRule="auto"/>
              <w:rPr>
                <w:rFonts w:ascii="Arial" w:hAnsi="Arial" w:cs="Arial"/>
                <w:sz w:val="20"/>
                <w:szCs w:val="20"/>
              </w:rPr>
            </w:pPr>
            <w:r w:rsidRPr="006D2683">
              <w:rPr>
                <w:rFonts w:ascii="Arial" w:hAnsi="Arial" w:cs="Arial"/>
                <w:sz w:val="20"/>
                <w:szCs w:val="20"/>
              </w:rPr>
              <w:t>18 December 2015</w:t>
            </w:r>
          </w:p>
        </w:tc>
        <w:tc>
          <w:tcPr>
            <w:tcW w:w="3462" w:type="pct"/>
            <w:shd w:val="clear" w:color="auto" w:fill="auto"/>
            <w:vAlign w:val="center"/>
          </w:tcPr>
          <w:p w14:paraId="57965319" w14:textId="77777777" w:rsidR="00236FB8" w:rsidRPr="006D2683" w:rsidRDefault="00060C26" w:rsidP="00647D4E">
            <w:pPr>
              <w:spacing w:beforeLines="40" w:before="96" w:afterLines="40" w:after="96" w:line="240" w:lineRule="auto"/>
              <w:ind w:left="176"/>
              <w:rPr>
                <w:rFonts w:ascii="Arial" w:hAnsi="Arial" w:cs="Arial"/>
                <w:i/>
                <w:sz w:val="20"/>
                <w:szCs w:val="20"/>
              </w:rPr>
            </w:pPr>
            <w:r w:rsidRPr="006D2683">
              <w:rPr>
                <w:rFonts w:ascii="Arial" w:hAnsi="Arial" w:cs="Arial"/>
                <w:i/>
                <w:sz w:val="20"/>
                <w:szCs w:val="20"/>
              </w:rPr>
              <w:t>ADCIRCA</w:t>
            </w:r>
            <w:r w:rsidR="00252749" w:rsidRPr="006D2683">
              <w:rPr>
                <w:rFonts w:ascii="Arial" w:hAnsi="Arial" w:cs="Arial"/>
                <w:i/>
                <w:sz w:val="20"/>
                <w:szCs w:val="20"/>
                <w:vertAlign w:val="superscript"/>
              </w:rPr>
              <w:t>®</w:t>
            </w:r>
            <w:r w:rsidR="00236FB8" w:rsidRPr="006D2683">
              <w:rPr>
                <w:rFonts w:ascii="Arial" w:hAnsi="Arial" w:cs="Arial"/>
                <w:i/>
                <w:sz w:val="20"/>
                <w:szCs w:val="20"/>
              </w:rPr>
              <w:t xml:space="preserve"> </w:t>
            </w:r>
            <w:proofErr w:type="gramStart"/>
            <w:r w:rsidR="00236FB8" w:rsidRPr="006D2683">
              <w:rPr>
                <w:rFonts w:ascii="Arial" w:hAnsi="Arial" w:cs="Arial"/>
                <w:i/>
                <w:sz w:val="20"/>
                <w:szCs w:val="20"/>
              </w:rPr>
              <w:t>is indicated</w:t>
            </w:r>
            <w:proofErr w:type="gramEnd"/>
            <w:r w:rsidR="00236FB8" w:rsidRPr="006D2683">
              <w:rPr>
                <w:rFonts w:ascii="Arial" w:hAnsi="Arial" w:cs="Arial"/>
                <w:i/>
                <w:sz w:val="20"/>
                <w:szCs w:val="20"/>
              </w:rPr>
              <w:t xml:space="preserve"> in adults for the treatment of pulmonary arterial hypertension (PAH) classified as WHO functional class II and III, to improve exercise capacity. Efficacy </w:t>
            </w:r>
            <w:proofErr w:type="gramStart"/>
            <w:r w:rsidR="00236FB8" w:rsidRPr="006D2683">
              <w:rPr>
                <w:rFonts w:ascii="Arial" w:hAnsi="Arial" w:cs="Arial"/>
                <w:i/>
                <w:sz w:val="20"/>
                <w:szCs w:val="20"/>
              </w:rPr>
              <w:t>has been shown in idiopathic PAH (IPAH) and in PAH related to collagen vascular disease</w:t>
            </w:r>
            <w:proofErr w:type="gramEnd"/>
            <w:r w:rsidR="00236FB8" w:rsidRPr="006D2683">
              <w:rPr>
                <w:rFonts w:ascii="Arial" w:hAnsi="Arial" w:cs="Arial"/>
                <w:i/>
                <w:sz w:val="20"/>
                <w:szCs w:val="20"/>
              </w:rPr>
              <w:t>.</w:t>
            </w:r>
          </w:p>
        </w:tc>
      </w:tr>
      <w:tr w:rsidR="00236FB8" w:rsidRPr="00847CCD" w14:paraId="57D1FED4" w14:textId="77777777" w:rsidTr="006D2683">
        <w:tc>
          <w:tcPr>
            <w:tcW w:w="492" w:type="pct"/>
            <w:shd w:val="clear" w:color="auto" w:fill="auto"/>
          </w:tcPr>
          <w:p w14:paraId="13E4B49C" w14:textId="77777777" w:rsidR="00236FB8" w:rsidRPr="006D2683" w:rsidRDefault="00236FB8" w:rsidP="006D2683">
            <w:pPr>
              <w:spacing w:beforeLines="40" w:before="96" w:afterLines="40" w:after="96" w:line="240" w:lineRule="auto"/>
              <w:rPr>
                <w:rFonts w:ascii="Arial" w:hAnsi="Arial" w:cs="Arial"/>
                <w:sz w:val="20"/>
                <w:szCs w:val="20"/>
              </w:rPr>
            </w:pPr>
            <w:r w:rsidRPr="006D2683">
              <w:rPr>
                <w:rFonts w:ascii="Arial" w:hAnsi="Arial" w:cs="Arial"/>
                <w:sz w:val="20"/>
                <w:szCs w:val="20"/>
              </w:rPr>
              <w:t>Riociguat</w:t>
            </w:r>
          </w:p>
        </w:tc>
        <w:tc>
          <w:tcPr>
            <w:tcW w:w="408" w:type="pct"/>
          </w:tcPr>
          <w:p w14:paraId="47F17107" w14:textId="77777777" w:rsidR="00236FB8" w:rsidRPr="006D2683" w:rsidRDefault="00060C26" w:rsidP="006D2683">
            <w:pPr>
              <w:spacing w:beforeLines="40" w:before="96" w:afterLines="40" w:after="96" w:line="240" w:lineRule="auto"/>
              <w:rPr>
                <w:rFonts w:ascii="Arial" w:hAnsi="Arial" w:cs="Arial"/>
                <w:sz w:val="20"/>
                <w:szCs w:val="20"/>
              </w:rPr>
            </w:pPr>
            <w:proofErr w:type="spellStart"/>
            <w:r w:rsidRPr="006D2683">
              <w:rPr>
                <w:rFonts w:ascii="Arial" w:hAnsi="Arial" w:cs="Arial"/>
                <w:sz w:val="20"/>
                <w:szCs w:val="20"/>
              </w:rPr>
              <w:t>Adempas</w:t>
            </w:r>
            <w:proofErr w:type="spellEnd"/>
            <w:r w:rsidR="00252749" w:rsidRPr="006D2683">
              <w:rPr>
                <w:rFonts w:ascii="Arial" w:hAnsi="Arial" w:cs="Arial"/>
                <w:sz w:val="20"/>
                <w:szCs w:val="20"/>
                <w:vertAlign w:val="superscript"/>
              </w:rPr>
              <w:t>®</w:t>
            </w:r>
          </w:p>
        </w:tc>
        <w:tc>
          <w:tcPr>
            <w:tcW w:w="638" w:type="pct"/>
          </w:tcPr>
          <w:p w14:paraId="148A07C4" w14:textId="77777777" w:rsidR="00236FB8" w:rsidRPr="006D2683" w:rsidRDefault="00236FB8" w:rsidP="006D2683">
            <w:pPr>
              <w:spacing w:beforeLines="40" w:before="96" w:afterLines="40" w:after="96" w:line="240" w:lineRule="auto"/>
              <w:rPr>
                <w:rFonts w:ascii="Arial" w:hAnsi="Arial" w:cs="Arial"/>
                <w:sz w:val="20"/>
                <w:szCs w:val="20"/>
              </w:rPr>
            </w:pPr>
            <w:r w:rsidRPr="006D2683">
              <w:rPr>
                <w:rFonts w:ascii="Arial" w:hAnsi="Arial" w:cs="Arial"/>
                <w:sz w:val="20"/>
                <w:szCs w:val="20"/>
              </w:rPr>
              <w:t>17 March 2017</w:t>
            </w:r>
          </w:p>
        </w:tc>
        <w:tc>
          <w:tcPr>
            <w:tcW w:w="3462" w:type="pct"/>
            <w:shd w:val="clear" w:color="auto" w:fill="auto"/>
            <w:vAlign w:val="center"/>
          </w:tcPr>
          <w:p w14:paraId="0E58A51A" w14:textId="77777777" w:rsidR="00236FB8" w:rsidRPr="006D2683" w:rsidRDefault="00236FB8" w:rsidP="00647D4E">
            <w:pPr>
              <w:spacing w:beforeLines="40" w:before="96" w:afterLines="40" w:after="96" w:line="240" w:lineRule="auto"/>
              <w:ind w:left="176"/>
              <w:rPr>
                <w:rFonts w:ascii="Arial" w:hAnsi="Arial" w:cs="Arial"/>
                <w:i/>
                <w:sz w:val="20"/>
                <w:szCs w:val="20"/>
              </w:rPr>
            </w:pPr>
            <w:r w:rsidRPr="006D2683">
              <w:rPr>
                <w:rFonts w:ascii="Arial" w:hAnsi="Arial" w:cs="Arial"/>
                <w:i/>
                <w:sz w:val="20"/>
                <w:szCs w:val="20"/>
              </w:rPr>
              <w:t>Pulmonary arterial hypertension</w:t>
            </w:r>
          </w:p>
          <w:p w14:paraId="79C28114" w14:textId="77777777" w:rsidR="00236FB8" w:rsidRPr="006D2683" w:rsidRDefault="00060C26" w:rsidP="00647D4E">
            <w:pPr>
              <w:spacing w:beforeLines="40" w:before="96" w:afterLines="40" w:after="96" w:line="240" w:lineRule="auto"/>
              <w:ind w:left="176"/>
              <w:rPr>
                <w:rFonts w:ascii="Arial" w:hAnsi="Arial" w:cs="Arial"/>
                <w:i/>
                <w:sz w:val="20"/>
                <w:szCs w:val="20"/>
              </w:rPr>
            </w:pPr>
            <w:r w:rsidRPr="007B459D">
              <w:rPr>
                <w:rFonts w:ascii="Arial" w:hAnsi="Arial" w:cs="Arial"/>
                <w:i/>
                <w:caps/>
                <w:sz w:val="20"/>
                <w:szCs w:val="20"/>
              </w:rPr>
              <w:t>Adempas</w:t>
            </w:r>
            <w:r w:rsidR="00252749" w:rsidRPr="006D2683">
              <w:rPr>
                <w:rFonts w:ascii="Arial" w:hAnsi="Arial" w:cs="Arial"/>
                <w:i/>
                <w:sz w:val="20"/>
                <w:szCs w:val="20"/>
                <w:vertAlign w:val="superscript"/>
              </w:rPr>
              <w:t>®</w:t>
            </w:r>
            <w:r w:rsidR="00236FB8" w:rsidRPr="006D2683">
              <w:rPr>
                <w:rFonts w:ascii="Arial" w:hAnsi="Arial" w:cs="Arial"/>
                <w:i/>
                <w:sz w:val="20"/>
                <w:szCs w:val="20"/>
              </w:rPr>
              <w:t>, as monotherapy or in combination with approved PAH treatments (endothelin receptor antagonists or inhaled or subcutaneous prostanoids), is indicated for the treatment of:</w:t>
            </w:r>
          </w:p>
          <w:p w14:paraId="35DEC3AB"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r w:rsidRPr="006D2683">
              <w:rPr>
                <w:rFonts w:ascii="Arial" w:hAnsi="Arial" w:cs="Arial"/>
                <w:i/>
                <w:sz w:val="20"/>
                <w:szCs w:val="20"/>
              </w:rPr>
              <w:t>idiopathic pulmonary arterial hypertension</w:t>
            </w:r>
          </w:p>
          <w:p w14:paraId="3E054413"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r w:rsidRPr="006D2683">
              <w:rPr>
                <w:rFonts w:ascii="Arial" w:hAnsi="Arial" w:cs="Arial"/>
                <w:i/>
                <w:sz w:val="20"/>
                <w:szCs w:val="20"/>
              </w:rPr>
              <w:t>heritable pulmonary arterial hypertension</w:t>
            </w:r>
          </w:p>
          <w:p w14:paraId="6B115548"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r w:rsidRPr="006D2683">
              <w:rPr>
                <w:rFonts w:ascii="Arial" w:hAnsi="Arial" w:cs="Arial"/>
                <w:i/>
                <w:sz w:val="20"/>
                <w:szCs w:val="20"/>
              </w:rPr>
              <w:t>pulmonary arterial hypertension associated with connective tissue diseases or</w:t>
            </w:r>
          </w:p>
          <w:p w14:paraId="130196D5"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r w:rsidRPr="006D2683">
              <w:rPr>
                <w:rFonts w:ascii="Arial" w:hAnsi="Arial" w:cs="Arial"/>
                <w:i/>
                <w:sz w:val="20"/>
                <w:szCs w:val="20"/>
              </w:rPr>
              <w:t>pulmonary arterial hypertension associated with congenital heart disease</w:t>
            </w:r>
          </w:p>
          <w:p w14:paraId="3F041D9B" w14:textId="77777777" w:rsidR="00236FB8" w:rsidRPr="006D2683" w:rsidRDefault="00236FB8" w:rsidP="00647D4E">
            <w:pPr>
              <w:spacing w:beforeLines="40" w:before="96" w:afterLines="40" w:after="96" w:line="240" w:lineRule="auto"/>
              <w:ind w:left="176"/>
              <w:rPr>
                <w:rFonts w:ascii="Arial" w:hAnsi="Arial" w:cs="Arial"/>
                <w:i/>
                <w:sz w:val="20"/>
                <w:szCs w:val="20"/>
              </w:rPr>
            </w:pPr>
            <w:proofErr w:type="gramStart"/>
            <w:r w:rsidRPr="006D2683">
              <w:rPr>
                <w:rFonts w:ascii="Arial" w:hAnsi="Arial" w:cs="Arial"/>
                <w:i/>
                <w:sz w:val="20"/>
                <w:szCs w:val="20"/>
              </w:rPr>
              <w:t>in</w:t>
            </w:r>
            <w:proofErr w:type="gramEnd"/>
            <w:r w:rsidRPr="006D2683">
              <w:rPr>
                <w:rFonts w:ascii="Arial" w:hAnsi="Arial" w:cs="Arial"/>
                <w:i/>
                <w:sz w:val="20"/>
                <w:szCs w:val="20"/>
              </w:rPr>
              <w:t xml:space="preserve"> adult patients with WHO functional Class II, </w:t>
            </w:r>
            <w:proofErr w:type="spellStart"/>
            <w:r w:rsidRPr="006D2683">
              <w:rPr>
                <w:rFonts w:ascii="Arial" w:hAnsi="Arial" w:cs="Arial"/>
                <w:i/>
                <w:sz w:val="20"/>
                <w:szCs w:val="20"/>
              </w:rPr>
              <w:t>lll</w:t>
            </w:r>
            <w:proofErr w:type="spellEnd"/>
            <w:r w:rsidRPr="006D2683">
              <w:rPr>
                <w:rFonts w:ascii="Arial" w:hAnsi="Arial" w:cs="Arial"/>
                <w:i/>
                <w:sz w:val="20"/>
                <w:szCs w:val="20"/>
              </w:rPr>
              <w:t xml:space="preserve"> or IV symptoms</w:t>
            </w:r>
            <w:r w:rsidR="00B835D2">
              <w:rPr>
                <w:rFonts w:ascii="Arial" w:hAnsi="Arial" w:cs="Arial"/>
                <w:i/>
                <w:sz w:val="20"/>
                <w:szCs w:val="20"/>
              </w:rPr>
              <w:t>.</w:t>
            </w:r>
          </w:p>
          <w:p w14:paraId="1BF08DF1" w14:textId="77777777" w:rsidR="00236FB8" w:rsidRPr="006D2683" w:rsidRDefault="00236FB8" w:rsidP="00647D4E">
            <w:pPr>
              <w:spacing w:beforeLines="40" w:before="96" w:afterLines="40" w:after="96" w:line="240" w:lineRule="auto"/>
              <w:ind w:left="176"/>
              <w:rPr>
                <w:rFonts w:ascii="Arial" w:hAnsi="Arial" w:cs="Arial"/>
                <w:i/>
                <w:color w:val="A6A6A6" w:themeColor="background1" w:themeShade="A6"/>
                <w:sz w:val="20"/>
                <w:szCs w:val="20"/>
              </w:rPr>
            </w:pPr>
            <w:r w:rsidRPr="006D2683">
              <w:rPr>
                <w:rFonts w:ascii="Arial" w:hAnsi="Arial" w:cs="Arial"/>
                <w:i/>
                <w:color w:val="A6A6A6" w:themeColor="background1" w:themeShade="A6"/>
                <w:sz w:val="20"/>
                <w:szCs w:val="20"/>
              </w:rPr>
              <w:t>Chronic thromboembolic pulmonary hypertension</w:t>
            </w:r>
          </w:p>
          <w:p w14:paraId="768206BA" w14:textId="77777777" w:rsidR="00236FB8" w:rsidRPr="006D2683" w:rsidRDefault="00060C26" w:rsidP="00647D4E">
            <w:pPr>
              <w:spacing w:beforeLines="40" w:before="96" w:afterLines="40" w:after="96" w:line="240" w:lineRule="auto"/>
              <w:ind w:left="176"/>
              <w:rPr>
                <w:rFonts w:ascii="Arial" w:hAnsi="Arial" w:cs="Arial"/>
                <w:i/>
                <w:color w:val="A6A6A6" w:themeColor="background1" w:themeShade="A6"/>
                <w:sz w:val="20"/>
                <w:szCs w:val="20"/>
              </w:rPr>
            </w:pPr>
            <w:r w:rsidRPr="007B459D">
              <w:rPr>
                <w:rFonts w:ascii="Arial" w:hAnsi="Arial" w:cs="Arial"/>
                <w:i/>
                <w:caps/>
                <w:color w:val="A6A6A6" w:themeColor="background1" w:themeShade="A6"/>
                <w:sz w:val="20"/>
                <w:szCs w:val="20"/>
              </w:rPr>
              <w:t>Adempas</w:t>
            </w:r>
            <w:r w:rsidR="00252749" w:rsidRPr="006D2683">
              <w:rPr>
                <w:rFonts w:ascii="Arial" w:hAnsi="Arial" w:cs="Arial"/>
                <w:i/>
                <w:color w:val="A6A6A6" w:themeColor="background1" w:themeShade="A6"/>
                <w:sz w:val="20"/>
                <w:szCs w:val="20"/>
                <w:vertAlign w:val="superscript"/>
              </w:rPr>
              <w:t>®</w:t>
            </w:r>
            <w:r w:rsidR="00236FB8" w:rsidRPr="006D2683">
              <w:rPr>
                <w:rFonts w:ascii="Arial" w:hAnsi="Arial" w:cs="Arial"/>
                <w:i/>
                <w:color w:val="A6A6A6" w:themeColor="background1" w:themeShade="A6"/>
                <w:sz w:val="20"/>
                <w:szCs w:val="20"/>
              </w:rPr>
              <w:t xml:space="preserve"> is indicated for the treatment of:</w:t>
            </w:r>
          </w:p>
          <w:p w14:paraId="754905E7" w14:textId="77777777" w:rsidR="00236FB8" w:rsidRPr="006D2683" w:rsidRDefault="00236FB8" w:rsidP="00647D4E">
            <w:pPr>
              <w:spacing w:beforeLines="40" w:before="96" w:afterLines="40" w:after="96" w:line="240" w:lineRule="auto"/>
              <w:ind w:left="176"/>
              <w:rPr>
                <w:rFonts w:ascii="Arial" w:hAnsi="Arial" w:cs="Arial"/>
                <w:i/>
                <w:color w:val="A6A6A6" w:themeColor="background1" w:themeShade="A6"/>
                <w:sz w:val="20"/>
                <w:szCs w:val="20"/>
              </w:rPr>
            </w:pPr>
            <w:r w:rsidRPr="006D2683">
              <w:rPr>
                <w:rFonts w:ascii="Arial" w:hAnsi="Arial" w:cs="Arial"/>
                <w:i/>
                <w:color w:val="A6A6A6" w:themeColor="background1" w:themeShade="A6"/>
                <w:sz w:val="20"/>
                <w:szCs w:val="20"/>
              </w:rPr>
              <w:t>• Persistent or recurrent chronic thromboembolic pulmonary hypertension (CTEPH) after surgical treatment or</w:t>
            </w:r>
          </w:p>
          <w:p w14:paraId="0D746456" w14:textId="77777777" w:rsidR="00236FB8" w:rsidRPr="006D2683" w:rsidRDefault="00236FB8" w:rsidP="00647D4E">
            <w:pPr>
              <w:spacing w:beforeLines="40" w:before="96" w:afterLines="40" w:after="96" w:line="240" w:lineRule="auto"/>
              <w:ind w:left="176"/>
              <w:rPr>
                <w:rFonts w:ascii="Arial" w:hAnsi="Arial" w:cs="Arial"/>
                <w:i/>
                <w:color w:val="A6A6A6" w:themeColor="background1" w:themeShade="A6"/>
                <w:sz w:val="20"/>
                <w:szCs w:val="20"/>
              </w:rPr>
            </w:pPr>
            <w:r w:rsidRPr="006D2683">
              <w:rPr>
                <w:rFonts w:ascii="Arial" w:hAnsi="Arial" w:cs="Arial"/>
                <w:i/>
                <w:color w:val="A6A6A6" w:themeColor="background1" w:themeShade="A6"/>
                <w:sz w:val="20"/>
                <w:szCs w:val="20"/>
              </w:rPr>
              <w:t>• inoperable CTEPH</w:t>
            </w:r>
          </w:p>
          <w:p w14:paraId="4539DCA2" w14:textId="77777777" w:rsidR="00236FB8" w:rsidRPr="006D2683" w:rsidRDefault="00236FB8" w:rsidP="00647D4E">
            <w:pPr>
              <w:spacing w:beforeLines="40" w:before="96" w:afterLines="40" w:after="96" w:line="240" w:lineRule="auto"/>
              <w:ind w:left="176"/>
              <w:rPr>
                <w:rFonts w:ascii="Arial" w:hAnsi="Arial" w:cs="Arial"/>
                <w:i/>
                <w:sz w:val="20"/>
                <w:szCs w:val="20"/>
              </w:rPr>
            </w:pPr>
            <w:proofErr w:type="gramStart"/>
            <w:r w:rsidRPr="006D2683">
              <w:rPr>
                <w:rFonts w:ascii="Arial" w:hAnsi="Arial" w:cs="Arial"/>
                <w:i/>
                <w:color w:val="A6A6A6" w:themeColor="background1" w:themeShade="A6"/>
                <w:sz w:val="20"/>
                <w:szCs w:val="20"/>
              </w:rPr>
              <w:t>in</w:t>
            </w:r>
            <w:proofErr w:type="gramEnd"/>
            <w:r w:rsidRPr="006D2683">
              <w:rPr>
                <w:rFonts w:ascii="Arial" w:hAnsi="Arial" w:cs="Arial"/>
                <w:i/>
                <w:color w:val="A6A6A6" w:themeColor="background1" w:themeShade="A6"/>
                <w:sz w:val="20"/>
                <w:szCs w:val="20"/>
              </w:rPr>
              <w:t xml:space="preserve"> adult patients with WHO functional Class II, </w:t>
            </w:r>
            <w:proofErr w:type="spellStart"/>
            <w:r w:rsidRPr="006D2683">
              <w:rPr>
                <w:rFonts w:ascii="Arial" w:hAnsi="Arial" w:cs="Arial"/>
                <w:i/>
                <w:color w:val="A6A6A6" w:themeColor="background1" w:themeShade="A6"/>
                <w:sz w:val="20"/>
                <w:szCs w:val="20"/>
              </w:rPr>
              <w:t>lll</w:t>
            </w:r>
            <w:proofErr w:type="spellEnd"/>
            <w:r w:rsidRPr="006D2683">
              <w:rPr>
                <w:rFonts w:ascii="Arial" w:hAnsi="Arial" w:cs="Arial"/>
                <w:i/>
                <w:color w:val="A6A6A6" w:themeColor="background1" w:themeShade="A6"/>
                <w:sz w:val="20"/>
                <w:szCs w:val="20"/>
              </w:rPr>
              <w:t xml:space="preserve"> or IV symptoms</w:t>
            </w:r>
            <w:r w:rsidR="00B835D2">
              <w:rPr>
                <w:rFonts w:ascii="Arial" w:hAnsi="Arial" w:cs="Arial"/>
                <w:i/>
                <w:color w:val="A6A6A6" w:themeColor="background1" w:themeShade="A6"/>
                <w:sz w:val="20"/>
                <w:szCs w:val="20"/>
              </w:rPr>
              <w:t>.</w:t>
            </w:r>
          </w:p>
        </w:tc>
      </w:tr>
      <w:tr w:rsidR="00236FB8" w:rsidRPr="00847CCD" w14:paraId="21410725" w14:textId="77777777" w:rsidTr="006D2683">
        <w:tc>
          <w:tcPr>
            <w:tcW w:w="492" w:type="pct"/>
            <w:shd w:val="clear" w:color="auto" w:fill="auto"/>
          </w:tcPr>
          <w:p w14:paraId="2E29EBE6" w14:textId="77777777" w:rsidR="00236FB8" w:rsidRPr="006D2683" w:rsidRDefault="00236FB8" w:rsidP="006D2683">
            <w:pPr>
              <w:spacing w:beforeLines="40" w:before="96" w:afterLines="40" w:after="96" w:line="240" w:lineRule="auto"/>
              <w:rPr>
                <w:rFonts w:ascii="Arial" w:hAnsi="Arial" w:cs="Arial"/>
                <w:sz w:val="20"/>
                <w:szCs w:val="20"/>
              </w:rPr>
            </w:pPr>
            <w:r w:rsidRPr="006D2683">
              <w:rPr>
                <w:rFonts w:ascii="Arial" w:hAnsi="Arial" w:cs="Arial"/>
                <w:sz w:val="20"/>
                <w:szCs w:val="20"/>
              </w:rPr>
              <w:lastRenderedPageBreak/>
              <w:t>Epoprostenol</w:t>
            </w:r>
          </w:p>
        </w:tc>
        <w:tc>
          <w:tcPr>
            <w:tcW w:w="408" w:type="pct"/>
          </w:tcPr>
          <w:p w14:paraId="194BAB14" w14:textId="77777777" w:rsidR="00236FB8" w:rsidRPr="006D2683" w:rsidRDefault="00060C26" w:rsidP="006D2683">
            <w:pPr>
              <w:spacing w:beforeLines="40" w:before="96" w:afterLines="40" w:after="96" w:line="240" w:lineRule="auto"/>
              <w:rPr>
                <w:rFonts w:ascii="Arial" w:hAnsi="Arial" w:cs="Arial"/>
                <w:sz w:val="20"/>
                <w:szCs w:val="20"/>
              </w:rPr>
            </w:pPr>
            <w:proofErr w:type="spellStart"/>
            <w:r w:rsidRPr="006D2683">
              <w:rPr>
                <w:rFonts w:ascii="Arial" w:hAnsi="Arial" w:cs="Arial"/>
                <w:sz w:val="20"/>
                <w:szCs w:val="20"/>
              </w:rPr>
              <w:t>Flolan</w:t>
            </w:r>
            <w:proofErr w:type="spellEnd"/>
            <w:r w:rsidR="00252749" w:rsidRPr="006D2683">
              <w:rPr>
                <w:rFonts w:ascii="Arial" w:hAnsi="Arial" w:cs="Arial"/>
                <w:sz w:val="20"/>
                <w:szCs w:val="20"/>
                <w:vertAlign w:val="superscript"/>
              </w:rPr>
              <w:t>®</w:t>
            </w:r>
          </w:p>
        </w:tc>
        <w:tc>
          <w:tcPr>
            <w:tcW w:w="638" w:type="pct"/>
          </w:tcPr>
          <w:p w14:paraId="06EECD8D" w14:textId="77777777" w:rsidR="00236FB8" w:rsidRPr="006D2683" w:rsidRDefault="00236FB8" w:rsidP="006D2683">
            <w:pPr>
              <w:spacing w:beforeLines="40" w:before="96" w:afterLines="40" w:after="96" w:line="240" w:lineRule="auto"/>
              <w:rPr>
                <w:rFonts w:ascii="Arial" w:hAnsi="Arial" w:cs="Arial"/>
                <w:sz w:val="20"/>
                <w:szCs w:val="20"/>
                <w:highlight w:val="yellow"/>
              </w:rPr>
            </w:pPr>
            <w:r w:rsidRPr="006D2683">
              <w:rPr>
                <w:rFonts w:ascii="Arial" w:hAnsi="Arial" w:cs="Arial"/>
                <w:sz w:val="20"/>
                <w:szCs w:val="20"/>
              </w:rPr>
              <w:t>3 February 2016</w:t>
            </w:r>
          </w:p>
        </w:tc>
        <w:tc>
          <w:tcPr>
            <w:tcW w:w="3462" w:type="pct"/>
            <w:shd w:val="clear" w:color="auto" w:fill="auto"/>
            <w:vAlign w:val="center"/>
          </w:tcPr>
          <w:p w14:paraId="12503EF1" w14:textId="77777777" w:rsidR="00236FB8" w:rsidRPr="006D2683" w:rsidRDefault="00060C26" w:rsidP="00647D4E">
            <w:pPr>
              <w:spacing w:beforeLines="40" w:before="96" w:afterLines="40" w:after="96" w:line="240" w:lineRule="auto"/>
              <w:ind w:left="176"/>
              <w:rPr>
                <w:rFonts w:ascii="Arial" w:hAnsi="Arial" w:cs="Arial"/>
                <w:i/>
                <w:sz w:val="20"/>
                <w:szCs w:val="20"/>
              </w:rPr>
            </w:pPr>
            <w:r w:rsidRPr="006D2683">
              <w:rPr>
                <w:rFonts w:ascii="Arial" w:hAnsi="Arial" w:cs="Arial"/>
                <w:i/>
                <w:sz w:val="20"/>
                <w:szCs w:val="20"/>
              </w:rPr>
              <w:t>FLOLAN</w:t>
            </w:r>
            <w:r w:rsidR="00252749" w:rsidRPr="006D2683">
              <w:rPr>
                <w:rFonts w:ascii="Arial" w:hAnsi="Arial" w:cs="Arial"/>
                <w:i/>
                <w:sz w:val="20"/>
                <w:szCs w:val="20"/>
                <w:vertAlign w:val="superscript"/>
              </w:rPr>
              <w:t>®</w:t>
            </w:r>
            <w:r w:rsidR="00236FB8" w:rsidRPr="006D2683">
              <w:rPr>
                <w:rFonts w:ascii="Arial" w:hAnsi="Arial" w:cs="Arial"/>
                <w:i/>
                <w:sz w:val="20"/>
                <w:szCs w:val="20"/>
              </w:rPr>
              <w:t xml:space="preserve"> is indicated for the long-term treatment, via continuous intravenous infusion, in WHO functional Class III or Class IV patients with:</w:t>
            </w:r>
          </w:p>
          <w:p w14:paraId="2B8B572E"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r w:rsidRPr="006D2683">
              <w:rPr>
                <w:rFonts w:ascii="Arial" w:hAnsi="Arial" w:cs="Arial"/>
                <w:i/>
                <w:sz w:val="20"/>
                <w:szCs w:val="20"/>
              </w:rPr>
              <w:t>idiopathic pulmonary arterial hypertension</w:t>
            </w:r>
          </w:p>
          <w:p w14:paraId="1B9C38F5"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r w:rsidRPr="006D2683">
              <w:rPr>
                <w:rFonts w:ascii="Arial" w:hAnsi="Arial" w:cs="Arial"/>
                <w:i/>
                <w:sz w:val="20"/>
                <w:szCs w:val="20"/>
              </w:rPr>
              <w:t>familial pulmonary arterial hypertension</w:t>
            </w:r>
          </w:p>
          <w:p w14:paraId="5341E027" w14:textId="77777777" w:rsidR="00236FB8" w:rsidRPr="006D2683" w:rsidRDefault="00236FB8" w:rsidP="00807704">
            <w:pPr>
              <w:pStyle w:val="ListParagraph"/>
              <w:numPr>
                <w:ilvl w:val="0"/>
                <w:numId w:val="13"/>
              </w:numPr>
              <w:spacing w:beforeLines="40" w:before="96" w:afterLines="40" w:after="96" w:line="240" w:lineRule="auto"/>
              <w:ind w:left="176" w:firstLine="0"/>
              <w:contextualSpacing w:val="0"/>
              <w:rPr>
                <w:rFonts w:ascii="Arial" w:hAnsi="Arial" w:cs="Arial"/>
                <w:i/>
                <w:sz w:val="20"/>
                <w:szCs w:val="20"/>
              </w:rPr>
            </w:pPr>
            <w:proofErr w:type="gramStart"/>
            <w:r w:rsidRPr="006D2683">
              <w:rPr>
                <w:rFonts w:ascii="Arial" w:hAnsi="Arial" w:cs="Arial"/>
                <w:i/>
                <w:sz w:val="20"/>
                <w:szCs w:val="20"/>
              </w:rPr>
              <w:t>pulmonary</w:t>
            </w:r>
            <w:proofErr w:type="gramEnd"/>
            <w:r w:rsidRPr="006D2683">
              <w:rPr>
                <w:rFonts w:ascii="Arial" w:hAnsi="Arial" w:cs="Arial"/>
                <w:i/>
                <w:sz w:val="20"/>
                <w:szCs w:val="20"/>
              </w:rPr>
              <w:t xml:space="preserve"> arterial hypertension associated with the scleroderma spectrum of diseases.</w:t>
            </w:r>
          </w:p>
        </w:tc>
      </w:tr>
      <w:tr w:rsidR="00236FB8" w:rsidRPr="00847CCD" w14:paraId="2D46134B" w14:textId="77777777" w:rsidTr="006D2683">
        <w:tc>
          <w:tcPr>
            <w:tcW w:w="492" w:type="pct"/>
            <w:shd w:val="clear" w:color="auto" w:fill="auto"/>
          </w:tcPr>
          <w:p w14:paraId="56BBDB26" w14:textId="77777777" w:rsidR="00236FB8" w:rsidRPr="006D2683" w:rsidRDefault="00236FB8" w:rsidP="006D2683">
            <w:pPr>
              <w:spacing w:beforeLines="40" w:before="96" w:afterLines="40" w:after="96" w:line="240" w:lineRule="auto"/>
              <w:rPr>
                <w:rFonts w:ascii="Arial" w:hAnsi="Arial" w:cs="Arial"/>
                <w:sz w:val="20"/>
                <w:szCs w:val="20"/>
              </w:rPr>
            </w:pPr>
            <w:r w:rsidRPr="006D2683">
              <w:rPr>
                <w:rFonts w:ascii="Arial" w:hAnsi="Arial" w:cs="Arial"/>
                <w:sz w:val="20"/>
                <w:szCs w:val="20"/>
              </w:rPr>
              <w:t>Iloprost</w:t>
            </w:r>
          </w:p>
        </w:tc>
        <w:tc>
          <w:tcPr>
            <w:tcW w:w="408" w:type="pct"/>
          </w:tcPr>
          <w:p w14:paraId="7FD3304B" w14:textId="77777777" w:rsidR="00236FB8" w:rsidRPr="006D2683" w:rsidRDefault="00060C26" w:rsidP="006D2683">
            <w:pPr>
              <w:spacing w:beforeLines="40" w:before="96" w:afterLines="40" w:after="96" w:line="240" w:lineRule="auto"/>
              <w:rPr>
                <w:rFonts w:ascii="Arial" w:hAnsi="Arial" w:cs="Arial"/>
                <w:i/>
                <w:sz w:val="20"/>
                <w:szCs w:val="20"/>
                <w:highlight w:val="yellow"/>
              </w:rPr>
            </w:pPr>
            <w:proofErr w:type="spellStart"/>
            <w:r w:rsidRPr="006D2683">
              <w:rPr>
                <w:rFonts w:ascii="Arial" w:hAnsi="Arial" w:cs="Arial"/>
                <w:sz w:val="20"/>
                <w:szCs w:val="20"/>
              </w:rPr>
              <w:t>Ventavis</w:t>
            </w:r>
            <w:proofErr w:type="spellEnd"/>
            <w:r w:rsidR="00252749" w:rsidRPr="006D2683">
              <w:rPr>
                <w:rFonts w:ascii="Arial" w:hAnsi="Arial" w:cs="Arial"/>
                <w:sz w:val="20"/>
                <w:szCs w:val="20"/>
                <w:vertAlign w:val="superscript"/>
              </w:rPr>
              <w:t>®</w:t>
            </w:r>
          </w:p>
        </w:tc>
        <w:tc>
          <w:tcPr>
            <w:tcW w:w="638" w:type="pct"/>
          </w:tcPr>
          <w:p w14:paraId="63F0B83C" w14:textId="77777777" w:rsidR="00236FB8" w:rsidRPr="006D2683" w:rsidRDefault="00236FB8" w:rsidP="006D2683">
            <w:pPr>
              <w:spacing w:beforeLines="40" w:before="96" w:afterLines="40" w:after="96" w:line="240" w:lineRule="auto"/>
              <w:rPr>
                <w:rFonts w:ascii="Arial" w:hAnsi="Arial" w:cs="Arial"/>
                <w:sz w:val="20"/>
                <w:szCs w:val="20"/>
                <w:highlight w:val="yellow"/>
              </w:rPr>
            </w:pPr>
            <w:r w:rsidRPr="006D2683">
              <w:rPr>
                <w:rFonts w:ascii="Arial" w:hAnsi="Arial" w:cs="Arial"/>
                <w:sz w:val="20"/>
                <w:szCs w:val="20"/>
              </w:rPr>
              <w:t>16 June 2017</w:t>
            </w:r>
          </w:p>
        </w:tc>
        <w:tc>
          <w:tcPr>
            <w:tcW w:w="3462" w:type="pct"/>
            <w:shd w:val="clear" w:color="auto" w:fill="auto"/>
            <w:vAlign w:val="center"/>
          </w:tcPr>
          <w:p w14:paraId="24D8D3E7" w14:textId="77777777" w:rsidR="00236FB8" w:rsidRPr="006D2683" w:rsidRDefault="00236FB8" w:rsidP="00647D4E">
            <w:pPr>
              <w:spacing w:beforeLines="40" w:before="96" w:afterLines="40" w:after="96" w:line="240" w:lineRule="auto"/>
              <w:ind w:left="176"/>
              <w:rPr>
                <w:rFonts w:ascii="Arial" w:hAnsi="Arial" w:cs="Arial"/>
                <w:i/>
                <w:sz w:val="20"/>
                <w:szCs w:val="20"/>
                <w:highlight w:val="yellow"/>
              </w:rPr>
            </w:pPr>
            <w:r w:rsidRPr="006D2683">
              <w:rPr>
                <w:rFonts w:ascii="Arial" w:hAnsi="Arial" w:cs="Arial"/>
                <w:i/>
                <w:sz w:val="20"/>
                <w:szCs w:val="20"/>
              </w:rPr>
              <w:t>Treatment of patients with primary pulmonary hypertension or secondary pulmonary hypertension due to connective tissue disease or drug-induced, in moderate or severe stages of the disease. In addition, treatment of moderate or severe secondary pulmonary hypertension due to chronic pulmonary thromboembolism, where surgery is not possible.</w:t>
            </w:r>
          </w:p>
        </w:tc>
      </w:tr>
      <w:tr w:rsidR="00236FB8" w:rsidRPr="00847CCD" w14:paraId="7BB16CDD" w14:textId="77777777" w:rsidTr="006D2683">
        <w:tc>
          <w:tcPr>
            <w:tcW w:w="492" w:type="pct"/>
            <w:shd w:val="clear" w:color="auto" w:fill="auto"/>
          </w:tcPr>
          <w:p w14:paraId="745EFDEF" w14:textId="77777777" w:rsidR="00236FB8" w:rsidRPr="006D2683" w:rsidRDefault="00F840D7" w:rsidP="006D2683">
            <w:pPr>
              <w:spacing w:beforeLines="40" w:before="96" w:afterLines="40" w:after="96" w:line="240" w:lineRule="auto"/>
              <w:rPr>
                <w:rFonts w:ascii="Arial" w:hAnsi="Arial" w:cs="Arial"/>
                <w:i/>
                <w:color w:val="808080" w:themeColor="background1" w:themeShade="80"/>
                <w:sz w:val="20"/>
                <w:szCs w:val="20"/>
              </w:rPr>
            </w:pPr>
            <w:r w:rsidRPr="006D2683">
              <w:rPr>
                <w:rFonts w:ascii="Arial" w:hAnsi="Arial" w:cs="Arial"/>
                <w:i/>
                <w:color w:val="808080" w:themeColor="background1" w:themeShade="80"/>
                <w:sz w:val="20"/>
                <w:szCs w:val="20"/>
              </w:rPr>
              <w:t>Selexipag</w:t>
            </w:r>
          </w:p>
        </w:tc>
        <w:tc>
          <w:tcPr>
            <w:tcW w:w="408" w:type="pct"/>
          </w:tcPr>
          <w:p w14:paraId="7B40A3EB" w14:textId="77777777" w:rsidR="00236FB8" w:rsidRPr="006D2683" w:rsidRDefault="00236FB8" w:rsidP="006D2683">
            <w:pPr>
              <w:spacing w:beforeLines="40" w:before="96" w:afterLines="40" w:after="96" w:line="240" w:lineRule="auto"/>
              <w:rPr>
                <w:rFonts w:ascii="Arial" w:hAnsi="Arial" w:cs="Arial"/>
                <w:i/>
                <w:color w:val="808080" w:themeColor="background1" w:themeShade="80"/>
                <w:sz w:val="20"/>
                <w:szCs w:val="20"/>
              </w:rPr>
            </w:pPr>
            <w:proofErr w:type="spellStart"/>
            <w:r w:rsidRPr="006D2683">
              <w:rPr>
                <w:rFonts w:ascii="Arial" w:hAnsi="Arial" w:cs="Arial"/>
                <w:i/>
                <w:color w:val="808080" w:themeColor="background1" w:themeShade="80"/>
                <w:sz w:val="20"/>
                <w:szCs w:val="20"/>
              </w:rPr>
              <w:t>Uptravi</w:t>
            </w:r>
            <w:proofErr w:type="spellEnd"/>
            <w:r w:rsidR="00252749" w:rsidRPr="006D2683">
              <w:rPr>
                <w:rFonts w:ascii="Arial" w:hAnsi="Arial" w:cs="Arial"/>
                <w:i/>
                <w:color w:val="808080" w:themeColor="background1" w:themeShade="80"/>
                <w:sz w:val="20"/>
                <w:szCs w:val="20"/>
                <w:vertAlign w:val="superscript"/>
              </w:rPr>
              <w:t>®</w:t>
            </w:r>
          </w:p>
        </w:tc>
        <w:tc>
          <w:tcPr>
            <w:tcW w:w="638" w:type="pct"/>
          </w:tcPr>
          <w:p w14:paraId="79DD765D" w14:textId="77777777" w:rsidR="00236FB8" w:rsidRPr="006D2683" w:rsidRDefault="00236FB8" w:rsidP="006D2683">
            <w:pPr>
              <w:spacing w:beforeLines="40" w:before="96" w:afterLines="40" w:after="96" w:line="240" w:lineRule="auto"/>
              <w:rPr>
                <w:rFonts w:ascii="Arial" w:hAnsi="Arial" w:cs="Arial"/>
                <w:i/>
                <w:color w:val="808080" w:themeColor="background1" w:themeShade="80"/>
                <w:sz w:val="20"/>
                <w:szCs w:val="20"/>
              </w:rPr>
            </w:pPr>
            <w:r w:rsidRPr="006D2683">
              <w:rPr>
                <w:rFonts w:ascii="Arial" w:hAnsi="Arial" w:cs="Arial"/>
                <w:i/>
                <w:color w:val="808080" w:themeColor="background1" w:themeShade="80"/>
                <w:sz w:val="20"/>
                <w:szCs w:val="20"/>
              </w:rPr>
              <w:t>14 July 2016</w:t>
            </w:r>
          </w:p>
        </w:tc>
        <w:tc>
          <w:tcPr>
            <w:tcW w:w="3462" w:type="pct"/>
            <w:shd w:val="clear" w:color="auto" w:fill="auto"/>
            <w:vAlign w:val="center"/>
          </w:tcPr>
          <w:p w14:paraId="4012C1B3" w14:textId="77777777" w:rsidR="00236FB8" w:rsidRPr="006D2683" w:rsidRDefault="00236FB8" w:rsidP="00647D4E">
            <w:pPr>
              <w:spacing w:beforeLines="40" w:before="96" w:afterLines="40" w:after="96" w:line="240" w:lineRule="auto"/>
              <w:ind w:left="176"/>
              <w:rPr>
                <w:rFonts w:ascii="Arial" w:hAnsi="Arial" w:cs="Arial"/>
                <w:i/>
                <w:color w:val="808080" w:themeColor="background1" w:themeShade="80"/>
                <w:sz w:val="20"/>
                <w:szCs w:val="20"/>
              </w:rPr>
            </w:pPr>
            <w:r w:rsidRPr="006D2683">
              <w:rPr>
                <w:rFonts w:ascii="Arial" w:hAnsi="Arial" w:cs="Arial"/>
                <w:i/>
                <w:color w:val="808080" w:themeColor="background1" w:themeShade="80"/>
                <w:sz w:val="20"/>
                <w:szCs w:val="20"/>
              </w:rPr>
              <w:t>UPTRAVI</w:t>
            </w:r>
            <w:r w:rsidR="00252749" w:rsidRPr="006D2683">
              <w:rPr>
                <w:rFonts w:ascii="Arial" w:hAnsi="Arial" w:cs="Arial"/>
                <w:i/>
                <w:color w:val="808080" w:themeColor="background1" w:themeShade="80"/>
                <w:sz w:val="20"/>
                <w:szCs w:val="20"/>
                <w:vertAlign w:val="superscript"/>
              </w:rPr>
              <w:t>®</w:t>
            </w:r>
            <w:r w:rsidRPr="006D2683">
              <w:rPr>
                <w:rFonts w:ascii="Arial" w:hAnsi="Arial" w:cs="Arial"/>
                <w:i/>
                <w:color w:val="808080" w:themeColor="background1" w:themeShade="80"/>
                <w:sz w:val="20"/>
                <w:szCs w:val="20"/>
              </w:rPr>
              <w:t xml:space="preserve"> is indicated for the treatment of:</w:t>
            </w:r>
          </w:p>
          <w:p w14:paraId="2A9DC9DE" w14:textId="77777777" w:rsidR="00236FB8" w:rsidRPr="006D2683" w:rsidRDefault="00236FB8" w:rsidP="00647D4E">
            <w:pPr>
              <w:spacing w:beforeLines="40" w:before="96" w:afterLines="40" w:after="96" w:line="240" w:lineRule="auto"/>
              <w:ind w:left="176"/>
              <w:rPr>
                <w:rFonts w:ascii="Arial" w:hAnsi="Arial" w:cs="Arial"/>
                <w:i/>
                <w:color w:val="808080" w:themeColor="background1" w:themeShade="80"/>
                <w:sz w:val="20"/>
                <w:szCs w:val="20"/>
              </w:rPr>
            </w:pPr>
            <w:r w:rsidRPr="006D2683">
              <w:rPr>
                <w:rFonts w:ascii="Arial" w:hAnsi="Arial" w:cs="Arial"/>
                <w:i/>
                <w:color w:val="808080" w:themeColor="background1" w:themeShade="80"/>
                <w:sz w:val="20"/>
                <w:szCs w:val="20"/>
              </w:rPr>
              <w:t>• idiopathic pulmonary arterial hypertension</w:t>
            </w:r>
          </w:p>
          <w:p w14:paraId="02561B53" w14:textId="77777777" w:rsidR="00236FB8" w:rsidRPr="006D2683" w:rsidRDefault="00236FB8" w:rsidP="00647D4E">
            <w:pPr>
              <w:spacing w:beforeLines="40" w:before="96" w:afterLines="40" w:after="96" w:line="240" w:lineRule="auto"/>
              <w:ind w:left="176"/>
              <w:rPr>
                <w:rFonts w:ascii="Arial" w:hAnsi="Arial" w:cs="Arial"/>
                <w:i/>
                <w:color w:val="808080" w:themeColor="background1" w:themeShade="80"/>
                <w:sz w:val="20"/>
                <w:szCs w:val="20"/>
              </w:rPr>
            </w:pPr>
            <w:r w:rsidRPr="006D2683">
              <w:rPr>
                <w:rFonts w:ascii="Arial" w:hAnsi="Arial" w:cs="Arial"/>
                <w:i/>
                <w:color w:val="808080" w:themeColor="background1" w:themeShade="80"/>
                <w:sz w:val="20"/>
                <w:szCs w:val="20"/>
              </w:rPr>
              <w:t>• heritable pulmonary arterial hypertension</w:t>
            </w:r>
          </w:p>
          <w:p w14:paraId="3C62F22E" w14:textId="77777777" w:rsidR="00236FB8" w:rsidRPr="006D2683" w:rsidRDefault="00236FB8" w:rsidP="00647D4E">
            <w:pPr>
              <w:spacing w:beforeLines="40" w:before="96" w:afterLines="40" w:after="96" w:line="240" w:lineRule="auto"/>
              <w:ind w:left="176"/>
              <w:rPr>
                <w:rFonts w:ascii="Arial" w:hAnsi="Arial" w:cs="Arial"/>
                <w:i/>
                <w:color w:val="808080" w:themeColor="background1" w:themeShade="80"/>
                <w:sz w:val="20"/>
                <w:szCs w:val="20"/>
              </w:rPr>
            </w:pPr>
            <w:r w:rsidRPr="006D2683">
              <w:rPr>
                <w:rFonts w:ascii="Arial" w:hAnsi="Arial" w:cs="Arial"/>
                <w:i/>
                <w:color w:val="808080" w:themeColor="background1" w:themeShade="80"/>
                <w:sz w:val="20"/>
                <w:szCs w:val="20"/>
              </w:rPr>
              <w:t>• pulmonary arterial hypertension associated with connective tissue disease</w:t>
            </w:r>
          </w:p>
          <w:p w14:paraId="3AF19CF0" w14:textId="77777777" w:rsidR="00236FB8" w:rsidRPr="006D2683" w:rsidRDefault="00236FB8" w:rsidP="00647D4E">
            <w:pPr>
              <w:spacing w:beforeLines="40" w:before="96" w:afterLines="40" w:after="96" w:line="240" w:lineRule="auto"/>
              <w:ind w:left="176"/>
              <w:rPr>
                <w:rFonts w:ascii="Arial" w:hAnsi="Arial" w:cs="Arial"/>
                <w:i/>
                <w:color w:val="808080" w:themeColor="background1" w:themeShade="80"/>
                <w:sz w:val="20"/>
                <w:szCs w:val="20"/>
              </w:rPr>
            </w:pPr>
            <w:r w:rsidRPr="006D2683">
              <w:rPr>
                <w:rFonts w:ascii="Arial" w:hAnsi="Arial" w:cs="Arial"/>
                <w:i/>
                <w:color w:val="808080" w:themeColor="background1" w:themeShade="80"/>
                <w:sz w:val="20"/>
                <w:szCs w:val="20"/>
              </w:rPr>
              <w:t>• pulmonary arterial hypertension associated with congenital heart disease with repaired shunts</w:t>
            </w:r>
          </w:p>
          <w:p w14:paraId="621E85F1" w14:textId="77777777" w:rsidR="00236FB8" w:rsidRPr="006D2683" w:rsidRDefault="00236FB8" w:rsidP="00647D4E">
            <w:pPr>
              <w:spacing w:beforeLines="40" w:before="96" w:afterLines="40" w:after="96" w:line="240" w:lineRule="auto"/>
              <w:ind w:left="176"/>
              <w:rPr>
                <w:rFonts w:ascii="Arial" w:hAnsi="Arial" w:cs="Arial"/>
                <w:i/>
                <w:color w:val="808080" w:themeColor="background1" w:themeShade="80"/>
                <w:sz w:val="20"/>
                <w:szCs w:val="20"/>
              </w:rPr>
            </w:pPr>
            <w:r w:rsidRPr="006D2683">
              <w:rPr>
                <w:rFonts w:ascii="Arial" w:hAnsi="Arial" w:cs="Arial"/>
                <w:i/>
                <w:color w:val="808080" w:themeColor="background1" w:themeShade="80"/>
                <w:sz w:val="20"/>
                <w:szCs w:val="20"/>
              </w:rPr>
              <w:t>• pulmonary arterial hypertension associated with drugs and toxins</w:t>
            </w:r>
          </w:p>
          <w:p w14:paraId="480557D3" w14:textId="77777777" w:rsidR="00236FB8" w:rsidRPr="006D2683" w:rsidRDefault="00236FB8" w:rsidP="00647D4E">
            <w:pPr>
              <w:spacing w:beforeLines="40" w:before="96" w:afterLines="40" w:after="96" w:line="240" w:lineRule="auto"/>
              <w:ind w:left="176"/>
              <w:rPr>
                <w:rFonts w:ascii="Arial" w:hAnsi="Arial" w:cs="Arial"/>
                <w:i/>
                <w:color w:val="808080" w:themeColor="background1" w:themeShade="80"/>
                <w:sz w:val="20"/>
                <w:szCs w:val="20"/>
              </w:rPr>
            </w:pPr>
            <w:proofErr w:type="gramStart"/>
            <w:r w:rsidRPr="006D2683">
              <w:rPr>
                <w:rFonts w:ascii="Arial" w:hAnsi="Arial" w:cs="Arial"/>
                <w:i/>
                <w:color w:val="808080" w:themeColor="background1" w:themeShade="80"/>
                <w:sz w:val="20"/>
                <w:szCs w:val="20"/>
              </w:rPr>
              <w:t>in</w:t>
            </w:r>
            <w:proofErr w:type="gramEnd"/>
            <w:r w:rsidRPr="006D2683">
              <w:rPr>
                <w:rFonts w:ascii="Arial" w:hAnsi="Arial" w:cs="Arial"/>
                <w:i/>
                <w:color w:val="808080" w:themeColor="background1" w:themeShade="80"/>
                <w:sz w:val="20"/>
                <w:szCs w:val="20"/>
              </w:rPr>
              <w:t xml:space="preserve"> patients with WHO functional class II, III or IV symptoms.</w:t>
            </w:r>
          </w:p>
          <w:p w14:paraId="10071B5D" w14:textId="77777777" w:rsidR="00236FB8" w:rsidRPr="006D2683" w:rsidRDefault="00236FB8" w:rsidP="00647D4E">
            <w:pPr>
              <w:spacing w:beforeLines="40" w:before="96" w:afterLines="40" w:after="96" w:line="240" w:lineRule="auto"/>
              <w:ind w:left="176"/>
              <w:rPr>
                <w:rFonts w:ascii="Arial" w:hAnsi="Arial" w:cs="Arial"/>
                <w:i/>
                <w:color w:val="808080" w:themeColor="background1" w:themeShade="80"/>
                <w:sz w:val="20"/>
                <w:szCs w:val="20"/>
              </w:rPr>
            </w:pPr>
            <w:r w:rsidRPr="006D2683">
              <w:rPr>
                <w:rFonts w:ascii="Arial" w:hAnsi="Arial" w:cs="Arial"/>
                <w:i/>
                <w:color w:val="808080" w:themeColor="background1" w:themeShade="80"/>
                <w:sz w:val="20"/>
                <w:szCs w:val="20"/>
              </w:rPr>
              <w:t xml:space="preserve">Selexipag </w:t>
            </w:r>
            <w:proofErr w:type="gramStart"/>
            <w:r w:rsidRPr="006D2683">
              <w:rPr>
                <w:rFonts w:ascii="Arial" w:hAnsi="Arial" w:cs="Arial"/>
                <w:i/>
                <w:color w:val="808080" w:themeColor="background1" w:themeShade="80"/>
                <w:sz w:val="20"/>
                <w:szCs w:val="20"/>
              </w:rPr>
              <w:t>can be used</w:t>
            </w:r>
            <w:proofErr w:type="gramEnd"/>
            <w:r w:rsidRPr="006D2683">
              <w:rPr>
                <w:rFonts w:ascii="Arial" w:hAnsi="Arial" w:cs="Arial"/>
                <w:i/>
                <w:color w:val="808080" w:themeColor="background1" w:themeShade="80"/>
                <w:sz w:val="20"/>
                <w:szCs w:val="20"/>
              </w:rPr>
              <w:t xml:space="preserve"> in combination therapy in patients insufficiently controlled with an endothelin receptor antagonist (ERA) and/or a phosphodiesterase type 5 (PDE 5) inhibitor, or as monotherapy in patients who are not candidates for these therapies.</w:t>
            </w:r>
          </w:p>
        </w:tc>
      </w:tr>
    </w:tbl>
    <w:p w14:paraId="60AA4F52" w14:textId="77777777" w:rsidR="00236FB8" w:rsidRPr="00236FB8" w:rsidRDefault="00236FB8" w:rsidP="00121658">
      <w:pPr>
        <w:pStyle w:val="Tablenote"/>
        <w:rPr>
          <w:rFonts w:ascii="Arial Narrow" w:hAnsi="Arial Narrow"/>
          <w:sz w:val="18"/>
        </w:rPr>
      </w:pPr>
      <w:r w:rsidRPr="00236FB8">
        <w:rPr>
          <w:rFonts w:ascii="Arial Narrow" w:hAnsi="Arial Narrow"/>
          <w:sz w:val="18"/>
        </w:rPr>
        <w:t>Source: Relevant product information documents</w:t>
      </w:r>
    </w:p>
    <w:p w14:paraId="00B1F281" w14:textId="77777777" w:rsidR="00236FB8" w:rsidRDefault="00236FB8" w:rsidP="00121658">
      <w:pPr>
        <w:rPr>
          <w:rFonts w:asciiTheme="minorHAnsi" w:hAnsiTheme="minorHAnsi"/>
        </w:rPr>
      </w:pPr>
    </w:p>
    <w:p w14:paraId="45B1000D" w14:textId="77777777" w:rsidR="00236FB8" w:rsidRDefault="00236FB8" w:rsidP="00121658">
      <w:pPr>
        <w:rPr>
          <w:rFonts w:asciiTheme="minorHAnsi" w:hAnsiTheme="minorHAnsi"/>
        </w:rPr>
        <w:sectPr w:rsidR="00236FB8" w:rsidSect="00C978EB">
          <w:footnotePr>
            <w:numFmt w:val="chicago"/>
          </w:footnotePr>
          <w:pgSz w:w="16838" w:h="11906" w:orient="landscape"/>
          <w:pgMar w:top="1440" w:right="1440" w:bottom="1440" w:left="1440" w:header="708" w:footer="708" w:gutter="0"/>
          <w:cols w:space="708"/>
          <w:titlePg/>
          <w:docGrid w:linePitch="360"/>
        </w:sectPr>
      </w:pPr>
    </w:p>
    <w:p w14:paraId="325BCD9D" w14:textId="77777777" w:rsidR="00670DB9" w:rsidRPr="00DA0A26" w:rsidRDefault="00670DB9" w:rsidP="00DE148E">
      <w:pPr>
        <w:pStyle w:val="BodyTextnospacebefore"/>
      </w:pPr>
      <w:bookmarkStart w:id="203" w:name="_Ref503787143"/>
      <w:bookmarkStart w:id="204" w:name="_Toc503800647"/>
      <w:bookmarkStart w:id="205" w:name="_Toc503811599"/>
      <w:r w:rsidRPr="00236FB8">
        <w:lastRenderedPageBreak/>
        <w:t xml:space="preserve">Further details from the current </w:t>
      </w:r>
      <w:r w:rsidR="00940D2C">
        <w:t>Product Information (</w:t>
      </w:r>
      <w:r w:rsidRPr="00236FB8">
        <w:t>PI</w:t>
      </w:r>
      <w:r w:rsidR="00940D2C">
        <w:t>)</w:t>
      </w:r>
      <w:r w:rsidRPr="00236FB8">
        <w:t xml:space="preserve"> for each PAH </w:t>
      </w:r>
      <w:r>
        <w:t>medicine</w:t>
      </w:r>
      <w:r w:rsidRPr="00236FB8">
        <w:t xml:space="preserve"> relevant to this review </w:t>
      </w:r>
      <w:proofErr w:type="gramStart"/>
      <w:r w:rsidRPr="00236FB8">
        <w:t>are given</w:t>
      </w:r>
      <w:proofErr w:type="gramEnd"/>
      <w:r w:rsidRPr="00236FB8">
        <w:t xml:space="preserve"> </w:t>
      </w:r>
      <w:r w:rsidRPr="00DA0A26">
        <w:t>in the Appendices:</w:t>
      </w:r>
    </w:p>
    <w:p w14:paraId="06EBCBA4" w14:textId="77777777" w:rsidR="00670DB9" w:rsidRPr="00DA0A26" w:rsidRDefault="00670DB9" w:rsidP="00921D13">
      <w:pPr>
        <w:pStyle w:val="08Bulletsseriesofsentences"/>
      </w:pPr>
      <w:r w:rsidRPr="00DA0A26">
        <w:t xml:space="preserve">Statements regarding use in combination with other </w:t>
      </w:r>
      <w:r>
        <w:t>PAH medicines</w:t>
      </w:r>
      <w:r w:rsidRPr="00DA0A26">
        <w:t>, whether they be registered indications, warnings or contraindications</w:t>
      </w:r>
      <w:r>
        <w:t>:</w:t>
      </w:r>
      <w:r w:rsidR="00F275ED">
        <w:t xml:space="preserve"> </w:t>
      </w:r>
      <w:r w:rsidR="00505D99">
        <w:t xml:space="preserve">Appendix </w:t>
      </w:r>
      <w:r w:rsidR="00505D99">
        <w:rPr>
          <w:noProof/>
        </w:rPr>
        <w:t>1</w:t>
      </w:r>
      <w:r>
        <w:t>,</w:t>
      </w:r>
      <w:r w:rsidR="00F275ED">
        <w:t xml:space="preserve"> </w:t>
      </w:r>
      <w:r w:rsidR="00505D99" w:rsidRPr="00505D99">
        <w:t>Table 1.20</w:t>
      </w:r>
      <w:r w:rsidR="00433046">
        <w:t>.</w:t>
      </w:r>
    </w:p>
    <w:p w14:paraId="1EF0109F" w14:textId="77777777" w:rsidR="00670DB9" w:rsidRPr="00DA0A26" w:rsidRDefault="00670DB9" w:rsidP="00921D13">
      <w:pPr>
        <w:pStyle w:val="08Bulletsseriesofsentences"/>
      </w:pPr>
      <w:r w:rsidRPr="00DA0A26">
        <w:t>Statements regarding use to treat children</w:t>
      </w:r>
      <w:r>
        <w:t>:</w:t>
      </w:r>
      <w:r w:rsidR="00F275ED">
        <w:t xml:space="preserve"> </w:t>
      </w:r>
      <w:r w:rsidR="00505D99">
        <w:t xml:space="preserve">Appendix </w:t>
      </w:r>
      <w:r w:rsidR="00505D99">
        <w:rPr>
          <w:noProof/>
        </w:rPr>
        <w:t>1</w:t>
      </w:r>
      <w:r>
        <w:t>,</w:t>
      </w:r>
      <w:r w:rsidR="002D1065">
        <w:t xml:space="preserve"> </w:t>
      </w:r>
      <w:r w:rsidR="00505D99" w:rsidRPr="002D2A0A">
        <w:rPr>
          <w:rFonts w:cs="Arial"/>
        </w:rPr>
        <w:t>Table 1.</w:t>
      </w:r>
      <w:r w:rsidR="00505D99">
        <w:rPr>
          <w:rFonts w:cs="Arial"/>
        </w:rPr>
        <w:t>21</w:t>
      </w:r>
      <w:r w:rsidR="00433046">
        <w:t>.</w:t>
      </w:r>
    </w:p>
    <w:p w14:paraId="7ABA6685" w14:textId="77777777" w:rsidR="00670DB9" w:rsidRPr="00236FB8" w:rsidRDefault="00670DB9" w:rsidP="00DE148E">
      <w:pPr>
        <w:pStyle w:val="BodyTextnospacebefore"/>
      </w:pPr>
      <w:r w:rsidRPr="00236FB8">
        <w:t xml:space="preserve">Information from the PI relevant to the key issues for this review is summarised in the following sections, also highlighting any key issues that appear in the corresponding product information for these </w:t>
      </w:r>
      <w:r w:rsidR="00433046">
        <w:t>medicines in Europe or the USA.</w:t>
      </w:r>
    </w:p>
    <w:p w14:paraId="5BFBF673" w14:textId="77777777" w:rsidR="00670DB9" w:rsidRDefault="00670DB9" w:rsidP="00DE148E">
      <w:pPr>
        <w:pStyle w:val="BodyTextnospacebefore"/>
      </w:pPr>
      <w:r w:rsidRPr="00236FB8">
        <w:t xml:space="preserve">All </w:t>
      </w:r>
      <w:r>
        <w:t>PAH medicines</w:t>
      </w:r>
      <w:r w:rsidRPr="00236FB8">
        <w:t xml:space="preserve"> currently listed on the PBS are ARTG registered for treatment of patients with WHO FC II PAH, except epoprostenol and iloprost (Class III and IV only). The </w:t>
      </w:r>
      <w:r>
        <w:t>PDE</w:t>
      </w:r>
      <w:r>
        <w:noBreakHyphen/>
        <w:t>5</w:t>
      </w:r>
      <w:r w:rsidRPr="00236FB8">
        <w:t xml:space="preserve"> inhibitors </w:t>
      </w:r>
      <w:proofErr w:type="gramStart"/>
      <w:r w:rsidRPr="00236FB8">
        <w:t>are only approved</w:t>
      </w:r>
      <w:proofErr w:type="gramEnd"/>
      <w:r w:rsidRPr="00236FB8">
        <w:t xml:space="preserve"> to treat Class II and III</w:t>
      </w:r>
      <w:r>
        <w:t xml:space="preserve">. </w:t>
      </w:r>
      <w:r w:rsidRPr="00236FB8">
        <w:t xml:space="preserve">The other oral </w:t>
      </w:r>
      <w:r>
        <w:t>medicine</w:t>
      </w:r>
      <w:r w:rsidRPr="00236FB8">
        <w:t xml:space="preserve">s </w:t>
      </w:r>
      <w:proofErr w:type="gramStart"/>
      <w:r w:rsidRPr="00236FB8">
        <w:t>are approved</w:t>
      </w:r>
      <w:proofErr w:type="gramEnd"/>
      <w:r w:rsidRPr="00236FB8">
        <w:t xml:space="preserve"> for classes II, III and IV.</w:t>
      </w:r>
      <w:r>
        <w:t xml:space="preserve"> </w:t>
      </w:r>
      <w:r w:rsidRPr="00236FB8">
        <w:t>T</w:t>
      </w:r>
      <w:r>
        <w:t xml:space="preserve">he registered indication for </w:t>
      </w:r>
      <w:r w:rsidR="00F275ED">
        <w:t>il</w:t>
      </w:r>
      <w:r w:rsidR="00F275ED" w:rsidRPr="00236FB8">
        <w:t>oprost</w:t>
      </w:r>
      <w:r>
        <w:t xml:space="preserve"> </w:t>
      </w:r>
      <w:proofErr w:type="gramStart"/>
      <w:r w:rsidRPr="00236FB8">
        <w:t>makes no reference</w:t>
      </w:r>
      <w:proofErr w:type="gramEnd"/>
      <w:r w:rsidRPr="00236FB8">
        <w:t xml:space="preserve"> to WHO Functional Class but refers instead to moderate or severe disease</w:t>
      </w:r>
      <w:r>
        <w:t xml:space="preserve">. </w:t>
      </w:r>
      <w:r w:rsidRPr="00236FB8">
        <w:t xml:space="preserve">This </w:t>
      </w:r>
      <w:proofErr w:type="gramStart"/>
      <w:r w:rsidRPr="00236FB8">
        <w:t>is assumed</w:t>
      </w:r>
      <w:proofErr w:type="gramEnd"/>
      <w:r w:rsidRPr="00236FB8">
        <w:t xml:space="preserve"> to correspond more or less to Class III or Class IV PAH</w:t>
      </w:r>
      <w:r>
        <w:t>.</w:t>
      </w:r>
    </w:p>
    <w:p w14:paraId="6C2A769C" w14:textId="77777777" w:rsidR="0045766E" w:rsidRPr="00DE148E" w:rsidRDefault="0045766E" w:rsidP="00DE148E">
      <w:pPr>
        <w:pStyle w:val="BodyTextnospacebefore"/>
        <w:rPr>
          <w:b/>
        </w:rPr>
      </w:pPr>
      <w:r w:rsidRPr="00DE148E">
        <w:rPr>
          <w:b/>
        </w:rPr>
        <w:t>Calcium Channel Blockers for PAH</w:t>
      </w:r>
    </w:p>
    <w:p w14:paraId="341540E6" w14:textId="77777777" w:rsidR="004F0200" w:rsidRDefault="0045766E" w:rsidP="00DE148E">
      <w:pPr>
        <w:pStyle w:val="BodyTextnospacebefore"/>
      </w:pPr>
      <w:r w:rsidRPr="0045766E">
        <w:t xml:space="preserve">None of the CCBs registered on the ARTG </w:t>
      </w:r>
      <w:proofErr w:type="gramStart"/>
      <w:r w:rsidRPr="0045766E">
        <w:t>are approved</w:t>
      </w:r>
      <w:proofErr w:type="gramEnd"/>
      <w:r w:rsidRPr="0045766E">
        <w:t xml:space="preserve"> for treatment of PAH. Diltiazem, </w:t>
      </w:r>
      <w:proofErr w:type="spellStart"/>
      <w:r w:rsidR="00826896" w:rsidRPr="0045766E">
        <w:t>nifedipine</w:t>
      </w:r>
      <w:proofErr w:type="spellEnd"/>
      <w:r w:rsidR="00826896" w:rsidRPr="0045766E">
        <w:t xml:space="preserve"> </w:t>
      </w:r>
      <w:r w:rsidRPr="0045766E">
        <w:t xml:space="preserve">and </w:t>
      </w:r>
      <w:r w:rsidR="00826896" w:rsidRPr="0045766E">
        <w:t xml:space="preserve">amlodipine </w:t>
      </w:r>
      <w:proofErr w:type="gramStart"/>
      <w:r w:rsidRPr="0045766E">
        <w:t>are registered</w:t>
      </w:r>
      <w:proofErr w:type="gramEnd"/>
      <w:r w:rsidRPr="0045766E">
        <w:t xml:space="preserve"> for systemic hypertension and stable angina. Use of high dose CCBs in PAH patients is off-label, although this clinical practice has occurred since at least the early 1990s given the absence of targeted </w:t>
      </w:r>
      <w:r w:rsidR="00F95235">
        <w:t>PAH medicines</w:t>
      </w:r>
      <w:r w:rsidRPr="0045766E">
        <w:t xml:space="preserve"> at the time. The situation is the same in overseas markets. </w:t>
      </w:r>
      <w:r w:rsidR="004F0200" w:rsidRPr="0045766E">
        <w:t xml:space="preserve">The Australian PIs for CCBs do not mention treatment of PAH patients, in particular the high dose regimens recommended for PAH treatment or adverse events associated </w:t>
      </w:r>
      <w:r w:rsidR="00433046">
        <w:t>with it.</w:t>
      </w:r>
    </w:p>
    <w:p w14:paraId="2E6785B5" w14:textId="77777777" w:rsidR="0045766E" w:rsidRPr="0045766E" w:rsidRDefault="004F0200" w:rsidP="00DE148E">
      <w:pPr>
        <w:pStyle w:val="BodyTextnospacebefore"/>
      </w:pPr>
      <w:proofErr w:type="gramStart"/>
      <w:r>
        <w:t>PAH</w:t>
      </w:r>
      <w:proofErr w:type="gramEnd"/>
      <w:r>
        <w:t xml:space="preserve"> guideline dose recommendations and safety warnings</w:t>
      </w:r>
      <w:r w:rsidR="00302755">
        <w:t xml:space="preserve"> for high dose CCB therapy</w:t>
      </w:r>
      <w:r>
        <w:t xml:space="preserve"> are in </w:t>
      </w:r>
      <w:r w:rsidR="00505D99">
        <w:t>Table 1.8</w:t>
      </w:r>
      <w:r w:rsidR="00505D99" w:rsidRPr="00250EDE">
        <w:t xml:space="preserve"> </w:t>
      </w:r>
      <w:r w:rsidR="00505D99">
        <w:tab/>
        <w:t>Guideline recommendations regarding high dose CCBs</w:t>
      </w:r>
      <w:r w:rsidR="00433046">
        <w:t>.</w:t>
      </w:r>
    </w:p>
    <w:p w14:paraId="5481358A" w14:textId="77777777" w:rsidR="00236FB8" w:rsidRPr="00DE148E" w:rsidRDefault="000A0384" w:rsidP="00DE148E">
      <w:pPr>
        <w:pStyle w:val="BodyTextnospacebefore"/>
        <w:rPr>
          <w:b/>
        </w:rPr>
      </w:pPr>
      <w:bookmarkStart w:id="206" w:name="_Ref505888025"/>
      <w:bookmarkStart w:id="207" w:name="PI"/>
      <w:r w:rsidRPr="00DE148E">
        <w:rPr>
          <w:b/>
        </w:rPr>
        <w:t xml:space="preserve">Information in the </w:t>
      </w:r>
      <w:r w:rsidR="00D04A4A">
        <w:rPr>
          <w:b/>
        </w:rPr>
        <w:t>Product Information</w:t>
      </w:r>
      <w:r w:rsidR="00D04A4A" w:rsidRPr="00DE148E">
        <w:rPr>
          <w:b/>
        </w:rPr>
        <w:t xml:space="preserve"> </w:t>
      </w:r>
      <w:r w:rsidRPr="00DE148E">
        <w:rPr>
          <w:b/>
        </w:rPr>
        <w:t>regarding c</w:t>
      </w:r>
      <w:r w:rsidR="00236FB8" w:rsidRPr="00DE148E">
        <w:rPr>
          <w:b/>
        </w:rPr>
        <w:t>ombination use of PAH medicines</w:t>
      </w:r>
      <w:bookmarkEnd w:id="203"/>
      <w:bookmarkEnd w:id="204"/>
      <w:bookmarkEnd w:id="205"/>
      <w:bookmarkEnd w:id="206"/>
    </w:p>
    <w:bookmarkEnd w:id="207"/>
    <w:p w14:paraId="7BEFBF3A" w14:textId="77777777" w:rsidR="004B69E5" w:rsidRDefault="004B69E5" w:rsidP="00DE148E">
      <w:pPr>
        <w:pStyle w:val="BodyTextnospacebefore"/>
      </w:pPr>
      <w:r w:rsidRPr="004B69E5">
        <w:t xml:space="preserve">PI statements regarding use in combination with other </w:t>
      </w:r>
      <w:r w:rsidR="00F95235">
        <w:t>PAH medicines</w:t>
      </w:r>
      <w:r w:rsidRPr="004B69E5">
        <w:t xml:space="preserve">, </w:t>
      </w:r>
      <w:r w:rsidR="004F0200">
        <w:t xml:space="preserve">including </w:t>
      </w:r>
      <w:r w:rsidRPr="004B69E5">
        <w:t xml:space="preserve">registered indications, warnings </w:t>
      </w:r>
      <w:r w:rsidR="004F0200">
        <w:t>and</w:t>
      </w:r>
      <w:r w:rsidRPr="004B69E5">
        <w:t xml:space="preserve"> contraindications, </w:t>
      </w:r>
      <w:proofErr w:type="gramStart"/>
      <w:r w:rsidRPr="004B69E5">
        <w:t>are presented</w:t>
      </w:r>
      <w:proofErr w:type="gramEnd"/>
      <w:r w:rsidRPr="004B69E5">
        <w:t xml:space="preserve"> in</w:t>
      </w:r>
      <w:r w:rsidR="00F275ED">
        <w:t xml:space="preserve"> </w:t>
      </w:r>
      <w:r w:rsidR="00505D99">
        <w:t xml:space="preserve">Appendix </w:t>
      </w:r>
      <w:r w:rsidR="00505D99">
        <w:rPr>
          <w:noProof/>
        </w:rPr>
        <w:t>1</w:t>
      </w:r>
      <w:r w:rsidR="00B44F17">
        <w:t>,</w:t>
      </w:r>
      <w:r w:rsidR="00F275ED">
        <w:t xml:space="preserve"> </w:t>
      </w:r>
      <w:r w:rsidR="00505D99" w:rsidRPr="002D2A0A">
        <w:rPr>
          <w:rFonts w:cs="Arial"/>
        </w:rPr>
        <w:t>Table 1.</w:t>
      </w:r>
      <w:r w:rsidR="00505D99">
        <w:rPr>
          <w:rFonts w:cs="Arial"/>
          <w:noProof/>
        </w:rPr>
        <w:t>20</w:t>
      </w:r>
      <w:r w:rsidR="003D4C66">
        <w:t>.</w:t>
      </w:r>
    </w:p>
    <w:p w14:paraId="37881AF1" w14:textId="77777777" w:rsidR="00236FB8" w:rsidRPr="00236FB8" w:rsidRDefault="00236FB8" w:rsidP="00DE148E">
      <w:pPr>
        <w:pStyle w:val="BodyTextnospacebefore"/>
      </w:pPr>
      <w:r w:rsidRPr="00236FB8">
        <w:t xml:space="preserve">Three </w:t>
      </w:r>
      <w:proofErr w:type="gramStart"/>
      <w:r w:rsidRPr="00236FB8">
        <w:t>PAH</w:t>
      </w:r>
      <w:proofErr w:type="gramEnd"/>
      <w:r w:rsidRPr="00236FB8">
        <w:t xml:space="preserve"> medicines are approved in Australia for add-on or combination use:</w:t>
      </w:r>
    </w:p>
    <w:p w14:paraId="7B7E6797" w14:textId="77777777" w:rsidR="00236FB8" w:rsidRPr="00236FB8" w:rsidRDefault="00433046" w:rsidP="00921D13">
      <w:pPr>
        <w:pStyle w:val="08Bulletsseriesofsentences"/>
      </w:pPr>
      <w:r>
        <w:t>Ambrisentan + tadalafil</w:t>
      </w:r>
    </w:p>
    <w:p w14:paraId="3B58F61B" w14:textId="77777777" w:rsidR="00236FB8" w:rsidRPr="00236FB8" w:rsidRDefault="00236FB8" w:rsidP="00921D13">
      <w:pPr>
        <w:pStyle w:val="08Bulletsseriesofsentences"/>
      </w:pPr>
      <w:r w:rsidRPr="00236FB8">
        <w:t>Macitentan +</w:t>
      </w:r>
      <w:r w:rsidR="00940D2C">
        <w:t xml:space="preserve"> </w:t>
      </w:r>
      <w:r w:rsidR="00AF191D">
        <w:t>PDE</w:t>
      </w:r>
      <w:r w:rsidR="00AF191D">
        <w:noBreakHyphen/>
        <w:t>5</w:t>
      </w:r>
      <w:r w:rsidRPr="00236FB8">
        <w:t xml:space="preserve"> inh</w:t>
      </w:r>
      <w:r w:rsidR="00433046">
        <w:t>ibitors or inhaled prostanoids</w:t>
      </w:r>
    </w:p>
    <w:p w14:paraId="5EE63329" w14:textId="77777777" w:rsidR="00236FB8" w:rsidRPr="00236FB8" w:rsidRDefault="00236FB8" w:rsidP="00921D13">
      <w:pPr>
        <w:pStyle w:val="08Bulletsseriesofsentences"/>
      </w:pPr>
      <w:r w:rsidRPr="00236FB8">
        <w:t>Riociguat +</w:t>
      </w:r>
      <w:r w:rsidR="00940D2C">
        <w:t xml:space="preserve"> </w:t>
      </w:r>
      <w:r w:rsidRPr="00236FB8">
        <w:t xml:space="preserve">ERAs or inhaled or </w:t>
      </w:r>
      <w:r w:rsidRPr="005D24C7">
        <w:t>subcutaneous</w:t>
      </w:r>
      <w:r w:rsidRPr="00236FB8">
        <w:t xml:space="preserve"> prostanoids</w:t>
      </w:r>
      <w:r w:rsidR="00433046">
        <w:t>.</w:t>
      </w:r>
    </w:p>
    <w:p w14:paraId="4045A56E" w14:textId="77777777" w:rsidR="00236FB8" w:rsidRPr="00236FB8" w:rsidRDefault="00236FB8" w:rsidP="00DE148E">
      <w:pPr>
        <w:pStyle w:val="BodyTextnospacebefore"/>
      </w:pPr>
      <w:r w:rsidRPr="00236FB8">
        <w:t xml:space="preserve">Use in combination with tadalafil is a registered indication for ambrisentan and this </w:t>
      </w:r>
      <w:proofErr w:type="gramStart"/>
      <w:r w:rsidRPr="00236FB8">
        <w:t>is reflected</w:t>
      </w:r>
      <w:proofErr w:type="gramEnd"/>
      <w:r w:rsidRPr="00236FB8">
        <w:t xml:space="preserve"> in support</w:t>
      </w:r>
      <w:r w:rsidR="004B69E5">
        <w:t>ing information in the PI. T</w:t>
      </w:r>
      <w:r w:rsidRPr="00236FB8">
        <w:t xml:space="preserve">he PI for tadalafil is silent on this particular combination and makes </w:t>
      </w:r>
      <w:r w:rsidR="004B69E5">
        <w:t>no mention of ambrisentan</w:t>
      </w:r>
      <w:r w:rsidR="009301E0">
        <w:t>.</w:t>
      </w:r>
    </w:p>
    <w:p w14:paraId="4AE83843" w14:textId="77777777" w:rsidR="00236FB8" w:rsidRPr="00236FB8" w:rsidRDefault="00236FB8" w:rsidP="00DE148E">
      <w:pPr>
        <w:pStyle w:val="BodyTextnospacebefore"/>
      </w:pPr>
      <w:r w:rsidRPr="00236FB8">
        <w:lastRenderedPageBreak/>
        <w:t xml:space="preserve">The PIs of </w:t>
      </w:r>
      <w:r w:rsidR="00F95235">
        <w:t>PAH medicines</w:t>
      </w:r>
      <w:r w:rsidRPr="00236FB8">
        <w:t xml:space="preserve"> contain several warnings and contraindications regarding certain combinations:</w:t>
      </w:r>
    </w:p>
    <w:p w14:paraId="49C3513C" w14:textId="77777777" w:rsidR="00236FB8" w:rsidRPr="00236FB8" w:rsidRDefault="00236FB8" w:rsidP="00921D13">
      <w:pPr>
        <w:pStyle w:val="08Bulletsseriesofsentences"/>
      </w:pPr>
      <w:r w:rsidRPr="00236FB8">
        <w:t>Contraindication: Riociguat + PDE</w:t>
      </w:r>
      <w:r w:rsidR="006F26C5">
        <w:t>-</w:t>
      </w:r>
      <w:r w:rsidRPr="00236FB8">
        <w:t xml:space="preserve">5 inhibitors (tadalafil; sildenafil), due to high risk of hypotensive effects, especially syncope, and lack </w:t>
      </w:r>
      <w:r w:rsidR="009301E0">
        <w:t>of incremental clinical benefit.</w:t>
      </w:r>
    </w:p>
    <w:p w14:paraId="65103E0A" w14:textId="77777777" w:rsidR="00236FB8" w:rsidRPr="00236FB8" w:rsidRDefault="00236FB8" w:rsidP="00921D13">
      <w:pPr>
        <w:pStyle w:val="08Bulletsseriesofsentences"/>
      </w:pPr>
      <w:r w:rsidRPr="00236FB8">
        <w:t>Precaution: Bosentan + sildenafil, due to the altered pharmacokinetics of both drugs when co-administered.</w:t>
      </w:r>
    </w:p>
    <w:p w14:paraId="3B28FE45" w14:textId="77777777" w:rsidR="00236FB8" w:rsidRPr="00236FB8" w:rsidRDefault="00236FB8" w:rsidP="00DE148E">
      <w:pPr>
        <w:pStyle w:val="BodyTextnospacebefore"/>
      </w:pPr>
      <w:r w:rsidRPr="00236FB8">
        <w:t xml:space="preserve">Riociguat </w:t>
      </w:r>
      <w:proofErr w:type="gramStart"/>
      <w:r w:rsidRPr="00236FB8">
        <w:t>is contraindicated</w:t>
      </w:r>
      <w:proofErr w:type="gramEnd"/>
      <w:r w:rsidRPr="00236FB8">
        <w:t xml:space="preserve"> for co-administration with both sildenafil and tadalafil as it may lead to symptomatic hypot</w:t>
      </w:r>
      <w:r w:rsidR="004B69E5">
        <w:t>ension including syncope. T</w:t>
      </w:r>
      <w:r w:rsidRPr="00236FB8">
        <w:t>his is a contraindication not merely a precaution</w:t>
      </w:r>
      <w:r w:rsidR="00524771">
        <w:t>. The PI states this</w:t>
      </w:r>
      <w:r w:rsidR="00B92C85">
        <w:t xml:space="preserve"> is</w:t>
      </w:r>
      <w:r w:rsidRPr="00236FB8">
        <w:t xml:space="preserve"> due to: (1) the high rate of discontinuations due to hypotension in patients receiving this combination, along with; (2) the lack of evidence for any clinical benefit compared with monotherapy (sildenafil).</w:t>
      </w:r>
    </w:p>
    <w:p w14:paraId="2EAF617A" w14:textId="77777777" w:rsidR="00236FB8" w:rsidRPr="00236FB8" w:rsidRDefault="00236FB8" w:rsidP="00DE148E">
      <w:pPr>
        <w:pStyle w:val="BodyTextnospacebefore"/>
      </w:pPr>
      <w:r w:rsidRPr="00236FB8">
        <w:t>The approved indications for macitentan and riociguat refer to use in combination with inhaled and/ or subcutaneous prostanoids, specified by their route of administration</w:t>
      </w:r>
      <w:r w:rsidR="00C6734D">
        <w:t xml:space="preserve">. </w:t>
      </w:r>
      <w:r w:rsidRPr="00236FB8">
        <w:t>Only one inhaled prostanoid is available in Australia (iloprost), a</w:t>
      </w:r>
      <w:r w:rsidR="009301E0">
        <w:t>nd no subcutaneous prostanoids.</w:t>
      </w:r>
    </w:p>
    <w:p w14:paraId="193B58F1" w14:textId="77777777" w:rsidR="00236FB8" w:rsidRPr="00236FB8" w:rsidRDefault="00236FB8" w:rsidP="00DE148E">
      <w:pPr>
        <w:pStyle w:val="BodyTextnospacebefore"/>
      </w:pPr>
      <w:r w:rsidRPr="00236FB8">
        <w:t>The two prostanoids and riociguat each involve a dose initiation phase, with monitoring for adverse effects / haemodynamic variables and dose titration accordingly</w:t>
      </w:r>
      <w:r w:rsidR="00C6734D">
        <w:t xml:space="preserve">. </w:t>
      </w:r>
      <w:r w:rsidRPr="00236FB8">
        <w:t xml:space="preserve">In principle, patients should be stabilised on one agent first before commencing with dosing of the second. </w:t>
      </w:r>
      <w:r w:rsidR="004F0200">
        <w:t>A</w:t>
      </w:r>
      <w:r w:rsidR="009B4C9C" w:rsidRPr="009B4C9C">
        <w:t xml:space="preserve"> 2017 report by Strange </w:t>
      </w:r>
      <w:proofErr w:type="gramStart"/>
      <w:r w:rsidR="009B4C9C" w:rsidRPr="00302755">
        <w:rPr>
          <w:i/>
        </w:rPr>
        <w:t>et</w:t>
      </w:r>
      <w:proofErr w:type="gramEnd"/>
      <w:r w:rsidR="009B4C9C" w:rsidRPr="00302755">
        <w:rPr>
          <w:i/>
        </w:rPr>
        <w:t xml:space="preserve"> al</w:t>
      </w:r>
      <w:r w:rsidR="009C556B" w:rsidRPr="009C556B">
        <w:rPr>
          <w:noProof/>
          <w:vertAlign w:val="superscript"/>
          <w:lang w:eastAsia="en-AU"/>
        </w:rPr>
        <w:t>14</w:t>
      </w:r>
      <w:r w:rsidR="004F0200">
        <w:t xml:space="preserve"> defined</w:t>
      </w:r>
      <w:r w:rsidR="009B4C9C" w:rsidRPr="009B4C9C">
        <w:t xml:space="preserve"> initiation of two PAH medicines within 30 days as initial</w:t>
      </w:r>
      <w:r w:rsidR="009B4C9C">
        <w:t xml:space="preserve"> combination therapy</w:t>
      </w:r>
      <w:r w:rsidR="004F0200">
        <w:t xml:space="preserve"> though it is unknown if</w:t>
      </w:r>
      <w:r w:rsidR="009B4C9C">
        <w:t xml:space="preserve"> this is representative of current clinical practice in Australia</w:t>
      </w:r>
      <w:r w:rsidR="009301E0">
        <w:t>.</w:t>
      </w:r>
    </w:p>
    <w:p w14:paraId="14CFE44E" w14:textId="77777777" w:rsidR="00236FB8" w:rsidRPr="00DE148E" w:rsidRDefault="00236FB8" w:rsidP="00121658">
      <w:pPr>
        <w:pStyle w:val="Heading5"/>
        <w:jc w:val="left"/>
        <w:rPr>
          <w:rFonts w:asciiTheme="minorHAnsi" w:hAnsiTheme="minorHAnsi"/>
        </w:rPr>
      </w:pPr>
      <w:r w:rsidRPr="00DE148E">
        <w:rPr>
          <w:rFonts w:asciiTheme="minorHAnsi" w:hAnsiTheme="minorHAnsi"/>
        </w:rPr>
        <w:t xml:space="preserve">Drug interactions between ERAs and </w:t>
      </w:r>
      <w:r w:rsidR="00AF191D" w:rsidRPr="00DE148E">
        <w:rPr>
          <w:rFonts w:asciiTheme="minorHAnsi" w:hAnsiTheme="minorHAnsi"/>
        </w:rPr>
        <w:t>PDE</w:t>
      </w:r>
      <w:r w:rsidR="00AF191D" w:rsidRPr="00DE148E">
        <w:rPr>
          <w:rFonts w:asciiTheme="minorHAnsi" w:hAnsiTheme="minorHAnsi"/>
        </w:rPr>
        <w:noBreakHyphen/>
        <w:t>5</w:t>
      </w:r>
      <w:r w:rsidRPr="00DE148E">
        <w:rPr>
          <w:rFonts w:asciiTheme="minorHAnsi" w:hAnsiTheme="minorHAnsi"/>
        </w:rPr>
        <w:t xml:space="preserve"> inhibitors</w:t>
      </w:r>
    </w:p>
    <w:p w14:paraId="06763425" w14:textId="77777777" w:rsidR="00236FB8" w:rsidRPr="00236FB8" w:rsidRDefault="00236FB8" w:rsidP="00DE148E">
      <w:pPr>
        <w:pStyle w:val="BodyTextnospacebefore"/>
      </w:pPr>
      <w:r w:rsidRPr="00236FB8">
        <w:t xml:space="preserve">Both ambrisentan and macitentan </w:t>
      </w:r>
      <w:proofErr w:type="gramStart"/>
      <w:r w:rsidRPr="00236FB8">
        <w:t>are approved</w:t>
      </w:r>
      <w:proofErr w:type="gramEnd"/>
      <w:r w:rsidRPr="00236FB8">
        <w:t xml:space="preserve"> for use with one or more </w:t>
      </w:r>
      <w:r w:rsidR="00AF191D">
        <w:t>PDE</w:t>
      </w:r>
      <w:r w:rsidR="00AF191D">
        <w:noBreakHyphen/>
        <w:t>5</w:t>
      </w:r>
      <w:r w:rsidRPr="00236FB8">
        <w:t xml:space="preserve"> inhibitors</w:t>
      </w:r>
      <w:r w:rsidR="00C6734D">
        <w:t xml:space="preserve">. </w:t>
      </w:r>
      <w:r w:rsidR="004F0200">
        <w:t>Bosentan</w:t>
      </w:r>
      <w:r w:rsidRPr="00236FB8">
        <w:t xml:space="preserve"> </w:t>
      </w:r>
      <w:proofErr w:type="gramStart"/>
      <w:r w:rsidRPr="00236FB8">
        <w:t>is not approved</w:t>
      </w:r>
      <w:proofErr w:type="gramEnd"/>
      <w:r w:rsidRPr="00236FB8">
        <w:t xml:space="preserve"> in Aus</w:t>
      </w:r>
      <w:r w:rsidR="009301E0">
        <w:t>tralia for any combination use.</w:t>
      </w:r>
    </w:p>
    <w:p w14:paraId="7FBB1E91" w14:textId="77777777" w:rsidR="00236FB8" w:rsidRPr="00236FB8" w:rsidRDefault="00236FB8" w:rsidP="00DE148E">
      <w:pPr>
        <w:pStyle w:val="BodyTextnospacebefore"/>
      </w:pPr>
      <w:r w:rsidRPr="00236FB8">
        <w:t xml:space="preserve">Bosentan </w:t>
      </w:r>
      <w:proofErr w:type="gramStart"/>
      <w:r w:rsidRPr="00236FB8">
        <w:t>has been shown</w:t>
      </w:r>
      <w:proofErr w:type="gramEnd"/>
      <w:r w:rsidRPr="00236FB8">
        <w:t xml:space="preserve"> to interact with sildenafil, altering the pharmacokinetics of both molecules</w:t>
      </w:r>
      <w:r w:rsidR="009C556B" w:rsidRPr="009C556B">
        <w:rPr>
          <w:noProof/>
          <w:vertAlign w:val="superscript"/>
        </w:rPr>
        <w:t>35</w:t>
      </w:r>
      <w:r w:rsidR="00C6734D">
        <w:t xml:space="preserve">. </w:t>
      </w:r>
      <w:r w:rsidRPr="00236FB8">
        <w:t>A study in healthy volunteers resulted in a 63% decrease in sildenafil AUC and a 50% increase in bosentan AUC</w:t>
      </w:r>
      <w:r w:rsidR="00C6734D">
        <w:t xml:space="preserve">. </w:t>
      </w:r>
      <w:r w:rsidRPr="00236FB8">
        <w:t xml:space="preserve">In effect, without dose adjustment patients </w:t>
      </w:r>
      <w:proofErr w:type="gramStart"/>
      <w:r w:rsidRPr="00236FB8">
        <w:t xml:space="preserve">are overdosed on bosentan (which could result in increased side effects especially to do with </w:t>
      </w:r>
      <w:r w:rsidR="00A71B36">
        <w:t xml:space="preserve">bleeding or </w:t>
      </w:r>
      <w:r w:rsidRPr="00236FB8">
        <w:t xml:space="preserve">hepatotoxicity) but </w:t>
      </w:r>
      <w:proofErr w:type="spellStart"/>
      <w:r w:rsidRPr="00236FB8">
        <w:t>underdosed</w:t>
      </w:r>
      <w:proofErr w:type="spellEnd"/>
      <w:r w:rsidRPr="00236FB8">
        <w:t xml:space="preserve"> with sildenafil (potentially resulting in a less-than-clinically effective dose)</w:t>
      </w:r>
      <w:proofErr w:type="gramEnd"/>
      <w:r w:rsidR="009301E0">
        <w:t>.</w:t>
      </w:r>
    </w:p>
    <w:p w14:paraId="4890AA8B" w14:textId="77777777" w:rsidR="00236FB8" w:rsidRPr="00236FB8" w:rsidRDefault="00236FB8" w:rsidP="00DE148E">
      <w:pPr>
        <w:pStyle w:val="BodyTextnospacebefore"/>
      </w:pPr>
      <w:r w:rsidRPr="00236FB8">
        <w:t xml:space="preserve">These PK effects </w:t>
      </w:r>
      <w:proofErr w:type="gramStart"/>
      <w:r w:rsidRPr="00236FB8">
        <w:t>have been observed</w:t>
      </w:r>
      <w:proofErr w:type="gramEnd"/>
      <w:r w:rsidRPr="00236FB8">
        <w:t xml:space="preserve"> in other studies of patients (for example Paul </w:t>
      </w:r>
      <w:r w:rsidRPr="00236FB8">
        <w:rPr>
          <w:i/>
        </w:rPr>
        <w:t xml:space="preserve">et al </w:t>
      </w:r>
      <w:r w:rsidRPr="00236FB8">
        <w:t>2005</w:t>
      </w:r>
      <w:r w:rsidR="009C556B" w:rsidRPr="009C556B">
        <w:rPr>
          <w:noProof/>
          <w:vertAlign w:val="superscript"/>
        </w:rPr>
        <w:t>36</w:t>
      </w:r>
      <w:r w:rsidRPr="00236FB8">
        <w:t>)</w:t>
      </w:r>
      <w:r w:rsidR="00C6734D">
        <w:t xml:space="preserve">. </w:t>
      </w:r>
      <w:r w:rsidRPr="00236FB8">
        <w:t>According to the sildenafil PI, the effect is likely due to induction by bosentan of cytochrome P450 enzymes that metabolise s</w:t>
      </w:r>
      <w:r w:rsidR="009301E0">
        <w:t>ildenafil, specifically CYP3A4.</w:t>
      </w:r>
    </w:p>
    <w:p w14:paraId="70EB78B9" w14:textId="77777777" w:rsidR="00236FB8" w:rsidRDefault="001D561A" w:rsidP="00DE148E">
      <w:pPr>
        <w:pStyle w:val="BodyTextnospacebefore"/>
        <w:rPr>
          <w:rFonts w:cstheme="minorHAnsi"/>
        </w:rPr>
      </w:pPr>
      <w:r w:rsidRPr="000A0384">
        <w:t>Nevertheless, bosentan + sildenafil is a common combination therapy used to treat PAH patients in Australia</w:t>
      </w:r>
      <w:r>
        <w:t xml:space="preserve">. </w:t>
      </w:r>
      <w:r w:rsidRPr="000A0384">
        <w:t xml:space="preserve">This </w:t>
      </w:r>
      <w:proofErr w:type="gramStart"/>
      <w:r w:rsidRPr="000A0384">
        <w:t>is reportedly driven</w:t>
      </w:r>
      <w:proofErr w:type="gramEnd"/>
      <w:r w:rsidRPr="000A0384">
        <w:t xml:space="preserve"> by the low cost of sildenafil if added as second agent via a private script (e.g. </w:t>
      </w:r>
      <w:proofErr w:type="spellStart"/>
      <w:r w:rsidRPr="000A0384">
        <w:t>Moonen</w:t>
      </w:r>
      <w:proofErr w:type="spellEnd"/>
      <w:r w:rsidRPr="000A0384">
        <w:t xml:space="preserve"> </w:t>
      </w:r>
      <w:r w:rsidRPr="000A0384">
        <w:rPr>
          <w:i/>
        </w:rPr>
        <w:t xml:space="preserve">et al </w:t>
      </w:r>
      <w:r w:rsidRPr="000A0384">
        <w:t>2017</w:t>
      </w:r>
      <w:r w:rsidR="009C556B" w:rsidRPr="009C556B">
        <w:rPr>
          <w:noProof/>
          <w:vertAlign w:val="superscript"/>
        </w:rPr>
        <w:t>12</w:t>
      </w:r>
      <w:r w:rsidRPr="000A0384">
        <w:t>)</w:t>
      </w:r>
      <w:r>
        <w:t xml:space="preserve">. </w:t>
      </w:r>
      <w:r w:rsidR="00236FB8" w:rsidRPr="00236FB8">
        <w:rPr>
          <w:rFonts w:cstheme="minorHAnsi"/>
        </w:rPr>
        <w:t xml:space="preserve">It </w:t>
      </w:r>
      <w:proofErr w:type="gramStart"/>
      <w:r w:rsidR="00236FB8" w:rsidRPr="00236FB8">
        <w:rPr>
          <w:rFonts w:cstheme="minorHAnsi"/>
        </w:rPr>
        <w:t>is not known</w:t>
      </w:r>
      <w:proofErr w:type="gramEnd"/>
      <w:r w:rsidR="00236FB8" w:rsidRPr="00236FB8">
        <w:rPr>
          <w:rFonts w:cstheme="minorHAnsi"/>
        </w:rPr>
        <w:t xml:space="preserve"> if/how physicians are managing the PK effects when giving sildenafil and bosentan in combination (for example, through dose adjustment or monitoring)</w:t>
      </w:r>
      <w:r w:rsidR="009301E0">
        <w:rPr>
          <w:rFonts w:cstheme="minorHAnsi"/>
        </w:rPr>
        <w:t>.</w:t>
      </w:r>
    </w:p>
    <w:p w14:paraId="1483566F" w14:textId="77777777" w:rsidR="00236FB8" w:rsidRPr="00236FB8" w:rsidRDefault="00236FB8" w:rsidP="00DE148E">
      <w:pPr>
        <w:pStyle w:val="BodyTextnospacebefore"/>
      </w:pPr>
      <w:r w:rsidRPr="00236FB8">
        <w:lastRenderedPageBreak/>
        <w:t xml:space="preserve">Interactions between bosentan and tadalafil </w:t>
      </w:r>
      <w:proofErr w:type="gramStart"/>
      <w:r w:rsidRPr="00236FB8">
        <w:t>have also been studied</w:t>
      </w:r>
      <w:proofErr w:type="gramEnd"/>
      <w:r w:rsidRPr="00236FB8">
        <w:t xml:space="preserve"> – the PI for tadalafil reports that co-administration with bosentan also results in a 42% decrease in tadalafil systemic exposure but not for bosentan or its metabolites</w:t>
      </w:r>
      <w:r w:rsidR="00C6734D">
        <w:t xml:space="preserve">. </w:t>
      </w:r>
      <w:r w:rsidRPr="00236FB8">
        <w:t xml:space="preserve">Although this information is included in the tadalafil PI, there is no recommendation against combination use of these two </w:t>
      </w:r>
      <w:r w:rsidR="00F95235">
        <w:t>PAH medicines</w:t>
      </w:r>
      <w:r w:rsidRPr="00236FB8">
        <w:t xml:space="preserve"> specifically</w:t>
      </w:r>
      <w:r w:rsidR="009301E0">
        <w:t>.</w:t>
      </w:r>
    </w:p>
    <w:p w14:paraId="0D97924E" w14:textId="77777777" w:rsidR="00236FB8" w:rsidRPr="00236FB8" w:rsidRDefault="00236FB8" w:rsidP="00DE148E">
      <w:pPr>
        <w:pStyle w:val="BodyTextnospacebefore"/>
      </w:pPr>
      <w:r w:rsidRPr="00236FB8">
        <w:t>There is no similar warning in the bosentan PI, though there is a guarded statement in the PRECAUTIONS under ‘theoretical interactions’</w:t>
      </w:r>
      <w:r w:rsidR="00C6734D">
        <w:t xml:space="preserve">. </w:t>
      </w:r>
      <w:r w:rsidRPr="00236FB8">
        <w:t xml:space="preserve">The PI states </w:t>
      </w:r>
      <w:r w:rsidRPr="004F0200">
        <w:rPr>
          <w:i/>
        </w:rPr>
        <w:t>“</w:t>
      </w:r>
      <w:r w:rsidR="00060C26">
        <w:rPr>
          <w:i/>
        </w:rPr>
        <w:t>TRACLEER</w:t>
      </w:r>
      <w:r w:rsidR="00252749">
        <w:rPr>
          <w:i/>
          <w:vertAlign w:val="superscript"/>
        </w:rPr>
        <w:t>®</w:t>
      </w:r>
      <w:r w:rsidRPr="004F0200">
        <w:rPr>
          <w:i/>
        </w:rPr>
        <w:t xml:space="preserve"> is an inducer of the cytochrome P450 </w:t>
      </w:r>
      <w:proofErr w:type="spellStart"/>
      <w:r w:rsidRPr="004F0200">
        <w:rPr>
          <w:i/>
        </w:rPr>
        <w:t>isoenzymes</w:t>
      </w:r>
      <w:proofErr w:type="spellEnd"/>
      <w:r w:rsidRPr="004F0200">
        <w:rPr>
          <w:i/>
        </w:rPr>
        <w:t xml:space="preserve"> CYP2C9 and CYP3A4.[…] plasma concentrations of drugs metabolized by these </w:t>
      </w:r>
      <w:proofErr w:type="spellStart"/>
      <w:r w:rsidRPr="004F0200">
        <w:rPr>
          <w:i/>
        </w:rPr>
        <w:t>isoenzymes</w:t>
      </w:r>
      <w:proofErr w:type="spellEnd"/>
      <w:r w:rsidRPr="004F0200">
        <w:rPr>
          <w:i/>
        </w:rPr>
        <w:t xml:space="preserve"> will be decreased when </w:t>
      </w:r>
      <w:r w:rsidR="00060C26">
        <w:rPr>
          <w:i/>
        </w:rPr>
        <w:t>TRACLEER</w:t>
      </w:r>
      <w:r w:rsidR="00252749">
        <w:rPr>
          <w:i/>
          <w:vertAlign w:val="superscript"/>
        </w:rPr>
        <w:t>®</w:t>
      </w:r>
      <w:r w:rsidRPr="004F0200">
        <w:rPr>
          <w:i/>
        </w:rPr>
        <w:t xml:space="preserve"> is co-administered”</w:t>
      </w:r>
      <w:r w:rsidR="00C6734D">
        <w:t xml:space="preserve">. </w:t>
      </w:r>
      <w:r w:rsidRPr="00236FB8">
        <w:t>Note that this includes sildenafil and tadalafil</w:t>
      </w:r>
      <w:r w:rsidR="00C6734D">
        <w:t xml:space="preserve">. </w:t>
      </w:r>
      <w:r w:rsidRPr="00236FB8">
        <w:t xml:space="preserve">Although this </w:t>
      </w:r>
      <w:proofErr w:type="gramStart"/>
      <w:r w:rsidRPr="00236FB8">
        <w:t>is described</w:t>
      </w:r>
      <w:proofErr w:type="gramEnd"/>
      <w:r w:rsidRPr="00236FB8">
        <w:t xml:space="preserve"> as a theoretical interaction, for tadalafil, this has been confirmed in patients</w:t>
      </w:r>
      <w:r w:rsidR="009C556B" w:rsidRPr="009C556B">
        <w:rPr>
          <w:noProof/>
          <w:vertAlign w:val="superscript"/>
        </w:rPr>
        <w:t>35</w:t>
      </w:r>
      <w:r w:rsidR="009301E0">
        <w:t>.</w:t>
      </w:r>
    </w:p>
    <w:p w14:paraId="0AD473BC" w14:textId="77777777" w:rsidR="00236FB8" w:rsidRPr="00236FB8" w:rsidRDefault="00236FB8" w:rsidP="00DE148E">
      <w:pPr>
        <w:pStyle w:val="BodyTextnospacebefore"/>
      </w:pPr>
      <w:r w:rsidRPr="00236FB8">
        <w:t xml:space="preserve">These PK effects </w:t>
      </w:r>
      <w:proofErr w:type="gramStart"/>
      <w:r w:rsidRPr="00236FB8">
        <w:t>have not been reproduced</w:t>
      </w:r>
      <w:proofErr w:type="gramEnd"/>
      <w:r w:rsidRPr="00236FB8">
        <w:t xml:space="preserve"> with other ERAs. The ambrisentan PI states “Co-administration of ambrisentan with a phosphodiesterase inhibitor, either sildenafil or tadalafil (both substrates of CYP 3A4) in healthy volunteers did not significantly affect the pharmacokinetics of ambrisentan or the phosphodiesterase inhibitor”</w:t>
      </w:r>
      <w:r w:rsidR="009301E0">
        <w:t>.</w:t>
      </w:r>
    </w:p>
    <w:p w14:paraId="1368AC05" w14:textId="77777777" w:rsidR="00236FB8" w:rsidRPr="00236FB8" w:rsidRDefault="00236FB8" w:rsidP="00DE148E">
      <w:pPr>
        <w:pStyle w:val="BodyTextnospacebefore"/>
      </w:pPr>
      <w:r w:rsidRPr="00236FB8">
        <w:t>Co-administration of ambrisentan with tadalafil does however lead to a modest increase in anaemia and peripheral oedema compared wi</w:t>
      </w:r>
      <w:r w:rsidR="009301E0">
        <w:t>th monotherapy of either agent.</w:t>
      </w:r>
    </w:p>
    <w:p w14:paraId="319C028D" w14:textId="77777777" w:rsidR="00236FB8" w:rsidRPr="00236FB8" w:rsidRDefault="00236FB8" w:rsidP="00DE148E">
      <w:pPr>
        <w:pStyle w:val="BodyTextnospacebefore"/>
      </w:pPr>
      <w:r w:rsidRPr="00236FB8">
        <w:t xml:space="preserve">A modest elevation of sildenafil </w:t>
      </w:r>
      <w:proofErr w:type="gramStart"/>
      <w:r w:rsidRPr="00236FB8">
        <w:t>is observed</w:t>
      </w:r>
      <w:proofErr w:type="gramEnd"/>
      <w:r w:rsidRPr="00236FB8">
        <w:t xml:space="preserve"> on co-administration with macitentan, though the macitentan PI states that this was not considered clinically relevant</w:t>
      </w:r>
      <w:r w:rsidR="00C6734D">
        <w:t xml:space="preserve">. </w:t>
      </w:r>
      <w:r w:rsidRPr="00236FB8">
        <w:t>Furthermore, and although this is not in the macitentan PI, the European product information states that macitentan is not an inducer or an inhibitor of any cytochrome P450 enzymes (Summary of Product Characteristics (</w:t>
      </w:r>
      <w:proofErr w:type="spellStart"/>
      <w:r w:rsidRPr="00236FB8">
        <w:t>SmPC</w:t>
      </w:r>
      <w:proofErr w:type="spellEnd"/>
      <w:r w:rsidRPr="00236FB8">
        <w:t>) dated 8 February 2017</w:t>
      </w:r>
      <w:r w:rsidR="009C556B" w:rsidRPr="009C556B">
        <w:rPr>
          <w:noProof/>
          <w:vertAlign w:val="superscript"/>
        </w:rPr>
        <w:t>37</w:t>
      </w:r>
      <w:r w:rsidRPr="00236FB8">
        <w:t>)</w:t>
      </w:r>
      <w:r w:rsidR="009301E0">
        <w:t>.</w:t>
      </w:r>
    </w:p>
    <w:p w14:paraId="491AA0AE" w14:textId="77777777" w:rsidR="004471BA" w:rsidRPr="00317D31" w:rsidRDefault="004471BA" w:rsidP="00121658">
      <w:pPr>
        <w:pStyle w:val="Heading4"/>
        <w:jc w:val="left"/>
        <w:rPr>
          <w:rFonts w:eastAsiaTheme="minorEastAsia"/>
          <w:i/>
        </w:rPr>
      </w:pPr>
      <w:bookmarkStart w:id="208" w:name="_Toc503800649"/>
      <w:bookmarkStart w:id="209" w:name="_Toc503811601"/>
      <w:r>
        <w:rPr>
          <w:rFonts w:eastAsiaTheme="minorEastAsia"/>
        </w:rPr>
        <w:t>Paediatric use</w:t>
      </w:r>
      <w:bookmarkEnd w:id="208"/>
      <w:bookmarkEnd w:id="209"/>
    </w:p>
    <w:p w14:paraId="1D931BAA" w14:textId="77777777" w:rsidR="004471BA" w:rsidRDefault="004471BA" w:rsidP="00DE148E">
      <w:pPr>
        <w:pStyle w:val="BodyTextnospacebefore"/>
      </w:pPr>
      <w:r w:rsidRPr="004471BA">
        <w:t xml:space="preserve">Of the TGA approved medicines for PAH, only bosentan </w:t>
      </w:r>
      <w:proofErr w:type="gramStart"/>
      <w:r w:rsidRPr="004471BA">
        <w:t>is registered</w:t>
      </w:r>
      <w:proofErr w:type="gramEnd"/>
      <w:r w:rsidRPr="004471BA">
        <w:t xml:space="preserve"> to treat PAH in children</w:t>
      </w:r>
      <w:r w:rsidR="00C6734D">
        <w:t xml:space="preserve">. </w:t>
      </w:r>
      <w:r w:rsidRPr="004471BA">
        <w:t xml:space="preserve">The PIs for the other </w:t>
      </w:r>
      <w:r w:rsidR="00F95235">
        <w:t>PAH medicines</w:t>
      </w:r>
      <w:r w:rsidRPr="004471BA">
        <w:t xml:space="preserve"> contain recommendations against treatment of children</w:t>
      </w:r>
      <w:r w:rsidR="00C6734D">
        <w:t xml:space="preserve">. </w:t>
      </w:r>
      <w:proofErr w:type="spellStart"/>
      <w:r w:rsidRPr="004471BA">
        <w:t>Macitentan’s</w:t>
      </w:r>
      <w:proofErr w:type="spellEnd"/>
      <w:r w:rsidRPr="004471BA">
        <w:t xml:space="preserve"> PI also </w:t>
      </w:r>
      <w:proofErr w:type="gramStart"/>
      <w:r w:rsidRPr="004471BA">
        <w:t>states</w:t>
      </w:r>
      <w:proofErr w:type="gramEnd"/>
      <w:r w:rsidRPr="004471BA">
        <w:t xml:space="preserve"> “</w:t>
      </w:r>
      <w:r w:rsidRPr="004471BA">
        <w:rPr>
          <w:i/>
        </w:rPr>
        <w:t>There is no data available on the effects of macitentan on growth and development in paediatric patients. There is limited clinical experience in paediatric patients aged 12 and above</w:t>
      </w:r>
      <w:r w:rsidRPr="004471BA">
        <w:t>”</w:t>
      </w:r>
      <w:r w:rsidR="009301E0">
        <w:t>.</w:t>
      </w:r>
    </w:p>
    <w:p w14:paraId="2F99042D" w14:textId="77777777" w:rsidR="004471BA" w:rsidRPr="004471BA" w:rsidRDefault="004471BA" w:rsidP="00DE148E">
      <w:pPr>
        <w:pStyle w:val="BodyTextnospacebefore"/>
      </w:pPr>
      <w:r>
        <w:t>PI s</w:t>
      </w:r>
      <w:r w:rsidRPr="004471BA">
        <w:t>tatements regarding use to treat children are presented in</w:t>
      </w:r>
      <w:r w:rsidR="00F275ED">
        <w:t xml:space="preserve"> </w:t>
      </w:r>
      <w:r w:rsidR="00505D99">
        <w:t xml:space="preserve">Appendix </w:t>
      </w:r>
      <w:r w:rsidR="00505D99">
        <w:rPr>
          <w:noProof/>
        </w:rPr>
        <w:t>1</w:t>
      </w:r>
      <w:r w:rsidR="00027EEF">
        <w:t>,</w:t>
      </w:r>
      <w:r w:rsidRPr="004471BA">
        <w:t xml:space="preserve"> </w:t>
      </w:r>
      <w:r w:rsidR="00505D99" w:rsidRPr="00505D99">
        <w:t>Table 1.21</w:t>
      </w:r>
      <w:r w:rsidR="00F275ED">
        <w:t xml:space="preserve"> </w:t>
      </w:r>
      <w:r>
        <w:t xml:space="preserve">for each of the </w:t>
      </w:r>
      <w:r w:rsidR="00F95235">
        <w:t>PAH medicines</w:t>
      </w:r>
      <w:r w:rsidR="00EE1F96">
        <w:t>.</w:t>
      </w:r>
    </w:p>
    <w:p w14:paraId="1C420DC3" w14:textId="77777777" w:rsidR="004937E8" w:rsidRDefault="004937E8">
      <w:pPr>
        <w:spacing w:before="0" w:line="240" w:lineRule="auto"/>
        <w:rPr>
          <w:rFonts w:asciiTheme="minorHAnsi" w:eastAsia="Times New Roman" w:hAnsiTheme="minorHAnsi"/>
          <w:b/>
          <w:i/>
          <w:sz w:val="30"/>
        </w:rPr>
      </w:pPr>
      <w:r>
        <w:br w:type="page"/>
      </w:r>
    </w:p>
    <w:p w14:paraId="2D16BC65" w14:textId="77777777" w:rsidR="00D32790" w:rsidRDefault="00D32790" w:rsidP="00121658">
      <w:pPr>
        <w:pStyle w:val="Heading3"/>
        <w:jc w:val="left"/>
      </w:pPr>
      <w:bookmarkStart w:id="210" w:name="_Toc38377509"/>
      <w:r w:rsidRPr="00B92CC9">
        <w:lastRenderedPageBreak/>
        <w:t>PBS prescribing restrictions</w:t>
      </w:r>
      <w:bookmarkEnd w:id="210"/>
      <w:r w:rsidRPr="00B92CC9">
        <w:t xml:space="preserve"> </w:t>
      </w:r>
      <w:bookmarkEnd w:id="195"/>
      <w:bookmarkEnd w:id="196"/>
      <w:bookmarkEnd w:id="197"/>
    </w:p>
    <w:p w14:paraId="5C463E44" w14:textId="77777777" w:rsidR="00F84C04" w:rsidRDefault="00F84C04" w:rsidP="009301E0">
      <w:pPr>
        <w:pStyle w:val="BodyTextnospacebefore"/>
      </w:pPr>
      <w:bookmarkStart w:id="211" w:name="_Toc502867688"/>
      <w:bookmarkStart w:id="212" w:name="_Toc503800655"/>
      <w:bookmarkStart w:id="213" w:name="_Toc503811607"/>
      <w:r>
        <w:t xml:space="preserve">The PBS restrictions for PAH medicines </w:t>
      </w:r>
      <w:proofErr w:type="gramStart"/>
      <w:r>
        <w:t>were introduced</w:t>
      </w:r>
      <w:proofErr w:type="gramEnd"/>
      <w:r>
        <w:t xml:space="preserve"> in the Background</w:t>
      </w:r>
      <w:r w:rsidR="008C75EF">
        <w:t xml:space="preserve"> </w:t>
      </w:r>
      <w:r w:rsidR="0021791D">
        <w:t>to this report</w:t>
      </w:r>
      <w:r>
        <w:t>:</w:t>
      </w:r>
    </w:p>
    <w:p w14:paraId="0DCF8CCD" w14:textId="77777777" w:rsidR="008D1B08" w:rsidRPr="009301E0" w:rsidRDefault="00505D99" w:rsidP="002D1065">
      <w:pPr>
        <w:tabs>
          <w:tab w:val="left" w:pos="5812"/>
          <w:tab w:val="left" w:pos="6521"/>
        </w:tabs>
        <w:rPr>
          <w:rFonts w:asciiTheme="minorHAnsi" w:hAnsiTheme="minorHAnsi" w:cstheme="minorHAnsi"/>
          <w:szCs w:val="22"/>
        </w:rPr>
      </w:pPr>
      <w:r w:rsidRPr="00505D99">
        <w:rPr>
          <w:rFonts w:asciiTheme="minorHAnsi" w:hAnsiTheme="minorHAnsi"/>
          <w:szCs w:val="22"/>
        </w:rPr>
        <w:t>B.4.5. Pulmonary Arterial Hypertension</w:t>
      </w:r>
      <w:r w:rsidRPr="00505D99">
        <w:rPr>
          <w:rFonts w:asciiTheme="minorHAnsi" w:hAnsiTheme="minorHAnsi"/>
        </w:rPr>
        <w:t xml:space="preserve"> medicines on the PBS</w:t>
      </w:r>
      <w:r w:rsidR="00532B82" w:rsidRPr="009301E0">
        <w:rPr>
          <w:rFonts w:asciiTheme="minorHAnsi" w:hAnsiTheme="minorHAnsi" w:cstheme="minorHAnsi"/>
          <w:szCs w:val="22"/>
        </w:rPr>
        <w:tab/>
      </w:r>
      <w:r w:rsidR="008D1B08" w:rsidRPr="009301E0">
        <w:rPr>
          <w:rFonts w:asciiTheme="minorHAnsi" w:hAnsiTheme="minorHAnsi" w:cstheme="minorHAnsi"/>
          <w:szCs w:val="22"/>
        </w:rPr>
        <w:t>pp</w:t>
      </w:r>
      <w:r>
        <w:rPr>
          <w:rFonts w:asciiTheme="minorHAnsi" w:hAnsiTheme="minorHAnsi" w:cstheme="minorHAnsi"/>
          <w:noProof/>
          <w:szCs w:val="22"/>
        </w:rPr>
        <w:t>23</w:t>
      </w:r>
    </w:p>
    <w:p w14:paraId="6E593CA2" w14:textId="77777777" w:rsidR="008D1B08" w:rsidRPr="009301E0" w:rsidRDefault="00505D99" w:rsidP="00FB4215">
      <w:pPr>
        <w:tabs>
          <w:tab w:val="left" w:pos="6521"/>
        </w:tabs>
        <w:rPr>
          <w:rFonts w:asciiTheme="minorHAnsi" w:hAnsiTheme="minorHAnsi" w:cstheme="minorHAnsi"/>
          <w:szCs w:val="22"/>
        </w:rPr>
      </w:pPr>
      <w:r w:rsidRPr="00505D99">
        <w:rPr>
          <w:rFonts w:asciiTheme="minorHAnsi" w:hAnsiTheme="minorHAnsi"/>
          <w:szCs w:val="22"/>
        </w:rPr>
        <w:t>B.4.5.1 PBS</w:t>
      </w:r>
      <w:r w:rsidRPr="00505D99">
        <w:rPr>
          <w:rFonts w:asciiTheme="minorHAnsi" w:hAnsiTheme="minorHAnsi"/>
        </w:rPr>
        <w:t xml:space="preserve"> listing history</w:t>
      </w:r>
      <w:r w:rsidR="00E1798C" w:rsidRPr="009301E0">
        <w:rPr>
          <w:rFonts w:asciiTheme="minorHAnsi" w:hAnsiTheme="minorHAnsi" w:cstheme="minorHAnsi"/>
          <w:szCs w:val="22"/>
        </w:rPr>
        <w:tab/>
      </w:r>
      <w:r w:rsidR="008D1B08" w:rsidRPr="009301E0">
        <w:rPr>
          <w:rFonts w:asciiTheme="minorHAnsi" w:hAnsiTheme="minorHAnsi" w:cstheme="minorHAnsi"/>
          <w:szCs w:val="22"/>
        </w:rPr>
        <w:t>pp</w:t>
      </w:r>
      <w:r>
        <w:rPr>
          <w:rFonts w:asciiTheme="minorHAnsi" w:hAnsiTheme="minorHAnsi" w:cstheme="minorHAnsi"/>
          <w:noProof/>
          <w:szCs w:val="22"/>
        </w:rPr>
        <w:t>23</w:t>
      </w:r>
    </w:p>
    <w:p w14:paraId="7077FA7A" w14:textId="77777777" w:rsidR="008D1B08" w:rsidRPr="009301E0" w:rsidRDefault="00DE148E" w:rsidP="00FB4215">
      <w:pPr>
        <w:tabs>
          <w:tab w:val="left" w:pos="6521"/>
        </w:tabs>
        <w:rPr>
          <w:rFonts w:asciiTheme="minorHAnsi" w:hAnsiTheme="minorHAnsi" w:cstheme="minorHAnsi"/>
          <w:szCs w:val="22"/>
        </w:rPr>
      </w:pPr>
      <w:r w:rsidRPr="009301E0">
        <w:rPr>
          <w:rFonts w:asciiTheme="minorHAnsi" w:hAnsiTheme="minorHAnsi" w:cstheme="minorHAnsi"/>
          <w:szCs w:val="22"/>
        </w:rPr>
        <w:t xml:space="preserve">B.4.5.2 </w:t>
      </w:r>
      <w:r w:rsidR="00505D99" w:rsidRPr="00505D99">
        <w:rPr>
          <w:rFonts w:asciiTheme="minorHAnsi" w:hAnsiTheme="minorHAnsi"/>
          <w:szCs w:val="22"/>
        </w:rPr>
        <w:t>PBS prescribing restrictions</w:t>
      </w:r>
      <w:r w:rsidR="00E1798C" w:rsidRPr="009301E0">
        <w:rPr>
          <w:rFonts w:asciiTheme="minorHAnsi" w:hAnsiTheme="minorHAnsi" w:cstheme="minorHAnsi"/>
          <w:szCs w:val="22"/>
        </w:rPr>
        <w:tab/>
      </w:r>
      <w:r w:rsidR="008D1B08" w:rsidRPr="009301E0">
        <w:rPr>
          <w:rFonts w:asciiTheme="minorHAnsi" w:hAnsiTheme="minorHAnsi" w:cstheme="minorHAnsi"/>
          <w:szCs w:val="22"/>
        </w:rPr>
        <w:t>pp</w:t>
      </w:r>
      <w:r w:rsidR="002D1065">
        <w:rPr>
          <w:rFonts w:asciiTheme="minorHAnsi" w:hAnsiTheme="minorHAnsi" w:cstheme="minorHAnsi"/>
          <w:noProof/>
          <w:szCs w:val="22"/>
        </w:rPr>
        <w:t>26</w:t>
      </w:r>
    </w:p>
    <w:p w14:paraId="45D0FC40" w14:textId="77777777" w:rsidR="008D1B08" w:rsidRPr="009301E0" w:rsidRDefault="00505D99" w:rsidP="00FB4215">
      <w:pPr>
        <w:tabs>
          <w:tab w:val="left" w:pos="6521"/>
        </w:tabs>
        <w:rPr>
          <w:rFonts w:asciiTheme="minorHAnsi" w:hAnsiTheme="minorHAnsi" w:cstheme="minorHAnsi"/>
        </w:rPr>
      </w:pPr>
      <w:r w:rsidRPr="00505D99">
        <w:rPr>
          <w:rFonts w:asciiTheme="minorHAnsi" w:eastAsiaTheme="minorEastAsia" w:hAnsiTheme="minorHAnsi"/>
          <w:szCs w:val="22"/>
        </w:rPr>
        <w:t>B.4.5.3 Recent amendments to</w:t>
      </w:r>
      <w:r w:rsidRPr="00505D99">
        <w:rPr>
          <w:rFonts w:asciiTheme="minorHAnsi" w:eastAsiaTheme="minorEastAsia" w:hAnsiTheme="minorHAnsi"/>
        </w:rPr>
        <w:t xml:space="preserve"> PBS Restrictions</w:t>
      </w:r>
      <w:r w:rsidR="00E1798C" w:rsidRPr="009301E0">
        <w:rPr>
          <w:rFonts w:asciiTheme="minorHAnsi" w:hAnsiTheme="minorHAnsi" w:cstheme="minorHAnsi"/>
          <w:szCs w:val="22"/>
        </w:rPr>
        <w:tab/>
      </w:r>
      <w:r w:rsidR="008D1B08" w:rsidRPr="009301E0">
        <w:rPr>
          <w:rFonts w:asciiTheme="minorHAnsi" w:hAnsiTheme="minorHAnsi" w:cstheme="minorHAnsi"/>
          <w:szCs w:val="22"/>
        </w:rPr>
        <w:t>pp</w:t>
      </w:r>
      <w:r>
        <w:rPr>
          <w:rFonts w:asciiTheme="minorHAnsi" w:hAnsiTheme="minorHAnsi" w:cstheme="minorHAnsi"/>
          <w:noProof/>
          <w:szCs w:val="22"/>
        </w:rPr>
        <w:t>28</w:t>
      </w:r>
    </w:p>
    <w:p w14:paraId="7D6A0CAC" w14:textId="77777777" w:rsidR="00841982" w:rsidRPr="009301E0" w:rsidRDefault="00841982" w:rsidP="00121658">
      <w:pPr>
        <w:keepNext/>
        <w:rPr>
          <w:rFonts w:asciiTheme="minorHAnsi" w:hAnsiTheme="minorHAnsi"/>
        </w:rPr>
      </w:pPr>
      <w:r w:rsidRPr="009301E0">
        <w:rPr>
          <w:rFonts w:asciiTheme="minorHAnsi" w:hAnsiTheme="minorHAnsi" w:cstheme="minorHAnsi"/>
        </w:rPr>
        <w:t>T</w:t>
      </w:r>
      <w:r w:rsidRPr="009301E0">
        <w:rPr>
          <w:rFonts w:asciiTheme="minorHAnsi" w:hAnsiTheme="minorHAnsi"/>
        </w:rPr>
        <w:t>he current PBS listings have these general features:</w:t>
      </w:r>
    </w:p>
    <w:p w14:paraId="68751220" w14:textId="77777777" w:rsidR="00841982" w:rsidRDefault="00841982" w:rsidP="00921D13">
      <w:pPr>
        <w:pStyle w:val="08Bulletsseriesofsentences"/>
      </w:pPr>
      <w:r w:rsidRPr="00841982">
        <w:t xml:space="preserve">All </w:t>
      </w:r>
      <w:r w:rsidR="00F95235">
        <w:t>PAH medicines</w:t>
      </w:r>
      <w:r w:rsidRPr="00841982">
        <w:t xml:space="preserve"> are listed for treatment of both WHO FC III and Class IV disease, with these exceptions:</w:t>
      </w:r>
    </w:p>
    <w:p w14:paraId="6E454856" w14:textId="77777777" w:rsidR="00841982" w:rsidRDefault="00841982" w:rsidP="00921D13">
      <w:pPr>
        <w:pStyle w:val="08Bulletsseriesofsentences"/>
      </w:pPr>
      <w:r w:rsidRPr="00841982">
        <w:t>The PDE</w:t>
      </w:r>
      <w:r w:rsidR="002D1065">
        <w:t>-</w:t>
      </w:r>
      <w:r w:rsidRPr="00841982">
        <w:t xml:space="preserve">5 inhibitors are listed for </w:t>
      </w:r>
      <w:r w:rsidR="002D1065">
        <w:t xml:space="preserve">WHO FC </w:t>
      </w:r>
      <w:r w:rsidRPr="00841982">
        <w:t>Class III treatment only;</w:t>
      </w:r>
    </w:p>
    <w:p w14:paraId="72F50EF7" w14:textId="77777777" w:rsidR="00841982" w:rsidRPr="00841982" w:rsidRDefault="00841982" w:rsidP="00921D13">
      <w:pPr>
        <w:pStyle w:val="08Bulletsseriesofsentences"/>
      </w:pPr>
      <w:r w:rsidRPr="00841982">
        <w:t xml:space="preserve">The prostanoids are listed for treatment of Class III patients in second line (except </w:t>
      </w:r>
      <w:r w:rsidR="000A182A">
        <w:t>iloprost for drug-induced PAH),</w:t>
      </w:r>
      <w:r w:rsidRPr="00841982">
        <w:t xml:space="preserve"> their use treating</w:t>
      </w:r>
      <w:r w:rsidR="00EE1F96">
        <w:t xml:space="preserve"> Class IV disease is first line.</w:t>
      </w:r>
    </w:p>
    <w:p w14:paraId="3E4C0028" w14:textId="77777777" w:rsidR="00841982" w:rsidRDefault="00841982" w:rsidP="00921D13">
      <w:pPr>
        <w:pStyle w:val="08Bulletsseriesofsentences"/>
      </w:pPr>
      <w:r w:rsidRPr="00841982">
        <w:t xml:space="preserve">All </w:t>
      </w:r>
      <w:r w:rsidR="00F95235">
        <w:t>PAH medicines</w:t>
      </w:r>
      <w:r w:rsidRPr="00841982">
        <w:t xml:space="preserve"> are listed for treatment of IPAH, heritable PAH, drug and toxin induced PAH and PAH</w:t>
      </w:r>
      <w:r w:rsidR="005D24C7">
        <w:t>-CTD</w:t>
      </w:r>
      <w:r w:rsidRPr="00841982">
        <w:t>.</w:t>
      </w:r>
    </w:p>
    <w:p w14:paraId="04AEE410" w14:textId="77777777" w:rsidR="00841982" w:rsidRDefault="00A71B36" w:rsidP="00921D13">
      <w:pPr>
        <w:pStyle w:val="08Bulletsseriesofsentences"/>
      </w:pPr>
      <w:r>
        <w:t>Only</w:t>
      </w:r>
      <w:r w:rsidR="00841982" w:rsidRPr="00841982">
        <w:t xml:space="preserve"> bosentan, macitentan and riociguat </w:t>
      </w:r>
      <w:proofErr w:type="gramStart"/>
      <w:r w:rsidR="00841982" w:rsidRPr="00841982">
        <w:t>are listed</w:t>
      </w:r>
      <w:proofErr w:type="gramEnd"/>
      <w:r w:rsidR="00841982" w:rsidRPr="00841982">
        <w:t xml:space="preserve"> for PAH</w:t>
      </w:r>
      <w:r w:rsidR="005D24C7">
        <w:t>-CHD</w:t>
      </w:r>
      <w:r w:rsidR="00C6734D">
        <w:t xml:space="preserve">. </w:t>
      </w:r>
      <w:r w:rsidR="00841982" w:rsidRPr="00841982">
        <w:t xml:space="preserve">These three drugs </w:t>
      </w:r>
      <w:proofErr w:type="gramStart"/>
      <w:r w:rsidR="00841982" w:rsidRPr="00841982">
        <w:t>are listed</w:t>
      </w:r>
      <w:proofErr w:type="gramEnd"/>
      <w:r w:rsidR="00841982" w:rsidRPr="00841982">
        <w:t xml:space="preserve"> for the same suite of indications</w:t>
      </w:r>
      <w:r w:rsidR="00C6734D">
        <w:t xml:space="preserve">. </w:t>
      </w:r>
      <w:r>
        <w:t xml:space="preserve">Neither epoprostenol </w:t>
      </w:r>
      <w:r w:rsidR="003B01AE">
        <w:t>n</w:t>
      </w:r>
      <w:r>
        <w:t xml:space="preserve">or iloprost </w:t>
      </w:r>
      <w:proofErr w:type="gramStart"/>
      <w:r w:rsidR="003B01AE">
        <w:t>are listed</w:t>
      </w:r>
      <w:proofErr w:type="gramEnd"/>
      <w:r w:rsidR="003B01AE">
        <w:t xml:space="preserve"> for PAH due to CHD.</w:t>
      </w:r>
    </w:p>
    <w:p w14:paraId="446FF202" w14:textId="77777777" w:rsidR="00841982" w:rsidRDefault="00841982" w:rsidP="00921D13">
      <w:pPr>
        <w:pStyle w:val="08Bulletsseriesofsentences"/>
      </w:pPr>
      <w:r w:rsidRPr="004A1EBF">
        <w:t xml:space="preserve">All PAH </w:t>
      </w:r>
      <w:r w:rsidR="00B15FF7">
        <w:t>clinical criteria</w:t>
      </w:r>
      <w:r w:rsidRPr="004A1EBF">
        <w:t xml:space="preserve"> </w:t>
      </w:r>
      <w:r w:rsidR="00B15FF7">
        <w:t xml:space="preserve">are silent regarding age group, in effect </w:t>
      </w:r>
      <w:r w:rsidRPr="004A1EBF">
        <w:t>allow</w:t>
      </w:r>
      <w:r w:rsidR="00B15FF7">
        <w:t>ing</w:t>
      </w:r>
      <w:r w:rsidRPr="004A1EBF">
        <w:t xml:space="preserve"> for treatment of children (i.e. under 18 years old)</w:t>
      </w:r>
      <w:r w:rsidR="00EE1F96">
        <w:t>.</w:t>
      </w:r>
    </w:p>
    <w:p w14:paraId="15A41969" w14:textId="77777777" w:rsidR="00A16E23" w:rsidRDefault="00A16E23" w:rsidP="00921D13">
      <w:pPr>
        <w:pStyle w:val="08Bulletsseriesofsentences"/>
      </w:pPr>
      <w:r>
        <w:t>Since 2014 the current restrictions have referred to three subtypes as a group (</w:t>
      </w:r>
      <w:r w:rsidR="00505D99" w:rsidRPr="00505D99">
        <w:rPr>
          <w:rFonts w:eastAsiaTheme="minorEastAsia"/>
          <w:i/>
        </w:rPr>
        <w:t>B.4.5.3 Recent amendments to</w:t>
      </w:r>
      <w:r w:rsidR="00505D99">
        <w:rPr>
          <w:rFonts w:eastAsiaTheme="minorEastAsia"/>
        </w:rPr>
        <w:t xml:space="preserve"> PBS Restrictions</w:t>
      </w:r>
      <w:r>
        <w:t>), IPAH, anorexigen-induced PAH and hereditable PAH, to replace the older term “primary pulmonary hypertension”</w:t>
      </w:r>
      <w:r w:rsidR="00EE1F96">
        <w:t>.</w:t>
      </w:r>
    </w:p>
    <w:p w14:paraId="536F8D16" w14:textId="77777777" w:rsidR="004F0200" w:rsidRPr="004A1EBF" w:rsidRDefault="004F0200" w:rsidP="00921D13">
      <w:pPr>
        <w:pStyle w:val="08Bulletsseriesofsentences"/>
      </w:pPr>
      <w:r w:rsidRPr="00841982">
        <w:t xml:space="preserve">A further subtype, ‘drug-induced PAH’ is specific to iloprost, and is </w:t>
      </w:r>
      <w:r>
        <w:t xml:space="preserve">separate </w:t>
      </w:r>
      <w:r w:rsidRPr="00841982">
        <w:t>to ‘anorexigen-induced PAH’</w:t>
      </w:r>
      <w:r>
        <w:t xml:space="preserve"> in the iloprost restriction</w:t>
      </w:r>
      <w:r w:rsidRPr="00841982">
        <w:t>. Th</w:t>
      </w:r>
      <w:r w:rsidR="00537AE2">
        <w:t>is enables</w:t>
      </w:r>
      <w:r w:rsidRPr="00841982">
        <w:t xml:space="preserve"> use of iloprost</w:t>
      </w:r>
      <w:r w:rsidR="000A182A">
        <w:t xml:space="preserve"> as first line treatment</w:t>
      </w:r>
      <w:r w:rsidRPr="00841982">
        <w:t xml:space="preserve"> in </w:t>
      </w:r>
      <w:r w:rsidR="00537AE2">
        <w:t>WHO FC</w:t>
      </w:r>
      <w:r w:rsidRPr="00841982">
        <w:t xml:space="preserve"> III patients with this </w:t>
      </w:r>
      <w:r>
        <w:t>subtyp</w:t>
      </w:r>
      <w:r w:rsidR="00537AE2">
        <w:t>e. Note below</w:t>
      </w:r>
      <w:r>
        <w:t xml:space="preserve"> that iloprost is the only PAH </w:t>
      </w:r>
      <w:r w:rsidR="00517C17">
        <w:t>medicine</w:t>
      </w:r>
      <w:r>
        <w:t xml:space="preserve"> that is TGA approved with clinical evidence </w:t>
      </w:r>
      <w:r w:rsidR="00537AE2">
        <w:t>for</w:t>
      </w:r>
      <w:r>
        <w:t xml:space="preserve"> </w:t>
      </w:r>
      <w:r w:rsidR="00537AE2">
        <w:t>drug-induced PAH</w:t>
      </w:r>
      <w:r w:rsidR="003B01AE">
        <w:t>.</w:t>
      </w:r>
    </w:p>
    <w:p w14:paraId="79846AD1" w14:textId="77777777" w:rsidR="001F1180" w:rsidRDefault="001F1180" w:rsidP="00DE148E">
      <w:pPr>
        <w:pStyle w:val="BodyTextnospacebefore"/>
      </w:pPr>
      <w:r>
        <w:t xml:space="preserve">A grid showing current ARTG indications and PBS listings in terms of PAH subtype is given </w:t>
      </w:r>
      <w:r w:rsidRPr="00A50543">
        <w:t xml:space="preserve">in </w:t>
      </w:r>
      <w:r w:rsidR="00505D99">
        <w:t>Table 1.</w:t>
      </w:r>
      <w:r w:rsidR="00505D99">
        <w:rPr>
          <w:noProof/>
        </w:rPr>
        <w:t>16</w:t>
      </w:r>
      <w:r>
        <w:t xml:space="preserve"> (not </w:t>
      </w:r>
      <w:proofErr w:type="gramStart"/>
      <w:r>
        <w:t>taking WHO FC into account</w:t>
      </w:r>
      <w:proofErr w:type="gramEnd"/>
      <w:r>
        <w:t>)</w:t>
      </w:r>
      <w:r w:rsidR="003B01AE">
        <w:t>.</w:t>
      </w:r>
    </w:p>
    <w:p w14:paraId="6802CE5B" w14:textId="77777777" w:rsidR="001F1180" w:rsidRDefault="001F1180" w:rsidP="00921D13">
      <w:pPr>
        <w:pStyle w:val="08Bulletsseriesofsentences"/>
      </w:pPr>
      <w:r w:rsidRPr="00A50543">
        <w:t>‘</w:t>
      </w:r>
      <w:r w:rsidRPr="00A50543">
        <w:rPr>
          <w:b/>
        </w:rPr>
        <w:sym w:font="Wingdings 2" w:char="F052"/>
      </w:r>
      <w:r w:rsidRPr="00A50543">
        <w:sym w:font="Wingdings 2" w:char="F0CB"/>
      </w:r>
      <w:r w:rsidRPr="00A50543">
        <w:t>’</w:t>
      </w:r>
      <w:r>
        <w:t xml:space="preserve"> shows medicines</w:t>
      </w:r>
      <w:r w:rsidRPr="00A50543">
        <w:t xml:space="preserve"> where the TGA indication matches the PBS restriction</w:t>
      </w:r>
      <w:r>
        <w:t xml:space="preserve">, noting that grey ticks indicate that the clinical evidence base is in a different </w:t>
      </w:r>
      <w:r w:rsidR="003F302E">
        <w:t>subtype</w:t>
      </w:r>
      <w:r>
        <w:t>;</w:t>
      </w:r>
    </w:p>
    <w:p w14:paraId="4EB371C4" w14:textId="77777777" w:rsidR="001F1180" w:rsidRDefault="001F1180" w:rsidP="00921D13">
      <w:pPr>
        <w:pStyle w:val="08Bulletsseriesofsentences"/>
      </w:pPr>
      <w:r>
        <w:t>‘</w:t>
      </w:r>
      <w:r w:rsidRPr="00A50543">
        <w:sym w:font="Wingdings 2" w:char="F0D2"/>
      </w:r>
      <w:r w:rsidRPr="00A50543">
        <w:sym w:font="Wingdings 2" w:char="F09B"/>
      </w:r>
      <w:r>
        <w:t>’ indicates where the medicine is neither registered nor PBS listed for that indication</w:t>
      </w:r>
      <w:r w:rsidR="003C17FA">
        <w:t xml:space="preserve">. </w:t>
      </w:r>
      <w:r>
        <w:t xml:space="preserve">This only applies to PAH-CHD (for ambrisentan monotherapy; iloprost and epoprostenol). By this measure, </w:t>
      </w:r>
      <w:r w:rsidR="0003499D">
        <w:t>congenital heart disease</w:t>
      </w:r>
      <w:r>
        <w:t xml:space="preserve"> patients have fewer treatment options compared with other subtypes;</w:t>
      </w:r>
    </w:p>
    <w:p w14:paraId="55205DF1" w14:textId="77777777" w:rsidR="001F1180" w:rsidRPr="00A50543" w:rsidRDefault="001F1180" w:rsidP="00921D13">
      <w:pPr>
        <w:pStyle w:val="08Bulletsseriesofsentences"/>
      </w:pPr>
      <w:r w:rsidRPr="00A50543">
        <w:lastRenderedPageBreak/>
        <w:t>‘</w:t>
      </w:r>
      <w:r w:rsidRPr="00A50543">
        <w:sym w:font="Wingdings 2" w:char="F0D2"/>
      </w:r>
      <w:r w:rsidRPr="00A50543">
        <w:sym w:font="Wingdings 2" w:char="F0CB"/>
      </w:r>
      <w:r>
        <w:t xml:space="preserve">’ indicates that the indication is not registered but is PBS listed for that medicine. This applies to the majority of listings for drug induced PAH, </w:t>
      </w:r>
      <w:proofErr w:type="gramStart"/>
      <w:r>
        <w:t>and also</w:t>
      </w:r>
      <w:proofErr w:type="gramEnd"/>
      <w:r>
        <w:t xml:space="preserve"> iloprost for </w:t>
      </w:r>
      <w:r w:rsidR="004F0200">
        <w:t>heritable</w:t>
      </w:r>
      <w:r>
        <w:t xml:space="preserve"> PAH and ambrisentan monotherapy for </w:t>
      </w:r>
      <w:r w:rsidR="007B2088">
        <w:t>PAH-CTD</w:t>
      </w:r>
      <w:r w:rsidR="00EE1F96">
        <w:t>.</w:t>
      </w:r>
    </w:p>
    <w:p w14:paraId="55C0DC69" w14:textId="77777777" w:rsidR="001F1180" w:rsidRPr="00BF244C" w:rsidRDefault="00F75B8B" w:rsidP="00F75B8B">
      <w:pPr>
        <w:pStyle w:val="Caption"/>
        <w:rPr>
          <w:rFonts w:cs="Arial"/>
          <w:szCs w:val="24"/>
        </w:rPr>
      </w:pPr>
      <w:bookmarkStart w:id="214" w:name="_Ref510793969"/>
      <w:bookmarkStart w:id="215" w:name="_Toc29377262"/>
      <w:r>
        <w:t>Table 1.</w:t>
      </w:r>
      <w:r w:rsidR="00505D99">
        <w:rPr>
          <w:noProof/>
        </w:rPr>
        <w:t>16</w:t>
      </w:r>
      <w:bookmarkEnd w:id="214"/>
      <w:r w:rsidRPr="00BF244C">
        <w:rPr>
          <w:rFonts w:cs="Arial"/>
          <w:szCs w:val="24"/>
        </w:rPr>
        <w:tab/>
        <w:t>Alignment of ARTG indications with PBS listings (not accounting for WHO FC)</w:t>
      </w:r>
      <w:bookmarkEnd w:id="2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Alignment of ARTG indications with PBS listings (not accounting for WHO FC)"/>
      </w:tblPr>
      <w:tblGrid>
        <w:gridCol w:w="2174"/>
        <w:gridCol w:w="1368"/>
        <w:gridCol w:w="1369"/>
        <w:gridCol w:w="1369"/>
        <w:gridCol w:w="1369"/>
        <w:gridCol w:w="1367"/>
      </w:tblGrid>
      <w:tr w:rsidR="001F1180" w:rsidRPr="00DE148E" w14:paraId="3D0572DA" w14:textId="77777777" w:rsidTr="00805124">
        <w:trPr>
          <w:tblHeader/>
        </w:trPr>
        <w:tc>
          <w:tcPr>
            <w:tcW w:w="1206" w:type="pct"/>
            <w:shd w:val="clear" w:color="auto" w:fill="BFBFBF" w:themeFill="background1" w:themeFillShade="BF"/>
            <w:vAlign w:val="center"/>
          </w:tcPr>
          <w:p w14:paraId="62D49DA1" w14:textId="77777777" w:rsidR="001F1180" w:rsidRPr="00DE148E" w:rsidRDefault="001F1180" w:rsidP="00DE148E">
            <w:pPr>
              <w:keepNext/>
              <w:spacing w:beforeLines="40" w:before="96" w:afterLines="40" w:after="96" w:line="240" w:lineRule="auto"/>
              <w:rPr>
                <w:rFonts w:ascii="Arial" w:hAnsi="Arial" w:cs="Arial"/>
                <w:b/>
                <w:caps/>
                <w:color w:val="000000"/>
                <w:spacing w:val="5"/>
                <w:kern w:val="28"/>
                <w:sz w:val="20"/>
                <w:szCs w:val="20"/>
                <w:lang w:val="en-US"/>
              </w:rPr>
            </w:pPr>
            <w:r w:rsidRPr="00DE148E">
              <w:rPr>
                <w:rFonts w:ascii="Arial" w:hAnsi="Arial" w:cs="Arial"/>
                <w:b/>
                <w:sz w:val="20"/>
                <w:szCs w:val="20"/>
              </w:rPr>
              <w:t>Treatment</w:t>
            </w:r>
          </w:p>
        </w:tc>
        <w:tc>
          <w:tcPr>
            <w:tcW w:w="759" w:type="pct"/>
            <w:shd w:val="clear" w:color="auto" w:fill="BFBFBF" w:themeFill="background1" w:themeFillShade="BF"/>
            <w:vAlign w:val="center"/>
          </w:tcPr>
          <w:p w14:paraId="11B02280" w14:textId="77777777" w:rsidR="001F1180" w:rsidRPr="00DE148E" w:rsidRDefault="001F1180" w:rsidP="00DE148E">
            <w:pPr>
              <w:keepNext/>
              <w:spacing w:beforeLines="40" w:before="96" w:afterLines="40" w:after="96" w:line="240" w:lineRule="auto"/>
              <w:rPr>
                <w:rFonts w:ascii="Arial" w:hAnsi="Arial" w:cs="Arial"/>
                <w:b/>
                <w:caps/>
                <w:color w:val="000000"/>
                <w:spacing w:val="5"/>
                <w:kern w:val="28"/>
                <w:sz w:val="20"/>
                <w:szCs w:val="20"/>
                <w:lang w:val="en-US"/>
              </w:rPr>
            </w:pPr>
            <w:r w:rsidRPr="00DE148E">
              <w:rPr>
                <w:rFonts w:ascii="Arial" w:hAnsi="Arial" w:cs="Arial"/>
                <w:b/>
                <w:sz w:val="20"/>
                <w:szCs w:val="20"/>
              </w:rPr>
              <w:t>IPAH</w:t>
            </w:r>
          </w:p>
        </w:tc>
        <w:tc>
          <w:tcPr>
            <w:tcW w:w="759" w:type="pct"/>
            <w:shd w:val="clear" w:color="auto" w:fill="BFBFBF" w:themeFill="background1" w:themeFillShade="BF"/>
          </w:tcPr>
          <w:p w14:paraId="2D284964" w14:textId="77777777" w:rsidR="001F1180" w:rsidRPr="00DE148E" w:rsidRDefault="001F1180" w:rsidP="00DE148E">
            <w:pPr>
              <w:keepNext/>
              <w:spacing w:beforeLines="40" w:before="96" w:afterLines="40" w:after="96" w:line="240" w:lineRule="auto"/>
              <w:rPr>
                <w:rFonts w:ascii="Arial" w:hAnsi="Arial" w:cs="Arial"/>
                <w:b/>
                <w:sz w:val="20"/>
                <w:szCs w:val="20"/>
              </w:rPr>
            </w:pPr>
            <w:r w:rsidRPr="00DE148E">
              <w:rPr>
                <w:rFonts w:ascii="Arial" w:hAnsi="Arial" w:cs="Arial"/>
                <w:b/>
                <w:sz w:val="20"/>
                <w:szCs w:val="20"/>
              </w:rPr>
              <w:t>HPAH</w:t>
            </w:r>
          </w:p>
        </w:tc>
        <w:tc>
          <w:tcPr>
            <w:tcW w:w="759" w:type="pct"/>
            <w:shd w:val="clear" w:color="auto" w:fill="BFBFBF" w:themeFill="background1" w:themeFillShade="BF"/>
          </w:tcPr>
          <w:p w14:paraId="7D944057" w14:textId="77777777" w:rsidR="001F1180" w:rsidRPr="00DE148E" w:rsidRDefault="001F1180" w:rsidP="00DE148E">
            <w:pPr>
              <w:keepNext/>
              <w:spacing w:beforeLines="40" w:before="96" w:afterLines="40" w:after="96" w:line="240" w:lineRule="auto"/>
              <w:rPr>
                <w:rFonts w:ascii="Arial" w:hAnsi="Arial" w:cs="Arial"/>
                <w:b/>
                <w:sz w:val="20"/>
                <w:szCs w:val="20"/>
              </w:rPr>
            </w:pPr>
            <w:r w:rsidRPr="00DE148E">
              <w:rPr>
                <w:rFonts w:ascii="Arial" w:hAnsi="Arial" w:cs="Arial"/>
                <w:b/>
                <w:sz w:val="20"/>
                <w:szCs w:val="20"/>
              </w:rPr>
              <w:t>PAH-CTD</w:t>
            </w:r>
          </w:p>
        </w:tc>
        <w:tc>
          <w:tcPr>
            <w:tcW w:w="759" w:type="pct"/>
            <w:shd w:val="clear" w:color="auto" w:fill="BFBFBF" w:themeFill="background1" w:themeFillShade="BF"/>
          </w:tcPr>
          <w:p w14:paraId="3B754098" w14:textId="77777777" w:rsidR="001F1180" w:rsidRPr="00DE148E" w:rsidRDefault="001F1180" w:rsidP="00DE148E">
            <w:pPr>
              <w:keepNext/>
              <w:spacing w:beforeLines="40" w:before="96" w:afterLines="40" w:after="96" w:line="240" w:lineRule="auto"/>
              <w:rPr>
                <w:rFonts w:ascii="Arial" w:hAnsi="Arial" w:cs="Arial"/>
                <w:b/>
                <w:sz w:val="20"/>
                <w:szCs w:val="20"/>
              </w:rPr>
            </w:pPr>
            <w:r w:rsidRPr="00DE148E">
              <w:rPr>
                <w:rFonts w:ascii="Arial" w:hAnsi="Arial" w:cs="Arial"/>
                <w:b/>
                <w:sz w:val="20"/>
                <w:szCs w:val="20"/>
              </w:rPr>
              <w:t>PAH-CHD</w:t>
            </w:r>
          </w:p>
        </w:tc>
        <w:tc>
          <w:tcPr>
            <w:tcW w:w="758" w:type="pct"/>
            <w:shd w:val="clear" w:color="auto" w:fill="BFBFBF" w:themeFill="background1" w:themeFillShade="BF"/>
          </w:tcPr>
          <w:p w14:paraId="1C3BCBC8" w14:textId="77777777" w:rsidR="001F1180" w:rsidRPr="00DE148E" w:rsidRDefault="001F1180" w:rsidP="00DE148E">
            <w:pPr>
              <w:keepNext/>
              <w:spacing w:beforeLines="40" w:before="96" w:afterLines="40" w:after="96" w:line="240" w:lineRule="auto"/>
              <w:rPr>
                <w:rFonts w:ascii="Arial" w:hAnsi="Arial" w:cs="Arial"/>
                <w:b/>
                <w:sz w:val="20"/>
                <w:szCs w:val="20"/>
              </w:rPr>
            </w:pPr>
            <w:r w:rsidRPr="00DE148E">
              <w:rPr>
                <w:rFonts w:ascii="Arial" w:hAnsi="Arial" w:cs="Arial"/>
                <w:b/>
                <w:sz w:val="20"/>
                <w:szCs w:val="20"/>
              </w:rPr>
              <w:t>PAH-DT</w:t>
            </w:r>
          </w:p>
        </w:tc>
      </w:tr>
      <w:tr w:rsidR="001F1180" w:rsidRPr="00DE148E" w14:paraId="1A4FBBEE" w14:textId="77777777" w:rsidTr="002575FC">
        <w:tc>
          <w:tcPr>
            <w:tcW w:w="1206" w:type="pct"/>
            <w:tcBorders>
              <w:bottom w:val="single" w:sz="4" w:space="0" w:color="auto"/>
            </w:tcBorders>
            <w:shd w:val="clear" w:color="auto" w:fill="auto"/>
            <w:vAlign w:val="center"/>
          </w:tcPr>
          <w:p w14:paraId="1513DBB5"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sz w:val="20"/>
                <w:szCs w:val="20"/>
              </w:rPr>
              <w:t>Macitentan</w:t>
            </w:r>
          </w:p>
        </w:tc>
        <w:tc>
          <w:tcPr>
            <w:tcW w:w="759" w:type="pct"/>
            <w:tcBorders>
              <w:bottom w:val="single" w:sz="4" w:space="0" w:color="auto"/>
            </w:tcBorders>
            <w:shd w:val="clear" w:color="auto" w:fill="auto"/>
            <w:vAlign w:val="center"/>
          </w:tcPr>
          <w:p w14:paraId="35E05F4F" w14:textId="77777777" w:rsidR="001F1180" w:rsidRPr="00DE148E" w:rsidRDefault="001F1180" w:rsidP="00DE148E">
            <w:pPr>
              <w:keepNext/>
              <w:spacing w:beforeLines="40" w:before="96" w:afterLines="40" w:after="96" w:line="240" w:lineRule="auto"/>
              <w:rPr>
                <w:rFonts w:ascii="Arial" w:hAnsi="Arial" w:cs="Arial"/>
                <w:b/>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tcBorders>
              <w:bottom w:val="single" w:sz="4" w:space="0" w:color="auto"/>
            </w:tcBorders>
            <w:vAlign w:val="center"/>
          </w:tcPr>
          <w:p w14:paraId="7BB52825" w14:textId="77777777" w:rsidR="001F1180" w:rsidRPr="00DE148E" w:rsidRDefault="001F1180" w:rsidP="00DE148E">
            <w:pPr>
              <w:keepNext/>
              <w:spacing w:beforeLines="40" w:before="96" w:afterLines="40" w:after="96" w:line="240" w:lineRule="auto"/>
              <w:rPr>
                <w:rFonts w:ascii="Arial" w:hAnsi="Arial" w:cs="Arial"/>
                <w:b/>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tcBorders>
              <w:bottom w:val="single" w:sz="4" w:space="0" w:color="auto"/>
            </w:tcBorders>
            <w:vAlign w:val="center"/>
          </w:tcPr>
          <w:p w14:paraId="6FD21A76"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tcBorders>
              <w:bottom w:val="single" w:sz="4" w:space="0" w:color="auto"/>
            </w:tcBorders>
            <w:vAlign w:val="center"/>
          </w:tcPr>
          <w:p w14:paraId="6A4E06FE"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8" w:type="pct"/>
            <w:tcBorders>
              <w:bottom w:val="single" w:sz="4" w:space="0" w:color="auto"/>
            </w:tcBorders>
            <w:vAlign w:val="center"/>
          </w:tcPr>
          <w:p w14:paraId="4E6F2E4A"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sz w:val="20"/>
                <w:szCs w:val="20"/>
              </w:rPr>
              <w:sym w:font="Wingdings 2" w:char="F0D2"/>
            </w:r>
            <w:r w:rsidRPr="00DE148E">
              <w:rPr>
                <w:rFonts w:ascii="Arial" w:hAnsi="Arial" w:cs="Arial"/>
                <w:sz w:val="20"/>
                <w:szCs w:val="20"/>
              </w:rPr>
              <w:sym w:font="Wingdings 2" w:char="F0CB"/>
            </w:r>
          </w:p>
        </w:tc>
      </w:tr>
      <w:tr w:rsidR="001F1180" w:rsidRPr="00DE148E" w14:paraId="0EC01AD3" w14:textId="77777777" w:rsidTr="002575FC">
        <w:tc>
          <w:tcPr>
            <w:tcW w:w="1206" w:type="pct"/>
            <w:tcBorders>
              <w:bottom w:val="nil"/>
            </w:tcBorders>
            <w:shd w:val="clear" w:color="auto" w:fill="auto"/>
            <w:vAlign w:val="center"/>
          </w:tcPr>
          <w:p w14:paraId="7FE95447"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sz w:val="20"/>
                <w:szCs w:val="20"/>
              </w:rPr>
              <w:t>Ambrisentan: monotherapy</w:t>
            </w:r>
          </w:p>
        </w:tc>
        <w:tc>
          <w:tcPr>
            <w:tcW w:w="759" w:type="pct"/>
            <w:tcBorders>
              <w:bottom w:val="nil"/>
            </w:tcBorders>
            <w:shd w:val="clear" w:color="auto" w:fill="auto"/>
            <w:vAlign w:val="center"/>
          </w:tcPr>
          <w:p w14:paraId="35531830" w14:textId="77777777" w:rsidR="001F1180" w:rsidRPr="00DE148E" w:rsidRDefault="001F1180" w:rsidP="00DE148E">
            <w:pPr>
              <w:keepNext/>
              <w:spacing w:beforeLines="40" w:before="96" w:afterLines="40" w:after="96" w:line="240" w:lineRule="auto"/>
              <w:rPr>
                <w:rFonts w:ascii="Arial" w:hAnsi="Arial" w:cs="Arial"/>
                <w:b/>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tcBorders>
              <w:bottom w:val="nil"/>
            </w:tcBorders>
            <w:vAlign w:val="center"/>
          </w:tcPr>
          <w:p w14:paraId="4FD3AE98" w14:textId="77777777" w:rsidR="001F1180" w:rsidRPr="00DE148E" w:rsidRDefault="003332C4" w:rsidP="00DE148E">
            <w:pPr>
              <w:keepNext/>
              <w:spacing w:beforeLines="40" w:before="96" w:afterLines="40" w:after="96" w:line="240" w:lineRule="auto"/>
              <w:rPr>
                <w:rFonts w:ascii="Arial" w:hAnsi="Arial" w:cs="Arial"/>
                <w:b/>
                <w:sz w:val="20"/>
                <w:szCs w:val="20"/>
              </w:rPr>
            </w:pPr>
            <w:r w:rsidRPr="00DE148E">
              <w:rPr>
                <w:rFonts w:ascii="Arial" w:hAnsi="Arial" w:cs="Arial"/>
                <w:sz w:val="20"/>
                <w:szCs w:val="20"/>
              </w:rPr>
              <w:sym w:font="Wingdings 2" w:char="F0D2"/>
            </w:r>
            <w:r w:rsidRPr="00DE148E">
              <w:rPr>
                <w:rFonts w:ascii="Arial" w:hAnsi="Arial" w:cs="Arial"/>
                <w:sz w:val="20"/>
                <w:szCs w:val="20"/>
              </w:rPr>
              <w:sym w:font="Wingdings 2" w:char="F0CB"/>
            </w:r>
          </w:p>
        </w:tc>
        <w:tc>
          <w:tcPr>
            <w:tcW w:w="759" w:type="pct"/>
            <w:tcBorders>
              <w:bottom w:val="nil"/>
            </w:tcBorders>
            <w:vAlign w:val="center"/>
          </w:tcPr>
          <w:p w14:paraId="06DDF02A" w14:textId="77777777" w:rsidR="001F1180" w:rsidRPr="00DE148E" w:rsidRDefault="003332C4" w:rsidP="00DE148E">
            <w:pPr>
              <w:keepNext/>
              <w:spacing w:beforeLines="40" w:before="96" w:afterLines="40" w:after="96" w:line="240" w:lineRule="auto"/>
              <w:rPr>
                <w:rFonts w:ascii="Arial" w:hAnsi="Arial" w:cs="Arial"/>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tcBorders>
              <w:bottom w:val="nil"/>
            </w:tcBorders>
            <w:vAlign w:val="center"/>
          </w:tcPr>
          <w:p w14:paraId="0B5320CD"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sz w:val="20"/>
                <w:szCs w:val="20"/>
              </w:rPr>
              <w:sym w:font="Wingdings 2" w:char="F0D2"/>
            </w:r>
            <w:r w:rsidRPr="00DE148E">
              <w:rPr>
                <w:rFonts w:ascii="Arial" w:hAnsi="Arial" w:cs="Arial"/>
                <w:sz w:val="20"/>
                <w:szCs w:val="20"/>
              </w:rPr>
              <w:sym w:font="Wingdings 2" w:char="F09B"/>
            </w:r>
          </w:p>
        </w:tc>
        <w:tc>
          <w:tcPr>
            <w:tcW w:w="758" w:type="pct"/>
            <w:tcBorders>
              <w:bottom w:val="nil"/>
            </w:tcBorders>
            <w:vAlign w:val="center"/>
          </w:tcPr>
          <w:p w14:paraId="0F1E0C07"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sz w:val="20"/>
                <w:szCs w:val="20"/>
              </w:rPr>
              <w:sym w:font="Wingdings 2" w:char="F0D2"/>
            </w:r>
            <w:r w:rsidRPr="00DE148E">
              <w:rPr>
                <w:rFonts w:ascii="Arial" w:hAnsi="Arial" w:cs="Arial"/>
                <w:sz w:val="20"/>
                <w:szCs w:val="20"/>
              </w:rPr>
              <w:sym w:font="Wingdings 2" w:char="F0CB"/>
            </w:r>
          </w:p>
        </w:tc>
      </w:tr>
      <w:tr w:rsidR="001F1180" w:rsidRPr="00DE148E" w14:paraId="7D7E0D69" w14:textId="77777777" w:rsidTr="002575FC">
        <w:tc>
          <w:tcPr>
            <w:tcW w:w="1206" w:type="pct"/>
            <w:tcBorders>
              <w:top w:val="nil"/>
            </w:tcBorders>
            <w:vAlign w:val="center"/>
          </w:tcPr>
          <w:p w14:paraId="7AD1BF8E"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sz w:val="20"/>
                <w:szCs w:val="20"/>
              </w:rPr>
              <w:t xml:space="preserve">Ambrisentan: with </w:t>
            </w:r>
            <w:proofErr w:type="spellStart"/>
            <w:r w:rsidRPr="00DE148E">
              <w:rPr>
                <w:rFonts w:ascii="Arial" w:hAnsi="Arial" w:cs="Arial"/>
                <w:sz w:val="20"/>
                <w:szCs w:val="20"/>
              </w:rPr>
              <w:t>tadalafil</w:t>
            </w:r>
            <w:r w:rsidRPr="00DE148E">
              <w:rPr>
                <w:rFonts w:ascii="Arial" w:hAnsi="Arial" w:cs="Arial"/>
                <w:sz w:val="20"/>
                <w:szCs w:val="20"/>
                <w:vertAlign w:val="superscript"/>
              </w:rPr>
              <w:t>a</w:t>
            </w:r>
            <w:proofErr w:type="spellEnd"/>
          </w:p>
        </w:tc>
        <w:tc>
          <w:tcPr>
            <w:tcW w:w="759" w:type="pct"/>
            <w:tcBorders>
              <w:top w:val="nil"/>
            </w:tcBorders>
            <w:vAlign w:val="center"/>
          </w:tcPr>
          <w:p w14:paraId="5BAE9F8C" w14:textId="77777777" w:rsidR="001F1180" w:rsidRPr="00DE148E" w:rsidRDefault="001F1180" w:rsidP="00DE148E">
            <w:pPr>
              <w:keepNext/>
              <w:spacing w:beforeLines="40" w:before="96" w:afterLines="40" w:after="96" w:line="240" w:lineRule="auto"/>
              <w:rPr>
                <w:rFonts w:ascii="Arial" w:hAnsi="Arial" w:cs="Arial"/>
                <w:b/>
                <w:caps/>
                <w:dstrike/>
                <w:color w:val="000000"/>
                <w:spacing w:val="5"/>
                <w:kern w:val="28"/>
                <w:sz w:val="20"/>
                <w:szCs w:val="20"/>
                <w:lang w:val="en-US"/>
              </w:rPr>
            </w:pPr>
            <w:r w:rsidRPr="00DE148E">
              <w:rPr>
                <w:rFonts w:ascii="Arial" w:hAnsi="Arial" w:cs="Arial"/>
                <w:b/>
                <w:dstrike/>
                <w:sz w:val="20"/>
                <w:szCs w:val="20"/>
              </w:rPr>
              <w:sym w:font="Wingdings 2" w:char="F052"/>
            </w:r>
          </w:p>
        </w:tc>
        <w:tc>
          <w:tcPr>
            <w:tcW w:w="759" w:type="pct"/>
            <w:tcBorders>
              <w:top w:val="nil"/>
            </w:tcBorders>
            <w:vAlign w:val="center"/>
          </w:tcPr>
          <w:p w14:paraId="552BAC87" w14:textId="77777777" w:rsidR="001F1180" w:rsidRPr="00DE148E" w:rsidRDefault="001F1180" w:rsidP="00DE148E">
            <w:pPr>
              <w:keepNext/>
              <w:spacing w:beforeLines="40" w:before="96" w:afterLines="40" w:after="96" w:line="240" w:lineRule="auto"/>
              <w:rPr>
                <w:rFonts w:ascii="Arial" w:hAnsi="Arial" w:cs="Arial"/>
                <w:b/>
                <w:dstrike/>
                <w:sz w:val="20"/>
                <w:szCs w:val="20"/>
              </w:rPr>
            </w:pPr>
            <w:r w:rsidRPr="00DE148E">
              <w:rPr>
                <w:rFonts w:ascii="Arial" w:hAnsi="Arial" w:cs="Arial"/>
                <w:b/>
                <w:dstrike/>
                <w:sz w:val="20"/>
                <w:szCs w:val="20"/>
              </w:rPr>
              <w:sym w:font="Wingdings 2" w:char="F052"/>
            </w:r>
          </w:p>
        </w:tc>
        <w:tc>
          <w:tcPr>
            <w:tcW w:w="759" w:type="pct"/>
            <w:tcBorders>
              <w:top w:val="nil"/>
            </w:tcBorders>
            <w:vAlign w:val="center"/>
          </w:tcPr>
          <w:p w14:paraId="07869BC0" w14:textId="77777777" w:rsidR="001F1180" w:rsidRPr="00DE148E" w:rsidRDefault="001F1180" w:rsidP="00DE148E">
            <w:pPr>
              <w:keepNext/>
              <w:spacing w:beforeLines="40" w:before="96" w:afterLines="40" w:after="96" w:line="240" w:lineRule="auto"/>
              <w:rPr>
                <w:rFonts w:ascii="Arial" w:hAnsi="Arial" w:cs="Arial"/>
                <w:b/>
                <w:dstrike/>
                <w:sz w:val="20"/>
                <w:szCs w:val="20"/>
              </w:rPr>
            </w:pPr>
            <w:r w:rsidRPr="00DE148E">
              <w:rPr>
                <w:rFonts w:ascii="Arial" w:hAnsi="Arial" w:cs="Arial"/>
                <w:b/>
                <w:dstrike/>
                <w:sz w:val="20"/>
                <w:szCs w:val="20"/>
              </w:rPr>
              <w:sym w:font="Wingdings 2" w:char="F052"/>
            </w:r>
          </w:p>
        </w:tc>
        <w:tc>
          <w:tcPr>
            <w:tcW w:w="759" w:type="pct"/>
            <w:tcBorders>
              <w:top w:val="nil"/>
            </w:tcBorders>
            <w:vAlign w:val="center"/>
          </w:tcPr>
          <w:p w14:paraId="5211CD05" w14:textId="77777777" w:rsidR="001F1180" w:rsidRPr="00DE148E" w:rsidRDefault="001F1180" w:rsidP="00DE148E">
            <w:pPr>
              <w:keepNext/>
              <w:spacing w:beforeLines="40" w:before="96" w:afterLines="40" w:after="96" w:line="240" w:lineRule="auto"/>
              <w:rPr>
                <w:rFonts w:ascii="Arial" w:hAnsi="Arial" w:cs="Arial"/>
                <w:b/>
                <w:dstrike/>
                <w:sz w:val="20"/>
                <w:szCs w:val="20"/>
              </w:rPr>
            </w:pPr>
            <w:r w:rsidRPr="00DE148E">
              <w:rPr>
                <w:rFonts w:ascii="Arial" w:hAnsi="Arial" w:cs="Arial"/>
                <w:b/>
                <w:dstrike/>
                <w:sz w:val="20"/>
                <w:szCs w:val="20"/>
              </w:rPr>
              <w:sym w:font="Wingdings 2" w:char="F052"/>
            </w:r>
          </w:p>
        </w:tc>
        <w:tc>
          <w:tcPr>
            <w:tcW w:w="758" w:type="pct"/>
            <w:tcBorders>
              <w:top w:val="nil"/>
            </w:tcBorders>
            <w:vAlign w:val="center"/>
          </w:tcPr>
          <w:p w14:paraId="0FF32278" w14:textId="77777777" w:rsidR="001F1180" w:rsidRPr="00DE148E" w:rsidRDefault="001F1180" w:rsidP="00DE148E">
            <w:pPr>
              <w:keepNext/>
              <w:spacing w:beforeLines="40" w:before="96" w:afterLines="40" w:after="96" w:line="240" w:lineRule="auto"/>
              <w:rPr>
                <w:rFonts w:ascii="Arial" w:hAnsi="Arial" w:cs="Arial"/>
                <w:b/>
                <w:dstrike/>
                <w:sz w:val="20"/>
                <w:szCs w:val="20"/>
              </w:rPr>
            </w:pPr>
            <w:r w:rsidRPr="00DE148E">
              <w:rPr>
                <w:rFonts w:ascii="Arial" w:hAnsi="Arial" w:cs="Arial"/>
                <w:b/>
                <w:dstrike/>
                <w:sz w:val="20"/>
                <w:szCs w:val="20"/>
              </w:rPr>
              <w:sym w:font="Wingdings 2" w:char="F052"/>
            </w:r>
          </w:p>
        </w:tc>
      </w:tr>
      <w:tr w:rsidR="001F1180" w:rsidRPr="00DE148E" w14:paraId="76A0A76B" w14:textId="77777777" w:rsidTr="002575FC">
        <w:tc>
          <w:tcPr>
            <w:tcW w:w="1206" w:type="pct"/>
            <w:shd w:val="clear" w:color="auto" w:fill="auto"/>
            <w:vAlign w:val="center"/>
          </w:tcPr>
          <w:p w14:paraId="67D581B5"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sz w:val="20"/>
                <w:szCs w:val="20"/>
              </w:rPr>
              <w:t>Bosentan</w:t>
            </w:r>
          </w:p>
        </w:tc>
        <w:tc>
          <w:tcPr>
            <w:tcW w:w="759" w:type="pct"/>
            <w:shd w:val="clear" w:color="auto" w:fill="auto"/>
            <w:vAlign w:val="center"/>
          </w:tcPr>
          <w:p w14:paraId="04DDF3AB"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vAlign w:val="center"/>
          </w:tcPr>
          <w:p w14:paraId="51D9A4B6"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vAlign w:val="center"/>
          </w:tcPr>
          <w:p w14:paraId="2590BFCC"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vAlign w:val="center"/>
          </w:tcPr>
          <w:p w14:paraId="3D1ABB3E"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8" w:type="pct"/>
            <w:vAlign w:val="center"/>
          </w:tcPr>
          <w:p w14:paraId="458E13F6"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sz w:val="20"/>
                <w:szCs w:val="20"/>
              </w:rPr>
              <w:sym w:font="Wingdings 2" w:char="F0D2"/>
            </w:r>
            <w:r w:rsidRPr="00DE148E">
              <w:rPr>
                <w:rFonts w:ascii="Arial" w:hAnsi="Arial" w:cs="Arial"/>
                <w:sz w:val="20"/>
                <w:szCs w:val="20"/>
              </w:rPr>
              <w:sym w:font="Wingdings 2" w:char="F0CB"/>
            </w:r>
          </w:p>
        </w:tc>
      </w:tr>
      <w:tr w:rsidR="001F1180" w:rsidRPr="00DE148E" w14:paraId="165DDB48" w14:textId="77777777" w:rsidTr="002575FC">
        <w:tc>
          <w:tcPr>
            <w:tcW w:w="1206" w:type="pct"/>
            <w:vAlign w:val="center"/>
          </w:tcPr>
          <w:p w14:paraId="0C43B906" w14:textId="77777777" w:rsidR="001F1180" w:rsidRPr="00DE148E" w:rsidRDefault="001F1180" w:rsidP="00DE148E">
            <w:pPr>
              <w:keepNext/>
              <w:spacing w:beforeLines="40" w:before="96" w:afterLines="40" w:after="96" w:line="240" w:lineRule="auto"/>
              <w:rPr>
                <w:rFonts w:ascii="Arial" w:hAnsi="Arial" w:cs="Arial"/>
                <w:sz w:val="20"/>
                <w:szCs w:val="20"/>
              </w:rPr>
            </w:pPr>
            <w:proofErr w:type="spellStart"/>
            <w:r w:rsidRPr="00DE148E">
              <w:rPr>
                <w:rFonts w:ascii="Arial" w:hAnsi="Arial" w:cs="Arial"/>
                <w:sz w:val="20"/>
                <w:szCs w:val="20"/>
              </w:rPr>
              <w:t>Sildenafil</w:t>
            </w:r>
            <w:r w:rsidRPr="00DE148E">
              <w:rPr>
                <w:rFonts w:ascii="Arial" w:hAnsi="Arial" w:cs="Arial"/>
                <w:sz w:val="20"/>
                <w:szCs w:val="20"/>
                <w:vertAlign w:val="superscript"/>
              </w:rPr>
              <w:t>b</w:t>
            </w:r>
            <w:proofErr w:type="spellEnd"/>
          </w:p>
        </w:tc>
        <w:tc>
          <w:tcPr>
            <w:tcW w:w="759" w:type="pct"/>
            <w:vAlign w:val="center"/>
          </w:tcPr>
          <w:p w14:paraId="1D1DC61E" w14:textId="77777777" w:rsidR="001F1180" w:rsidRPr="00DE148E" w:rsidRDefault="001F1180" w:rsidP="00DE148E">
            <w:pPr>
              <w:keepNext/>
              <w:spacing w:beforeLines="40" w:before="96" w:afterLines="40" w:after="96" w:line="240" w:lineRule="auto"/>
              <w:rPr>
                <w:rFonts w:ascii="Arial" w:hAnsi="Arial" w:cs="Arial"/>
                <w:b/>
                <w:caps/>
                <w:spacing w:val="5"/>
                <w:kern w:val="28"/>
                <w:sz w:val="20"/>
                <w:szCs w:val="20"/>
                <w:lang w:val="en-US"/>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vAlign w:val="center"/>
          </w:tcPr>
          <w:p w14:paraId="1A462373" w14:textId="77777777" w:rsidR="001F1180" w:rsidRPr="00DE148E" w:rsidRDefault="001F1180" w:rsidP="00DE148E">
            <w:pPr>
              <w:keepNext/>
              <w:spacing w:beforeLines="40" w:before="96" w:afterLines="40" w:after="96" w:line="240" w:lineRule="auto"/>
              <w:rPr>
                <w:rFonts w:ascii="Arial" w:hAnsi="Arial" w:cs="Arial"/>
                <w:color w:val="A6A6A6" w:themeColor="background1" w:themeShade="A6"/>
                <w:sz w:val="20"/>
                <w:szCs w:val="20"/>
              </w:rPr>
            </w:pPr>
            <w:r w:rsidRPr="00DE148E">
              <w:rPr>
                <w:rFonts w:ascii="Arial" w:hAnsi="Arial" w:cs="Arial"/>
                <w:color w:val="A6A6A6" w:themeColor="background1" w:themeShade="A6"/>
                <w:sz w:val="20"/>
                <w:szCs w:val="20"/>
              </w:rPr>
              <w:sym w:font="Wingdings 2" w:char="F052"/>
            </w:r>
            <w:r w:rsidRPr="00DE148E">
              <w:rPr>
                <w:rFonts w:ascii="Arial" w:hAnsi="Arial" w:cs="Arial"/>
                <w:sz w:val="20"/>
                <w:szCs w:val="20"/>
              </w:rPr>
              <w:sym w:font="Wingdings 2" w:char="F0CB"/>
            </w:r>
          </w:p>
        </w:tc>
        <w:tc>
          <w:tcPr>
            <w:tcW w:w="759" w:type="pct"/>
            <w:vAlign w:val="center"/>
          </w:tcPr>
          <w:p w14:paraId="0FCAAF3F"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vAlign w:val="center"/>
          </w:tcPr>
          <w:p w14:paraId="6DB1CDC3" w14:textId="77777777" w:rsidR="001F1180" w:rsidRPr="00DE148E" w:rsidRDefault="001F1180" w:rsidP="00DE148E">
            <w:pPr>
              <w:keepNext/>
              <w:spacing w:beforeLines="40" w:before="96" w:afterLines="40" w:after="96" w:line="240" w:lineRule="auto"/>
              <w:rPr>
                <w:rFonts w:ascii="Arial" w:hAnsi="Arial" w:cs="Arial"/>
                <w:color w:val="A6A6A6" w:themeColor="background1" w:themeShade="A6"/>
                <w:sz w:val="20"/>
                <w:szCs w:val="20"/>
              </w:rPr>
            </w:pPr>
            <w:r w:rsidRPr="00DE148E">
              <w:rPr>
                <w:rFonts w:ascii="Arial" w:hAnsi="Arial" w:cs="Arial"/>
                <w:color w:val="A6A6A6" w:themeColor="background1" w:themeShade="A6"/>
                <w:sz w:val="20"/>
                <w:szCs w:val="20"/>
              </w:rPr>
              <w:sym w:font="Wingdings 2" w:char="F052"/>
            </w:r>
            <w:r w:rsidRPr="00DE148E">
              <w:rPr>
                <w:rFonts w:ascii="Arial" w:hAnsi="Arial" w:cs="Arial"/>
                <w:sz w:val="20"/>
                <w:szCs w:val="20"/>
              </w:rPr>
              <w:sym w:font="Wingdings 2" w:char="F09B"/>
            </w:r>
          </w:p>
        </w:tc>
        <w:tc>
          <w:tcPr>
            <w:tcW w:w="758" w:type="pct"/>
            <w:vAlign w:val="center"/>
          </w:tcPr>
          <w:p w14:paraId="592FB5CA" w14:textId="77777777" w:rsidR="001F1180" w:rsidRPr="00DE148E" w:rsidRDefault="001F1180" w:rsidP="00DE148E">
            <w:pPr>
              <w:keepNext/>
              <w:spacing w:beforeLines="40" w:before="96" w:afterLines="40" w:after="96" w:line="240" w:lineRule="auto"/>
              <w:rPr>
                <w:rFonts w:ascii="Arial" w:hAnsi="Arial" w:cs="Arial"/>
                <w:color w:val="A6A6A6" w:themeColor="background1" w:themeShade="A6"/>
                <w:sz w:val="20"/>
                <w:szCs w:val="20"/>
              </w:rPr>
            </w:pPr>
            <w:r w:rsidRPr="00DE148E">
              <w:rPr>
                <w:rFonts w:ascii="Arial" w:hAnsi="Arial" w:cs="Arial"/>
                <w:color w:val="A6A6A6" w:themeColor="background1" w:themeShade="A6"/>
                <w:sz w:val="20"/>
                <w:szCs w:val="20"/>
              </w:rPr>
              <w:sym w:font="Wingdings 2" w:char="F052"/>
            </w:r>
            <w:r w:rsidRPr="00DE148E">
              <w:rPr>
                <w:rFonts w:ascii="Arial" w:hAnsi="Arial" w:cs="Arial"/>
                <w:sz w:val="20"/>
                <w:szCs w:val="20"/>
              </w:rPr>
              <w:sym w:font="Wingdings 2" w:char="F0CB"/>
            </w:r>
          </w:p>
        </w:tc>
      </w:tr>
      <w:tr w:rsidR="001F1180" w:rsidRPr="00DE148E" w14:paraId="0B4A9429" w14:textId="77777777" w:rsidTr="002575FC">
        <w:tc>
          <w:tcPr>
            <w:tcW w:w="1206" w:type="pct"/>
            <w:vAlign w:val="center"/>
          </w:tcPr>
          <w:p w14:paraId="29B204EB" w14:textId="77777777" w:rsidR="001F1180" w:rsidRPr="00DE148E" w:rsidRDefault="001F1180" w:rsidP="00DE148E">
            <w:pPr>
              <w:keepNext/>
              <w:spacing w:beforeLines="40" w:before="96" w:afterLines="40" w:after="96" w:line="240" w:lineRule="auto"/>
              <w:rPr>
                <w:rFonts w:ascii="Arial" w:hAnsi="Arial" w:cs="Arial"/>
                <w:sz w:val="20"/>
                <w:szCs w:val="20"/>
              </w:rPr>
            </w:pPr>
            <w:proofErr w:type="spellStart"/>
            <w:r w:rsidRPr="00DE148E">
              <w:rPr>
                <w:rFonts w:ascii="Arial" w:hAnsi="Arial" w:cs="Arial"/>
                <w:sz w:val="20"/>
                <w:szCs w:val="20"/>
              </w:rPr>
              <w:t>Tadalafil</w:t>
            </w:r>
            <w:r w:rsidRPr="00DE148E">
              <w:rPr>
                <w:rFonts w:ascii="Arial" w:hAnsi="Arial" w:cs="Arial"/>
                <w:sz w:val="20"/>
                <w:szCs w:val="20"/>
                <w:vertAlign w:val="superscript"/>
              </w:rPr>
              <w:t>b</w:t>
            </w:r>
            <w:proofErr w:type="spellEnd"/>
          </w:p>
        </w:tc>
        <w:tc>
          <w:tcPr>
            <w:tcW w:w="759" w:type="pct"/>
            <w:vAlign w:val="center"/>
          </w:tcPr>
          <w:p w14:paraId="2D7361D8" w14:textId="77777777" w:rsidR="001F1180" w:rsidRPr="00DE148E" w:rsidRDefault="001F1180" w:rsidP="00DE148E">
            <w:pPr>
              <w:keepNext/>
              <w:spacing w:beforeLines="40" w:before="96" w:afterLines="40" w:after="96" w:line="240" w:lineRule="auto"/>
              <w:rPr>
                <w:rFonts w:ascii="Arial" w:hAnsi="Arial" w:cs="Arial"/>
                <w:b/>
                <w:caps/>
                <w:spacing w:val="5"/>
                <w:kern w:val="28"/>
                <w:sz w:val="20"/>
                <w:szCs w:val="20"/>
                <w:lang w:val="en-US"/>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vAlign w:val="center"/>
          </w:tcPr>
          <w:p w14:paraId="3E7D7755" w14:textId="77777777" w:rsidR="001F1180" w:rsidRPr="00DE148E" w:rsidRDefault="001F1180" w:rsidP="00DE148E">
            <w:pPr>
              <w:keepNext/>
              <w:spacing w:beforeLines="40" w:before="96" w:afterLines="40" w:after="96" w:line="240" w:lineRule="auto"/>
              <w:rPr>
                <w:rFonts w:ascii="Arial" w:hAnsi="Arial" w:cs="Arial"/>
                <w:color w:val="A6A6A6" w:themeColor="background1" w:themeShade="A6"/>
                <w:sz w:val="20"/>
                <w:szCs w:val="20"/>
              </w:rPr>
            </w:pPr>
            <w:r w:rsidRPr="00DE148E">
              <w:rPr>
                <w:rFonts w:ascii="Arial" w:hAnsi="Arial" w:cs="Arial"/>
                <w:color w:val="A6A6A6" w:themeColor="background1" w:themeShade="A6"/>
                <w:sz w:val="20"/>
                <w:szCs w:val="20"/>
              </w:rPr>
              <w:sym w:font="Wingdings 2" w:char="F052"/>
            </w:r>
            <w:r w:rsidRPr="00DE148E">
              <w:rPr>
                <w:rFonts w:ascii="Arial" w:hAnsi="Arial" w:cs="Arial"/>
                <w:sz w:val="20"/>
                <w:szCs w:val="20"/>
              </w:rPr>
              <w:sym w:font="Wingdings 2" w:char="F0CB"/>
            </w:r>
          </w:p>
        </w:tc>
        <w:tc>
          <w:tcPr>
            <w:tcW w:w="759" w:type="pct"/>
            <w:vAlign w:val="center"/>
          </w:tcPr>
          <w:p w14:paraId="6E57C5E0" w14:textId="77777777" w:rsidR="001F1180" w:rsidRPr="00DE148E" w:rsidRDefault="001F1180" w:rsidP="00DE148E">
            <w:pPr>
              <w:keepNext/>
              <w:spacing w:beforeLines="40" w:before="96" w:afterLines="40" w:after="96" w:line="240" w:lineRule="auto"/>
              <w:rPr>
                <w:rFonts w:ascii="Arial" w:hAnsi="Arial" w:cs="Arial"/>
                <w:b/>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vAlign w:val="center"/>
          </w:tcPr>
          <w:p w14:paraId="384F25F3" w14:textId="77777777" w:rsidR="001F1180" w:rsidRPr="00DE148E" w:rsidRDefault="001F1180" w:rsidP="00DE148E">
            <w:pPr>
              <w:keepNext/>
              <w:spacing w:beforeLines="40" w:before="96" w:afterLines="40" w:after="96" w:line="240" w:lineRule="auto"/>
              <w:rPr>
                <w:rFonts w:ascii="Arial" w:hAnsi="Arial" w:cs="Arial"/>
                <w:color w:val="A6A6A6" w:themeColor="background1" w:themeShade="A6"/>
                <w:sz w:val="20"/>
                <w:szCs w:val="20"/>
              </w:rPr>
            </w:pPr>
            <w:r w:rsidRPr="00DE148E">
              <w:rPr>
                <w:rFonts w:ascii="Arial" w:hAnsi="Arial" w:cs="Arial"/>
                <w:color w:val="A6A6A6" w:themeColor="background1" w:themeShade="A6"/>
                <w:sz w:val="20"/>
                <w:szCs w:val="20"/>
              </w:rPr>
              <w:sym w:font="Wingdings 2" w:char="F052"/>
            </w:r>
            <w:r w:rsidRPr="00DE148E">
              <w:rPr>
                <w:rFonts w:ascii="Arial" w:hAnsi="Arial" w:cs="Arial"/>
                <w:sz w:val="20"/>
                <w:szCs w:val="20"/>
              </w:rPr>
              <w:sym w:font="Wingdings 2" w:char="F09B"/>
            </w:r>
          </w:p>
        </w:tc>
        <w:tc>
          <w:tcPr>
            <w:tcW w:w="758" w:type="pct"/>
            <w:vAlign w:val="center"/>
          </w:tcPr>
          <w:p w14:paraId="4F6FB39E" w14:textId="77777777" w:rsidR="001F1180" w:rsidRPr="00DE148E" w:rsidRDefault="001F1180" w:rsidP="00DE148E">
            <w:pPr>
              <w:keepNext/>
              <w:spacing w:beforeLines="40" w:before="96" w:afterLines="40" w:after="96" w:line="240" w:lineRule="auto"/>
              <w:rPr>
                <w:rFonts w:ascii="Arial" w:hAnsi="Arial" w:cs="Arial"/>
                <w:color w:val="A6A6A6" w:themeColor="background1" w:themeShade="A6"/>
                <w:sz w:val="20"/>
                <w:szCs w:val="20"/>
              </w:rPr>
            </w:pPr>
            <w:r w:rsidRPr="00DE148E">
              <w:rPr>
                <w:rFonts w:ascii="Arial" w:hAnsi="Arial" w:cs="Arial"/>
                <w:color w:val="A6A6A6" w:themeColor="background1" w:themeShade="A6"/>
                <w:sz w:val="20"/>
                <w:szCs w:val="20"/>
              </w:rPr>
              <w:sym w:font="Wingdings 2" w:char="F052"/>
            </w:r>
            <w:r w:rsidRPr="00DE148E">
              <w:rPr>
                <w:rFonts w:ascii="Arial" w:hAnsi="Arial" w:cs="Arial"/>
                <w:sz w:val="20"/>
                <w:szCs w:val="20"/>
              </w:rPr>
              <w:sym w:font="Wingdings 2" w:char="F0CB"/>
            </w:r>
          </w:p>
        </w:tc>
      </w:tr>
      <w:tr w:rsidR="001F1180" w:rsidRPr="00DE148E" w14:paraId="564913D6" w14:textId="77777777" w:rsidTr="002575FC">
        <w:tc>
          <w:tcPr>
            <w:tcW w:w="1206" w:type="pct"/>
            <w:vAlign w:val="center"/>
          </w:tcPr>
          <w:p w14:paraId="4722A19D"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sz w:val="20"/>
                <w:szCs w:val="20"/>
              </w:rPr>
              <w:t xml:space="preserve">Riociguat </w:t>
            </w:r>
          </w:p>
        </w:tc>
        <w:tc>
          <w:tcPr>
            <w:tcW w:w="759" w:type="pct"/>
            <w:vAlign w:val="center"/>
          </w:tcPr>
          <w:p w14:paraId="169EF122" w14:textId="77777777" w:rsidR="001F1180" w:rsidRPr="00DE148E" w:rsidRDefault="001F1180" w:rsidP="00DE148E">
            <w:pPr>
              <w:keepNext/>
              <w:spacing w:beforeLines="40" w:before="96" w:afterLines="40" w:after="96" w:line="240" w:lineRule="auto"/>
              <w:rPr>
                <w:rFonts w:ascii="Arial" w:hAnsi="Arial" w:cs="Arial"/>
                <w:b/>
                <w:caps/>
                <w:color w:val="000000"/>
                <w:spacing w:val="5"/>
                <w:kern w:val="28"/>
                <w:sz w:val="20"/>
                <w:szCs w:val="20"/>
                <w:lang w:val="en-US"/>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vAlign w:val="center"/>
          </w:tcPr>
          <w:p w14:paraId="6A956ACF" w14:textId="77777777" w:rsidR="001F1180" w:rsidRPr="00DE148E" w:rsidRDefault="001F1180" w:rsidP="00DE148E">
            <w:pPr>
              <w:keepNext/>
              <w:spacing w:beforeLines="40" w:before="96" w:afterLines="40" w:after="96" w:line="240" w:lineRule="auto"/>
              <w:rPr>
                <w:rFonts w:ascii="Arial" w:hAnsi="Arial" w:cs="Arial"/>
                <w:b/>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vAlign w:val="center"/>
          </w:tcPr>
          <w:p w14:paraId="012F6FA7" w14:textId="77777777" w:rsidR="001F1180" w:rsidRPr="00DE148E" w:rsidRDefault="001F1180" w:rsidP="00DE148E">
            <w:pPr>
              <w:keepNext/>
              <w:spacing w:beforeLines="40" w:before="96" w:afterLines="40" w:after="96" w:line="240" w:lineRule="auto"/>
              <w:rPr>
                <w:rFonts w:ascii="Arial" w:hAnsi="Arial" w:cs="Arial"/>
                <w:b/>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vAlign w:val="center"/>
          </w:tcPr>
          <w:p w14:paraId="13DB1517" w14:textId="77777777" w:rsidR="001F1180" w:rsidRPr="00DE148E" w:rsidRDefault="001F1180" w:rsidP="00DE148E">
            <w:pPr>
              <w:keepNext/>
              <w:spacing w:beforeLines="40" w:before="96" w:afterLines="40" w:after="96" w:line="240" w:lineRule="auto"/>
              <w:rPr>
                <w:rFonts w:ascii="Arial" w:hAnsi="Arial" w:cs="Arial"/>
                <w:b/>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8" w:type="pct"/>
            <w:vAlign w:val="center"/>
          </w:tcPr>
          <w:p w14:paraId="56C4C868"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sz w:val="20"/>
                <w:szCs w:val="20"/>
              </w:rPr>
              <w:sym w:font="Wingdings 2" w:char="F0D2"/>
            </w:r>
            <w:r w:rsidRPr="00DE148E">
              <w:rPr>
                <w:rFonts w:ascii="Arial" w:hAnsi="Arial" w:cs="Arial"/>
                <w:sz w:val="20"/>
                <w:szCs w:val="20"/>
              </w:rPr>
              <w:sym w:font="Wingdings 2" w:char="F0CB"/>
            </w:r>
          </w:p>
        </w:tc>
      </w:tr>
      <w:tr w:rsidR="001F1180" w:rsidRPr="00DE148E" w14:paraId="71ABF1E8" w14:textId="77777777" w:rsidTr="002575FC">
        <w:tc>
          <w:tcPr>
            <w:tcW w:w="1206" w:type="pct"/>
            <w:vAlign w:val="center"/>
          </w:tcPr>
          <w:p w14:paraId="4C8AD700"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sz w:val="20"/>
                <w:szCs w:val="20"/>
              </w:rPr>
              <w:t>Iloprost</w:t>
            </w:r>
          </w:p>
        </w:tc>
        <w:tc>
          <w:tcPr>
            <w:tcW w:w="759" w:type="pct"/>
            <w:vAlign w:val="center"/>
          </w:tcPr>
          <w:p w14:paraId="0567082D" w14:textId="77777777" w:rsidR="001F1180" w:rsidRPr="00DE148E" w:rsidRDefault="001F1180" w:rsidP="00DE148E">
            <w:pPr>
              <w:keepNext/>
              <w:spacing w:beforeLines="40" w:before="96" w:afterLines="40" w:after="96" w:line="240" w:lineRule="auto"/>
              <w:rPr>
                <w:rFonts w:ascii="Arial" w:hAnsi="Arial" w:cs="Arial"/>
                <w:b/>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vAlign w:val="center"/>
          </w:tcPr>
          <w:p w14:paraId="5CB14C69"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sz w:val="20"/>
                <w:szCs w:val="20"/>
              </w:rPr>
              <w:sym w:font="Wingdings 2" w:char="F0D2"/>
            </w:r>
            <w:r w:rsidRPr="00DE148E">
              <w:rPr>
                <w:rFonts w:ascii="Arial" w:hAnsi="Arial" w:cs="Arial"/>
                <w:sz w:val="20"/>
                <w:szCs w:val="20"/>
              </w:rPr>
              <w:sym w:font="Wingdings 2" w:char="F0CB"/>
            </w:r>
          </w:p>
        </w:tc>
        <w:tc>
          <w:tcPr>
            <w:tcW w:w="759" w:type="pct"/>
            <w:vAlign w:val="center"/>
          </w:tcPr>
          <w:p w14:paraId="18CD3C7A"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c>
          <w:tcPr>
            <w:tcW w:w="759" w:type="pct"/>
            <w:vAlign w:val="center"/>
          </w:tcPr>
          <w:p w14:paraId="1495D01E"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sz w:val="20"/>
                <w:szCs w:val="20"/>
              </w:rPr>
              <w:sym w:font="Wingdings 2" w:char="F0D2"/>
            </w:r>
            <w:r w:rsidRPr="00DE148E">
              <w:rPr>
                <w:rFonts w:ascii="Arial" w:hAnsi="Arial" w:cs="Arial"/>
                <w:sz w:val="20"/>
                <w:szCs w:val="20"/>
              </w:rPr>
              <w:sym w:font="Wingdings 2" w:char="F09B"/>
            </w:r>
          </w:p>
        </w:tc>
        <w:tc>
          <w:tcPr>
            <w:tcW w:w="758" w:type="pct"/>
            <w:vAlign w:val="center"/>
          </w:tcPr>
          <w:p w14:paraId="525DC06D" w14:textId="77777777" w:rsidR="001F1180" w:rsidRPr="00DE148E" w:rsidRDefault="001F1180" w:rsidP="00DE148E">
            <w:pPr>
              <w:keepNext/>
              <w:spacing w:beforeLines="40" w:before="96" w:afterLines="40" w:after="96" w:line="240" w:lineRule="auto"/>
              <w:rPr>
                <w:rFonts w:ascii="Arial" w:hAnsi="Arial" w:cs="Arial"/>
                <w:b/>
                <w:sz w:val="20"/>
                <w:szCs w:val="20"/>
              </w:rPr>
            </w:pPr>
            <w:r w:rsidRPr="00DE148E">
              <w:rPr>
                <w:rFonts w:ascii="Arial" w:hAnsi="Arial" w:cs="Arial"/>
                <w:b/>
                <w:sz w:val="20"/>
                <w:szCs w:val="20"/>
              </w:rPr>
              <w:sym w:font="Wingdings 2" w:char="F052"/>
            </w:r>
            <w:r w:rsidRPr="00DE148E">
              <w:rPr>
                <w:rFonts w:ascii="Arial" w:hAnsi="Arial" w:cs="Arial"/>
                <w:sz w:val="20"/>
                <w:szCs w:val="20"/>
              </w:rPr>
              <w:sym w:font="Wingdings 2" w:char="F0CB"/>
            </w:r>
          </w:p>
        </w:tc>
      </w:tr>
      <w:tr w:rsidR="001F1180" w:rsidRPr="00DE148E" w14:paraId="5FFAC654" w14:textId="77777777" w:rsidTr="002575FC">
        <w:tc>
          <w:tcPr>
            <w:tcW w:w="1206" w:type="pct"/>
            <w:vAlign w:val="center"/>
          </w:tcPr>
          <w:p w14:paraId="6C6C4917" w14:textId="77777777" w:rsidR="001F1180" w:rsidRPr="00DE148E" w:rsidRDefault="001F1180" w:rsidP="00DE148E">
            <w:pPr>
              <w:keepNext/>
              <w:spacing w:beforeLines="40" w:before="96" w:afterLines="40" w:after="96" w:line="240" w:lineRule="auto"/>
              <w:rPr>
                <w:rFonts w:ascii="Arial" w:hAnsi="Arial" w:cs="Arial"/>
                <w:sz w:val="20"/>
                <w:szCs w:val="20"/>
              </w:rPr>
            </w:pPr>
            <w:r w:rsidRPr="00DE148E">
              <w:rPr>
                <w:rFonts w:ascii="Arial" w:hAnsi="Arial" w:cs="Arial"/>
                <w:sz w:val="20"/>
                <w:szCs w:val="20"/>
              </w:rPr>
              <w:t>Epoprostenol</w:t>
            </w:r>
          </w:p>
        </w:tc>
        <w:tc>
          <w:tcPr>
            <w:tcW w:w="759" w:type="pct"/>
            <w:vAlign w:val="center"/>
          </w:tcPr>
          <w:p w14:paraId="113CE248" w14:textId="77777777" w:rsidR="001F1180" w:rsidRPr="00DE148E" w:rsidRDefault="001F1180" w:rsidP="00DE148E">
            <w:pPr>
              <w:pStyle w:val="TableText"/>
              <w:keepNext/>
              <w:spacing w:beforeLines="40" w:before="96" w:afterLines="40" w:after="96"/>
              <w:rPr>
                <w:rFonts w:ascii="Arial" w:hAnsi="Arial"/>
                <w:b/>
                <w:caps/>
                <w:color w:val="000000"/>
                <w:spacing w:val="5"/>
                <w:kern w:val="28"/>
                <w:szCs w:val="20"/>
                <w:lang w:val="en-US"/>
              </w:rPr>
            </w:pPr>
            <w:r w:rsidRPr="00DE148E">
              <w:rPr>
                <w:rFonts w:ascii="Arial" w:hAnsi="Arial"/>
                <w:b/>
                <w:szCs w:val="20"/>
              </w:rPr>
              <w:sym w:font="Wingdings 2" w:char="F052"/>
            </w:r>
            <w:r w:rsidRPr="00DE148E">
              <w:rPr>
                <w:rFonts w:ascii="Arial" w:hAnsi="Arial"/>
                <w:szCs w:val="20"/>
              </w:rPr>
              <w:sym w:font="Wingdings 2" w:char="F0CB"/>
            </w:r>
          </w:p>
        </w:tc>
        <w:tc>
          <w:tcPr>
            <w:tcW w:w="759" w:type="pct"/>
            <w:vAlign w:val="center"/>
          </w:tcPr>
          <w:p w14:paraId="67C19F6C" w14:textId="77777777" w:rsidR="001F1180" w:rsidRPr="00DE148E" w:rsidRDefault="001F1180" w:rsidP="00DE148E">
            <w:pPr>
              <w:pStyle w:val="TableText"/>
              <w:keepNext/>
              <w:spacing w:beforeLines="40" w:before="96" w:afterLines="40" w:after="96"/>
              <w:rPr>
                <w:rFonts w:ascii="Arial" w:hAnsi="Arial"/>
                <w:b/>
                <w:szCs w:val="20"/>
              </w:rPr>
            </w:pPr>
            <w:r w:rsidRPr="00DE148E">
              <w:rPr>
                <w:rFonts w:ascii="Arial" w:hAnsi="Arial"/>
                <w:b/>
                <w:szCs w:val="20"/>
              </w:rPr>
              <w:sym w:font="Wingdings 2" w:char="F052"/>
            </w:r>
            <w:r w:rsidRPr="00DE148E">
              <w:rPr>
                <w:rFonts w:ascii="Arial" w:hAnsi="Arial"/>
                <w:szCs w:val="20"/>
              </w:rPr>
              <w:sym w:font="Wingdings 2" w:char="F0CB"/>
            </w:r>
          </w:p>
        </w:tc>
        <w:tc>
          <w:tcPr>
            <w:tcW w:w="759" w:type="pct"/>
            <w:vAlign w:val="center"/>
          </w:tcPr>
          <w:p w14:paraId="0A0DE614" w14:textId="77777777" w:rsidR="001F1180" w:rsidRPr="00DE148E" w:rsidRDefault="001F1180" w:rsidP="00DE148E">
            <w:pPr>
              <w:pStyle w:val="TableText"/>
              <w:keepNext/>
              <w:spacing w:beforeLines="40" w:before="96" w:afterLines="40" w:after="96"/>
              <w:rPr>
                <w:rFonts w:ascii="Arial" w:hAnsi="Arial"/>
                <w:b/>
                <w:szCs w:val="20"/>
              </w:rPr>
            </w:pPr>
            <w:r w:rsidRPr="00DE148E">
              <w:rPr>
                <w:rFonts w:ascii="Arial" w:hAnsi="Arial"/>
                <w:b/>
                <w:szCs w:val="20"/>
              </w:rPr>
              <w:sym w:font="Wingdings 2" w:char="F052"/>
            </w:r>
            <w:r w:rsidRPr="00DE148E">
              <w:rPr>
                <w:rFonts w:ascii="Arial" w:hAnsi="Arial"/>
                <w:szCs w:val="20"/>
              </w:rPr>
              <w:sym w:font="Wingdings 2" w:char="F0CB"/>
            </w:r>
          </w:p>
        </w:tc>
        <w:tc>
          <w:tcPr>
            <w:tcW w:w="759" w:type="pct"/>
            <w:vAlign w:val="center"/>
          </w:tcPr>
          <w:p w14:paraId="524039B3" w14:textId="77777777" w:rsidR="001F1180" w:rsidRPr="00DE148E" w:rsidRDefault="001F1180" w:rsidP="00DE148E">
            <w:pPr>
              <w:pStyle w:val="TableText"/>
              <w:keepNext/>
              <w:spacing w:beforeLines="40" w:before="96" w:afterLines="40" w:after="96"/>
              <w:rPr>
                <w:rFonts w:ascii="Arial" w:hAnsi="Arial"/>
                <w:szCs w:val="20"/>
              </w:rPr>
            </w:pPr>
            <w:r w:rsidRPr="00DE148E">
              <w:rPr>
                <w:rFonts w:ascii="Arial" w:hAnsi="Arial"/>
                <w:szCs w:val="20"/>
              </w:rPr>
              <w:sym w:font="Wingdings 2" w:char="F0D2"/>
            </w:r>
            <w:r w:rsidRPr="00DE148E">
              <w:rPr>
                <w:rFonts w:ascii="Arial" w:hAnsi="Arial"/>
                <w:szCs w:val="20"/>
              </w:rPr>
              <w:sym w:font="Wingdings 2" w:char="F09B"/>
            </w:r>
          </w:p>
        </w:tc>
        <w:tc>
          <w:tcPr>
            <w:tcW w:w="758" w:type="pct"/>
            <w:vAlign w:val="center"/>
          </w:tcPr>
          <w:p w14:paraId="04F256DB" w14:textId="77777777" w:rsidR="001F1180" w:rsidRPr="00DE148E" w:rsidRDefault="001F1180" w:rsidP="00DE148E">
            <w:pPr>
              <w:pStyle w:val="TableText"/>
              <w:keepNext/>
              <w:spacing w:beforeLines="40" w:before="96" w:afterLines="40" w:after="96"/>
              <w:rPr>
                <w:rFonts w:ascii="Arial" w:hAnsi="Arial"/>
                <w:szCs w:val="20"/>
              </w:rPr>
            </w:pPr>
            <w:r w:rsidRPr="00DE148E">
              <w:rPr>
                <w:rFonts w:ascii="Arial" w:hAnsi="Arial"/>
                <w:szCs w:val="20"/>
              </w:rPr>
              <w:sym w:font="Wingdings 2" w:char="F0D2"/>
            </w:r>
            <w:r w:rsidRPr="00DE148E">
              <w:rPr>
                <w:rFonts w:ascii="Arial" w:hAnsi="Arial"/>
                <w:szCs w:val="20"/>
              </w:rPr>
              <w:sym w:font="Wingdings 2" w:char="F0CB"/>
            </w:r>
          </w:p>
        </w:tc>
      </w:tr>
    </w:tbl>
    <w:p w14:paraId="32977C41" w14:textId="77777777" w:rsidR="001F1180" w:rsidRPr="00DE148E" w:rsidRDefault="001F1180" w:rsidP="00121658">
      <w:pPr>
        <w:tabs>
          <w:tab w:val="left" w:pos="2600"/>
        </w:tabs>
        <w:spacing w:before="0" w:line="240" w:lineRule="auto"/>
        <w:rPr>
          <w:rFonts w:ascii="Arial" w:hAnsi="Arial" w:cs="Arial"/>
          <w:sz w:val="16"/>
          <w:szCs w:val="16"/>
        </w:rPr>
      </w:pPr>
      <w:r w:rsidRPr="00DE148E">
        <w:rPr>
          <w:rFonts w:ascii="Arial" w:hAnsi="Arial" w:cs="Arial"/>
          <w:b/>
          <w:sz w:val="16"/>
          <w:szCs w:val="16"/>
        </w:rPr>
        <w:sym w:font="Wingdings 2" w:char="F052"/>
      </w:r>
      <w:r w:rsidRPr="00DE148E">
        <w:rPr>
          <w:rFonts w:ascii="Arial" w:hAnsi="Arial" w:cs="Arial"/>
          <w:sz w:val="16"/>
          <w:szCs w:val="16"/>
        </w:rPr>
        <w:t xml:space="preserve"> = ARTG registered indication; </w:t>
      </w:r>
      <w:r w:rsidRPr="00DE148E">
        <w:rPr>
          <w:rFonts w:ascii="Arial" w:hAnsi="Arial" w:cs="Arial"/>
          <w:sz w:val="16"/>
          <w:szCs w:val="16"/>
        </w:rPr>
        <w:sym w:font="Wingdings 2" w:char="F0D2"/>
      </w:r>
      <w:r w:rsidRPr="00DE148E">
        <w:rPr>
          <w:rFonts w:ascii="Arial" w:hAnsi="Arial" w:cs="Arial"/>
          <w:sz w:val="16"/>
          <w:szCs w:val="16"/>
        </w:rPr>
        <w:t xml:space="preserve"> = not an ARTG registered indication; </w:t>
      </w:r>
      <w:r w:rsidRPr="00DE148E">
        <w:rPr>
          <w:rFonts w:ascii="Arial" w:hAnsi="Arial" w:cs="Arial"/>
          <w:sz w:val="16"/>
          <w:szCs w:val="16"/>
        </w:rPr>
        <w:sym w:font="Wingdings 2" w:char="F0CB"/>
      </w:r>
      <w:r w:rsidRPr="00DE148E">
        <w:rPr>
          <w:rFonts w:ascii="Arial" w:hAnsi="Arial" w:cs="Arial"/>
          <w:sz w:val="16"/>
          <w:szCs w:val="16"/>
        </w:rPr>
        <w:t xml:space="preserve"> = PBS indication; </w:t>
      </w:r>
      <w:r w:rsidRPr="00DE148E">
        <w:rPr>
          <w:rFonts w:ascii="Arial" w:hAnsi="Arial" w:cs="Arial"/>
          <w:sz w:val="16"/>
          <w:szCs w:val="16"/>
        </w:rPr>
        <w:sym w:font="Wingdings 2" w:char="F09B"/>
      </w:r>
      <w:r w:rsidRPr="00DE148E">
        <w:rPr>
          <w:rFonts w:ascii="Arial" w:hAnsi="Arial" w:cs="Arial"/>
          <w:sz w:val="16"/>
          <w:szCs w:val="16"/>
        </w:rPr>
        <w:t xml:space="preserve"> = not PBS listed for this indication</w:t>
      </w:r>
    </w:p>
    <w:p w14:paraId="78868720" w14:textId="4D1D7C7F" w:rsidR="001F1180" w:rsidRPr="00DE148E" w:rsidRDefault="001F1180" w:rsidP="00121658">
      <w:pPr>
        <w:spacing w:before="0" w:line="240" w:lineRule="auto"/>
        <w:rPr>
          <w:rFonts w:ascii="Arial" w:hAnsi="Arial" w:cs="Arial"/>
          <w:sz w:val="16"/>
          <w:szCs w:val="16"/>
        </w:rPr>
      </w:pPr>
      <w:proofErr w:type="gramStart"/>
      <w:r w:rsidRPr="00DE148E">
        <w:rPr>
          <w:rFonts w:ascii="Arial" w:hAnsi="Arial" w:cs="Arial"/>
          <w:sz w:val="16"/>
          <w:szCs w:val="16"/>
        </w:rPr>
        <w:t>a</w:t>
      </w:r>
      <w:proofErr w:type="gramEnd"/>
      <w:r w:rsidRPr="00DE148E">
        <w:rPr>
          <w:rFonts w:ascii="Arial" w:hAnsi="Arial" w:cs="Arial"/>
          <w:sz w:val="16"/>
          <w:szCs w:val="16"/>
        </w:rPr>
        <w:t xml:space="preserve">: Ambrisentan with </w:t>
      </w:r>
      <w:r w:rsidR="00067504" w:rsidRPr="00DE148E">
        <w:rPr>
          <w:rFonts w:ascii="Arial" w:hAnsi="Arial" w:cs="Arial"/>
          <w:sz w:val="16"/>
          <w:szCs w:val="16"/>
        </w:rPr>
        <w:t>tadalafil</w:t>
      </w:r>
      <w:r w:rsidRPr="00DE148E">
        <w:rPr>
          <w:rFonts w:ascii="Arial" w:hAnsi="Arial" w:cs="Arial"/>
          <w:sz w:val="16"/>
          <w:szCs w:val="16"/>
        </w:rPr>
        <w:t xml:space="preserve"> (strikethrough)l is not permitted on the PBS</w:t>
      </w:r>
    </w:p>
    <w:p w14:paraId="5BFADBB2" w14:textId="77777777" w:rsidR="001F1180" w:rsidRPr="00DE148E" w:rsidRDefault="001F1180" w:rsidP="00121658">
      <w:pPr>
        <w:spacing w:before="0" w:line="240" w:lineRule="auto"/>
        <w:rPr>
          <w:rFonts w:ascii="Arial" w:hAnsi="Arial" w:cs="Arial"/>
          <w:sz w:val="16"/>
          <w:szCs w:val="16"/>
        </w:rPr>
      </w:pPr>
      <w:proofErr w:type="gramStart"/>
      <w:r w:rsidRPr="00DE148E">
        <w:rPr>
          <w:rFonts w:ascii="Arial" w:hAnsi="Arial" w:cs="Arial"/>
          <w:sz w:val="16"/>
          <w:szCs w:val="16"/>
        </w:rPr>
        <w:t>b</w:t>
      </w:r>
      <w:proofErr w:type="gramEnd"/>
      <w:r w:rsidRPr="00DE148E">
        <w:rPr>
          <w:rFonts w:ascii="Arial" w:hAnsi="Arial" w:cs="Arial"/>
          <w:sz w:val="16"/>
          <w:szCs w:val="16"/>
        </w:rPr>
        <w:t>: Sildenafil and tadalafil are indicated for PAH in general (in grey) – efficacy shown only in IPAH and PAH-CTD (in black)</w:t>
      </w:r>
    </w:p>
    <w:p w14:paraId="41CB2C48" w14:textId="77777777" w:rsidR="001F1180" w:rsidRPr="00A9100A" w:rsidRDefault="001F1180" w:rsidP="00121658">
      <w:pPr>
        <w:spacing w:before="0" w:line="240" w:lineRule="auto"/>
        <w:rPr>
          <w:rFonts w:ascii="Arial Narrow" w:hAnsi="Arial Narrow"/>
          <w:sz w:val="18"/>
        </w:rPr>
      </w:pPr>
    </w:p>
    <w:p w14:paraId="2A6EA039" w14:textId="77777777" w:rsidR="00CF3FEC" w:rsidRPr="00DE148E" w:rsidRDefault="00F84C04" w:rsidP="00121658">
      <w:pPr>
        <w:rPr>
          <w:rFonts w:asciiTheme="minorHAnsi" w:hAnsiTheme="minorHAnsi"/>
        </w:rPr>
      </w:pPr>
      <w:r w:rsidRPr="00DE148E">
        <w:rPr>
          <w:rFonts w:asciiTheme="minorHAnsi" w:hAnsiTheme="minorHAnsi"/>
        </w:rPr>
        <w:t xml:space="preserve">Further details of the </w:t>
      </w:r>
      <w:proofErr w:type="gramStart"/>
      <w:r w:rsidRPr="00DE148E">
        <w:rPr>
          <w:rFonts w:asciiTheme="minorHAnsi" w:hAnsiTheme="minorHAnsi"/>
        </w:rPr>
        <w:t>PAH</w:t>
      </w:r>
      <w:proofErr w:type="gramEnd"/>
      <w:r w:rsidRPr="00DE148E">
        <w:rPr>
          <w:rFonts w:asciiTheme="minorHAnsi" w:hAnsiTheme="minorHAnsi"/>
        </w:rPr>
        <w:t xml:space="preserve"> restrictions are </w:t>
      </w:r>
      <w:r w:rsidR="00CF3FEC" w:rsidRPr="00DE148E">
        <w:rPr>
          <w:rFonts w:asciiTheme="minorHAnsi" w:hAnsiTheme="minorHAnsi"/>
        </w:rPr>
        <w:t xml:space="preserve">tabulated with comments in </w:t>
      </w:r>
      <w:r w:rsidR="00505D99" w:rsidRPr="00505D99">
        <w:rPr>
          <w:rFonts w:asciiTheme="minorHAnsi" w:hAnsiTheme="minorHAnsi"/>
        </w:rPr>
        <w:t xml:space="preserve">Appendix </w:t>
      </w:r>
      <w:r w:rsidR="00505D99" w:rsidRPr="00505D99">
        <w:rPr>
          <w:rFonts w:asciiTheme="minorHAnsi" w:hAnsiTheme="minorHAnsi"/>
          <w:noProof/>
        </w:rPr>
        <w:t>1</w:t>
      </w:r>
      <w:r w:rsidR="00CF3FEC" w:rsidRPr="00DE148E">
        <w:rPr>
          <w:rFonts w:asciiTheme="minorHAnsi" w:hAnsiTheme="minorHAnsi"/>
        </w:rPr>
        <w:t>:</w:t>
      </w:r>
    </w:p>
    <w:p w14:paraId="71056AEB" w14:textId="77777777" w:rsidR="008D1B08" w:rsidRPr="00DE148E" w:rsidRDefault="00505D99" w:rsidP="00121658">
      <w:pPr>
        <w:rPr>
          <w:rFonts w:asciiTheme="minorHAnsi" w:hAnsiTheme="minorHAnsi" w:cstheme="minorHAnsi"/>
        </w:rPr>
      </w:pPr>
      <w:r w:rsidRPr="00505D99">
        <w:rPr>
          <w:rFonts w:asciiTheme="minorHAnsi" w:hAnsiTheme="minorHAnsi" w:cstheme="minorHAnsi"/>
          <w:bCs/>
          <w:lang w:val="en-US"/>
        </w:rPr>
        <w:t>Table</w:t>
      </w:r>
      <w:r w:rsidRPr="00505D99">
        <w:rPr>
          <w:rFonts w:asciiTheme="minorHAnsi" w:hAnsiTheme="minorHAnsi" w:cstheme="minorHAnsi"/>
        </w:rPr>
        <w:t xml:space="preserve"> 1.22</w:t>
      </w:r>
      <w:r w:rsidRPr="00505D99">
        <w:rPr>
          <w:rFonts w:asciiTheme="minorHAnsi" w:hAnsiTheme="minorHAnsi" w:cstheme="minorHAnsi"/>
        </w:rPr>
        <w:tab/>
        <w:t xml:space="preserve">Clinical criteria and </w:t>
      </w:r>
      <w:r w:rsidRPr="00505D99">
        <w:rPr>
          <w:rFonts w:asciiTheme="minorHAnsi" w:hAnsiTheme="minorHAnsi" w:cstheme="minorHAnsi"/>
          <w:bCs/>
          <w:lang w:val="en-US"/>
        </w:rPr>
        <w:t xml:space="preserve">prescribing </w:t>
      </w:r>
      <w:r>
        <w:t>instructions common</w:t>
      </w:r>
      <w:r w:rsidRPr="00505D99">
        <w:rPr>
          <w:rFonts w:asciiTheme="minorHAnsi" w:hAnsiTheme="minorHAnsi" w:cstheme="minorHAnsi"/>
          <w:bCs/>
          <w:lang w:val="en-US"/>
        </w:rPr>
        <w:t xml:space="preserve"> to all PAH items</w:t>
      </w:r>
    </w:p>
    <w:p w14:paraId="77E3ACC2" w14:textId="77777777" w:rsidR="008D1B08" w:rsidRPr="00DE148E" w:rsidRDefault="00505D99" w:rsidP="00121658">
      <w:pPr>
        <w:rPr>
          <w:rFonts w:asciiTheme="minorHAnsi" w:hAnsiTheme="minorHAnsi" w:cstheme="minorHAnsi"/>
        </w:rPr>
      </w:pPr>
      <w:r w:rsidRPr="00505D99">
        <w:rPr>
          <w:rFonts w:asciiTheme="minorHAnsi" w:hAnsiTheme="minorHAnsi" w:cstheme="minorHAnsi"/>
          <w:bCs/>
          <w:lang w:val="en-US"/>
        </w:rPr>
        <w:t>Table</w:t>
      </w:r>
      <w:r w:rsidRPr="00505D99">
        <w:rPr>
          <w:rFonts w:asciiTheme="minorHAnsi" w:hAnsiTheme="minorHAnsi" w:cstheme="minorHAnsi"/>
        </w:rPr>
        <w:t xml:space="preserve"> 1.23</w:t>
      </w:r>
      <w:r w:rsidRPr="00505D99">
        <w:rPr>
          <w:rFonts w:asciiTheme="minorHAnsi" w:hAnsiTheme="minorHAnsi" w:cstheme="minorHAnsi"/>
        </w:rPr>
        <w:tab/>
      </w:r>
      <w:proofErr w:type="gramStart"/>
      <w:r w:rsidRPr="00505D99">
        <w:rPr>
          <w:rFonts w:asciiTheme="minorHAnsi" w:hAnsiTheme="minorHAnsi" w:cstheme="minorHAnsi"/>
        </w:rPr>
        <w:t>PAH</w:t>
      </w:r>
      <w:proofErr w:type="gramEnd"/>
      <w:r w:rsidRPr="00505D99">
        <w:rPr>
          <w:rFonts w:asciiTheme="minorHAnsi" w:hAnsiTheme="minorHAnsi" w:cstheme="minorHAnsi"/>
        </w:rPr>
        <w:t xml:space="preserve"> initial treatment:</w:t>
      </w:r>
      <w:r w:rsidRPr="00505D99">
        <w:rPr>
          <w:rFonts w:asciiTheme="minorHAnsi" w:hAnsiTheme="minorHAnsi" w:cstheme="minorHAnsi"/>
          <w:bCs/>
          <w:lang w:val="en-US"/>
        </w:rPr>
        <w:t xml:space="preserve"> clinical</w:t>
      </w:r>
      <w:r>
        <w:t xml:space="preserve"> criteria </w:t>
      </w:r>
      <w:r w:rsidRPr="00505D99">
        <w:rPr>
          <w:rFonts w:asciiTheme="minorHAnsi" w:hAnsiTheme="minorHAnsi" w:cstheme="minorHAnsi"/>
          <w:bCs/>
          <w:lang w:val="en-US"/>
        </w:rPr>
        <w:t>and prescribing instructions</w:t>
      </w:r>
    </w:p>
    <w:p w14:paraId="74678430" w14:textId="77777777" w:rsidR="008D1B08" w:rsidRPr="00DE148E" w:rsidRDefault="00505D99" w:rsidP="00121658">
      <w:pPr>
        <w:rPr>
          <w:rFonts w:asciiTheme="minorHAnsi" w:hAnsiTheme="minorHAnsi"/>
        </w:rPr>
      </w:pPr>
      <w:r w:rsidRPr="00505D99">
        <w:rPr>
          <w:rFonts w:asciiTheme="minorHAnsi" w:hAnsiTheme="minorHAnsi" w:cstheme="minorHAnsi"/>
          <w:bCs/>
          <w:lang w:val="en-US"/>
        </w:rPr>
        <w:t>Table</w:t>
      </w:r>
      <w:r w:rsidRPr="00505D99">
        <w:rPr>
          <w:rFonts w:asciiTheme="minorHAnsi" w:hAnsiTheme="minorHAnsi" w:cstheme="minorHAnsi"/>
        </w:rPr>
        <w:t xml:space="preserve"> 1.24</w:t>
      </w:r>
      <w:r w:rsidRPr="00505D99">
        <w:rPr>
          <w:rFonts w:asciiTheme="minorHAnsi" w:hAnsiTheme="minorHAnsi" w:cstheme="minorHAnsi"/>
        </w:rPr>
        <w:tab/>
        <w:t>PAH continuing treatment:</w:t>
      </w:r>
      <w:r w:rsidRPr="00505D99">
        <w:rPr>
          <w:rFonts w:asciiTheme="minorHAnsi" w:hAnsiTheme="minorHAnsi" w:cstheme="minorHAnsi"/>
          <w:bCs/>
          <w:lang w:val="en-US"/>
        </w:rPr>
        <w:t xml:space="preserve"> clinical</w:t>
      </w:r>
      <w:r>
        <w:t xml:space="preserve"> criteria </w:t>
      </w:r>
      <w:r w:rsidRPr="00505D99">
        <w:rPr>
          <w:rFonts w:asciiTheme="minorHAnsi" w:hAnsiTheme="minorHAnsi" w:cstheme="minorHAnsi"/>
          <w:bCs/>
          <w:lang w:val="en-US"/>
        </w:rPr>
        <w:t>and prescribing instructions</w:t>
      </w:r>
    </w:p>
    <w:p w14:paraId="42470D10" w14:textId="77777777" w:rsidR="008D1B08" w:rsidRPr="00DE148E" w:rsidRDefault="00505D99" w:rsidP="00121658">
      <w:pPr>
        <w:rPr>
          <w:rFonts w:asciiTheme="minorHAnsi" w:hAnsiTheme="minorHAnsi"/>
        </w:rPr>
      </w:pPr>
      <w:r w:rsidRPr="00505D99">
        <w:rPr>
          <w:rFonts w:asciiTheme="minorHAnsi" w:hAnsiTheme="minorHAnsi" w:cstheme="minorHAnsi"/>
          <w:bCs/>
          <w:lang w:val="en-US"/>
        </w:rPr>
        <w:t>Table</w:t>
      </w:r>
      <w:r w:rsidRPr="00505D99">
        <w:rPr>
          <w:rFonts w:asciiTheme="minorHAnsi" w:hAnsiTheme="minorHAnsi" w:cstheme="minorHAnsi"/>
        </w:rPr>
        <w:t xml:space="preserve"> 1.25</w:t>
      </w:r>
      <w:r w:rsidRPr="00505D99">
        <w:rPr>
          <w:rFonts w:asciiTheme="minorHAnsi" w:hAnsiTheme="minorHAnsi" w:cstheme="minorHAnsi"/>
        </w:rPr>
        <w:tab/>
        <w:t xml:space="preserve">Administrative information in </w:t>
      </w:r>
      <w:r w:rsidRPr="00505D99">
        <w:rPr>
          <w:rFonts w:asciiTheme="minorHAnsi" w:hAnsiTheme="minorHAnsi" w:cstheme="minorHAnsi"/>
          <w:bCs/>
          <w:lang w:val="en-US"/>
        </w:rPr>
        <w:t xml:space="preserve">PAH </w:t>
      </w:r>
      <w:r>
        <w:t>items</w:t>
      </w:r>
    </w:p>
    <w:p w14:paraId="3ACD00BF" w14:textId="77777777" w:rsidR="000F5DA6" w:rsidRPr="00BB3BA9" w:rsidRDefault="000F5DA6" w:rsidP="00121658">
      <w:pPr>
        <w:pStyle w:val="Heading4"/>
        <w:jc w:val="left"/>
        <w:rPr>
          <w:rFonts w:eastAsiaTheme="minorEastAsia"/>
        </w:rPr>
      </w:pPr>
      <w:r>
        <w:rPr>
          <w:rFonts w:eastAsiaTheme="minorEastAsia"/>
        </w:rPr>
        <w:t>Architecture of current PAH items on the PBS</w:t>
      </w:r>
      <w:bookmarkEnd w:id="211"/>
      <w:bookmarkEnd w:id="212"/>
      <w:bookmarkEnd w:id="213"/>
    </w:p>
    <w:p w14:paraId="65A2625F" w14:textId="77777777" w:rsidR="000F5DA6" w:rsidRPr="00841982" w:rsidRDefault="000F5DA6" w:rsidP="00DE148E">
      <w:pPr>
        <w:pStyle w:val="BodyTextnospacebefore"/>
      </w:pPr>
      <w:r w:rsidRPr="00841982">
        <w:t xml:space="preserve">All PAH drugs are listed under Section 100 of the Schedule as Highly Specialised Drugs – these are ‘hospital only’ items. PAH items are also ‘complex authority required’ (CAR), that involve application to the </w:t>
      </w:r>
      <w:r w:rsidR="006C5A64">
        <w:t>Services Australia</w:t>
      </w:r>
      <w:r w:rsidR="00B15FF7">
        <w:t xml:space="preserve"> Complex Drugs</w:t>
      </w:r>
      <w:r w:rsidR="009301E0">
        <w:t>.</w:t>
      </w:r>
    </w:p>
    <w:p w14:paraId="21A4BF30" w14:textId="77777777" w:rsidR="000F5DA6" w:rsidRPr="00841982" w:rsidRDefault="000F5DA6" w:rsidP="00DE148E">
      <w:pPr>
        <w:pStyle w:val="BodyTextnospacebefore"/>
      </w:pPr>
      <w:r w:rsidRPr="00841982">
        <w:t>Each restriction has core clinical criteria that must be satisfied for each patient, and requirements in prescribing instructions that prescribers must address in a written application which require a patient narra</w:t>
      </w:r>
      <w:r w:rsidR="009301E0">
        <w:t>tive and/or diagnostic results.</w:t>
      </w:r>
    </w:p>
    <w:p w14:paraId="484764C3" w14:textId="77777777" w:rsidR="000F5DA6" w:rsidRPr="00841982" w:rsidRDefault="000F5DA6" w:rsidP="00DE148E">
      <w:pPr>
        <w:pStyle w:val="BodyTextnospacebefore"/>
      </w:pPr>
      <w:r w:rsidRPr="00841982">
        <w:t xml:space="preserve">Complex written authorities </w:t>
      </w:r>
      <w:proofErr w:type="gramStart"/>
      <w:r w:rsidRPr="00841982">
        <w:t>are typically imposed</w:t>
      </w:r>
      <w:proofErr w:type="gramEnd"/>
      <w:r w:rsidRPr="00841982">
        <w:t xml:space="preserve"> on those PBS listings where some or all of the following issues apply:</w:t>
      </w:r>
    </w:p>
    <w:p w14:paraId="75F15BE3" w14:textId="77777777" w:rsidR="000F5DA6" w:rsidRPr="00841982" w:rsidRDefault="000F5DA6" w:rsidP="00921D13">
      <w:pPr>
        <w:pStyle w:val="08Bulletsseriesofsentences"/>
      </w:pPr>
      <w:r w:rsidRPr="00841982">
        <w:t>The medicine is new and clinical practice is st</w:t>
      </w:r>
      <w:r w:rsidR="00EE1F96">
        <w:t>ill adapting to accommodate it;</w:t>
      </w:r>
    </w:p>
    <w:p w14:paraId="475F0581" w14:textId="77777777" w:rsidR="000F5DA6" w:rsidRPr="00841982" w:rsidRDefault="000F5DA6" w:rsidP="00921D13">
      <w:pPr>
        <w:pStyle w:val="08Bulletsseriesofsentences"/>
      </w:pPr>
      <w:r w:rsidRPr="00841982">
        <w:lastRenderedPageBreak/>
        <w:t>The medicine requires prescribing by specialists with particular experience or training in the patient group that not all specialists in that ar</w:t>
      </w:r>
      <w:r w:rsidR="009301E0">
        <w:t>ea may have;</w:t>
      </w:r>
    </w:p>
    <w:p w14:paraId="23631163" w14:textId="77777777" w:rsidR="000F5DA6" w:rsidRPr="00841982" w:rsidRDefault="000F5DA6" w:rsidP="00921D13">
      <w:pPr>
        <w:pStyle w:val="08Bulletsseriesofsentences"/>
      </w:pPr>
      <w:r w:rsidRPr="00841982">
        <w:t>There is a high risk to the Commonwealth of use outside the patient group that PBAC considers to be cost-effective (</w:t>
      </w:r>
      <w:r w:rsidR="00BB6E67">
        <w:t>‘</w:t>
      </w:r>
      <w:r w:rsidRPr="00841982">
        <w:t>leakage</w:t>
      </w:r>
      <w:r w:rsidR="00BB6E67">
        <w:t>’</w:t>
      </w:r>
      <w:r w:rsidRPr="00841982">
        <w:t xml:space="preserve">); and </w:t>
      </w:r>
    </w:p>
    <w:p w14:paraId="2A9ECF8B" w14:textId="77777777" w:rsidR="000F5DA6" w:rsidRPr="00841982" w:rsidRDefault="000F5DA6" w:rsidP="00921D13">
      <w:pPr>
        <w:pStyle w:val="08Bulletsseriesofsentences"/>
      </w:pPr>
      <w:r w:rsidRPr="00841982">
        <w:t xml:space="preserve">The price of the drug is high (and listing </w:t>
      </w:r>
      <w:proofErr w:type="gramStart"/>
      <w:r w:rsidRPr="00841982">
        <w:t>is accompanied</w:t>
      </w:r>
      <w:proofErr w:type="gramEnd"/>
      <w:r w:rsidRPr="00841982">
        <w:t xml:space="preserve"> by a risk share agreement between the Sponsor and t</w:t>
      </w:r>
      <w:r w:rsidR="009301E0">
        <w:t>he Commonwealth).</w:t>
      </w:r>
    </w:p>
    <w:p w14:paraId="298CD366" w14:textId="77777777" w:rsidR="000F5DA6" w:rsidRPr="00841982" w:rsidRDefault="000F5DA6" w:rsidP="00DE148E">
      <w:pPr>
        <w:pStyle w:val="BodyTextnospacebefore"/>
      </w:pPr>
      <w:r w:rsidRPr="00841982">
        <w:t xml:space="preserve">Within each PBS item, separate restrictions are included for different purposes that cover initial treatment, switching, grandfathering, balance of supply (where the dispensed quantity has been insufficient), continuing treatment and cessation of treatment (to allow for dose reduction). There are in some cases further distinctions within each of those purposes; for example where initial patients fall into different PAH types or WHO </w:t>
      </w:r>
      <w:r w:rsidR="005D24C7">
        <w:t>FC</w:t>
      </w:r>
      <w:r w:rsidRPr="00841982">
        <w:t xml:space="preserve">. A detailed </w:t>
      </w:r>
      <w:proofErr w:type="gramStart"/>
      <w:r w:rsidRPr="00841982">
        <w:t>break-down</w:t>
      </w:r>
      <w:proofErr w:type="gramEnd"/>
      <w:r w:rsidRPr="00841982">
        <w:t xml:space="preserve"> of items in terms of</w:t>
      </w:r>
      <w:r w:rsidR="00413730">
        <w:t xml:space="preserve"> these features is </w:t>
      </w:r>
      <w:r w:rsidR="00505D99">
        <w:t>Appendix 1.D</w:t>
      </w:r>
      <w:r w:rsidR="00505D99">
        <w:tab/>
        <w:t>Details of PAH restrictions</w:t>
      </w:r>
      <w:r w:rsidR="00EE1F96">
        <w:t>.</w:t>
      </w:r>
    </w:p>
    <w:p w14:paraId="1A96C9F9" w14:textId="77777777" w:rsidR="000F5DA6" w:rsidRPr="00841982" w:rsidRDefault="000F5DA6" w:rsidP="00DE148E">
      <w:pPr>
        <w:pStyle w:val="BodyTextnospacebefore"/>
      </w:pPr>
      <w:r w:rsidRPr="00841982">
        <w:t>‘Balance of supply’ and ‘subsequent continuing’ treatment applications can be made by telephone (‘telephone authorities’) but all ‘initial’ treatment and ‘first continuing’ treatment applications must be in writing</w:t>
      </w:r>
      <w:r w:rsidR="00EE1F96">
        <w:t>.</w:t>
      </w:r>
    </w:p>
    <w:p w14:paraId="25CF07BC" w14:textId="77777777" w:rsidR="000F5DA6" w:rsidRPr="00841982" w:rsidRDefault="000F5DA6" w:rsidP="00DE148E">
      <w:pPr>
        <w:pStyle w:val="BodyTextnospacebefore"/>
      </w:pPr>
      <w:r w:rsidRPr="00841982">
        <w:t xml:space="preserve">The three types of </w:t>
      </w:r>
      <w:proofErr w:type="gramStart"/>
      <w:r w:rsidRPr="00841982">
        <w:t>PAH</w:t>
      </w:r>
      <w:proofErr w:type="gramEnd"/>
      <w:r w:rsidRPr="00841982">
        <w:t xml:space="preserve"> initial treatment items are for the following purposes (with the exception of epoprostenol):</w:t>
      </w:r>
    </w:p>
    <w:p w14:paraId="12688C92" w14:textId="77777777" w:rsidR="000F5DA6" w:rsidRPr="00FC25C7" w:rsidRDefault="000F5DA6" w:rsidP="00921D13">
      <w:pPr>
        <w:pStyle w:val="08Bulletsseriesofsentences"/>
      </w:pPr>
      <w:r w:rsidRPr="00841982">
        <w:t xml:space="preserve">‘Initial 1’ that requires trial and failure </w:t>
      </w:r>
      <w:r w:rsidRPr="00FC25C7">
        <w:t>of vasodilator treatment</w:t>
      </w:r>
      <w:r w:rsidR="00876752" w:rsidRPr="00FC25C7">
        <w:t xml:space="preserve"> with CCBs</w:t>
      </w:r>
      <w:r w:rsidRPr="00FC25C7">
        <w:t xml:space="preserve"> in Class III patients with mean right atrial pressure of 8 mmHg or less;</w:t>
      </w:r>
    </w:p>
    <w:p w14:paraId="4FE56546" w14:textId="77777777" w:rsidR="000F5DA6" w:rsidRPr="00841982" w:rsidRDefault="000F5DA6" w:rsidP="00921D13">
      <w:pPr>
        <w:pStyle w:val="08Bulletsseriesofsentences"/>
      </w:pPr>
      <w:r w:rsidRPr="00FC25C7">
        <w:t>‘Initial 2’ in which prior vasodilator treatment</w:t>
      </w:r>
      <w:r w:rsidRPr="00841982">
        <w:t xml:space="preserve"> </w:t>
      </w:r>
      <w:r w:rsidR="00876752">
        <w:t xml:space="preserve">with CCBs </w:t>
      </w:r>
      <w:r w:rsidRPr="00841982">
        <w:t xml:space="preserve">is not required, but only in Class III patients whose mean right atrial pressure is greater than 8 mmHg, or Class IV patients (where listed for </w:t>
      </w:r>
      <w:r w:rsidR="003B01AE">
        <w:t>that agent and indication), and</w:t>
      </w:r>
    </w:p>
    <w:p w14:paraId="2E6B1D06" w14:textId="77777777" w:rsidR="000F5DA6" w:rsidRPr="00841982" w:rsidRDefault="000F5DA6" w:rsidP="00921D13">
      <w:pPr>
        <w:pStyle w:val="08Bulletsseriesofsentences"/>
      </w:pPr>
      <w:r w:rsidRPr="00841982">
        <w:t xml:space="preserve">‘Initial 2 or </w:t>
      </w:r>
      <w:proofErr w:type="gramStart"/>
      <w:r w:rsidRPr="00841982">
        <w:t>3’ which</w:t>
      </w:r>
      <w:proofErr w:type="gramEnd"/>
      <w:r w:rsidRPr="00841982">
        <w:t xml:space="preserve"> provides for re-commencement or switching between </w:t>
      </w:r>
      <w:r w:rsidR="00F95235">
        <w:t>PAH medicines</w:t>
      </w:r>
      <w:r w:rsidRPr="00841982">
        <w:t xml:space="preserve"> (under certain circumstances only).</w:t>
      </w:r>
    </w:p>
    <w:p w14:paraId="5E454CEA" w14:textId="77777777" w:rsidR="00466E3F" w:rsidRDefault="00466E3F" w:rsidP="00CB0EC1">
      <w:pPr>
        <w:pStyle w:val="BodyTextnospacebefore"/>
      </w:pPr>
      <w:r w:rsidRPr="00466E3F">
        <w:t xml:space="preserve">At least one report in the medical literature refers to the “administrative and repeat testing burden” of the current PBS </w:t>
      </w:r>
      <w:r w:rsidRPr="00CB0EC1">
        <w:t>restrictions</w:t>
      </w:r>
      <w:r w:rsidRPr="00466E3F">
        <w:t>, but notes that the introduction of the ‘subsequent continuing’ restriction does reduce this (evidence of response no longer required to be provided in writing in patients who have demonstrated a response to initial and first continuing treatment)</w:t>
      </w:r>
      <w:r w:rsidR="009C556B" w:rsidRPr="009C556B">
        <w:rPr>
          <w:noProof/>
          <w:vertAlign w:val="superscript"/>
        </w:rPr>
        <w:t>13</w:t>
      </w:r>
      <w:r w:rsidRPr="00466E3F">
        <w:t>.</w:t>
      </w:r>
      <w:r w:rsidR="001266C7">
        <w:t xml:space="preserve"> </w:t>
      </w:r>
      <w:r w:rsidR="00751569">
        <w:t xml:space="preserve">Another </w:t>
      </w:r>
      <w:r w:rsidR="00D61274">
        <w:t xml:space="preserve">paper which reported the initial experience of the first </w:t>
      </w:r>
      <w:r w:rsidR="00D61274" w:rsidRPr="00D61274">
        <w:t xml:space="preserve">multi-disciplinary regional PAH </w:t>
      </w:r>
      <w:r w:rsidR="00A91328">
        <w:t xml:space="preserve">clinic </w:t>
      </w:r>
      <w:r w:rsidR="00D61274" w:rsidRPr="00D61274">
        <w:t>in Australia</w:t>
      </w:r>
      <w:r w:rsidR="00D61274">
        <w:t xml:space="preserve"> </w:t>
      </w:r>
      <w:r w:rsidR="00751569">
        <w:t>describes ‘submission of PBS-related paperwork’ as one of the key functions of the rheumatology nurse for their PAH clinic</w:t>
      </w:r>
      <w:r w:rsidR="009C556B" w:rsidRPr="009C556B">
        <w:rPr>
          <w:noProof/>
          <w:vertAlign w:val="superscript"/>
        </w:rPr>
        <w:t>38</w:t>
      </w:r>
      <w:r w:rsidR="00751569">
        <w:t>.</w:t>
      </w:r>
    </w:p>
    <w:p w14:paraId="23A48FC4" w14:textId="77777777" w:rsidR="000F5DA6" w:rsidRPr="0021791D" w:rsidRDefault="000F5DA6" w:rsidP="00DE148E">
      <w:pPr>
        <w:pStyle w:val="BodyTextnospacebefore"/>
      </w:pPr>
      <w:r w:rsidRPr="00841982">
        <w:t xml:space="preserve">All applications for complex drugs are handled by the </w:t>
      </w:r>
      <w:r w:rsidR="006C5A64">
        <w:t>Services Australia</w:t>
      </w:r>
      <w:r w:rsidR="006C5A64" w:rsidRPr="00841982">
        <w:t xml:space="preserve"> </w:t>
      </w:r>
      <w:r w:rsidRPr="00841982">
        <w:t>office responsible for Complex Drugs (located in Hobart) – both written and telephone applications.</w:t>
      </w:r>
      <w:r w:rsidRPr="0021791D">
        <w:t xml:space="preserve"> </w:t>
      </w:r>
      <w:r w:rsidR="006C5A64">
        <w:t>Services Australia</w:t>
      </w:r>
      <w:r w:rsidR="0021791D" w:rsidRPr="0021791D">
        <w:t xml:space="preserve"> practices in administering these items were not within the scope of this review</w:t>
      </w:r>
      <w:r w:rsidR="00EE1F96">
        <w:t>.</w:t>
      </w:r>
    </w:p>
    <w:p w14:paraId="7B2C151C" w14:textId="77777777" w:rsidR="00B572F4" w:rsidRDefault="00B572F4" w:rsidP="00121658">
      <w:pPr>
        <w:pStyle w:val="Heading3"/>
        <w:jc w:val="left"/>
      </w:pPr>
      <w:bookmarkStart w:id="216" w:name="_Toc38377510"/>
      <w:r>
        <w:lastRenderedPageBreak/>
        <w:t>PAH therapy recommendations</w:t>
      </w:r>
      <w:bookmarkEnd w:id="216"/>
    </w:p>
    <w:p w14:paraId="6532DB3D" w14:textId="77777777" w:rsidR="00B15FF7" w:rsidRDefault="00B572F4" w:rsidP="00DE148E">
      <w:pPr>
        <w:pStyle w:val="BodyTextnospacebefore"/>
      </w:pPr>
      <w:r>
        <w:t xml:space="preserve">The PBS restriction requirements (in terms of therapy with </w:t>
      </w:r>
      <w:r w:rsidR="00F95235">
        <w:t>PAH medicines</w:t>
      </w:r>
      <w:r>
        <w:t xml:space="preserve">) are presented with </w:t>
      </w:r>
      <w:r w:rsidR="009C25F2">
        <w:t>commentary</w:t>
      </w:r>
      <w:r>
        <w:t xml:space="preserve"> in </w:t>
      </w:r>
      <w:r w:rsidR="00505D99">
        <w:t>Table 1.</w:t>
      </w:r>
      <w:r w:rsidR="00505D99">
        <w:rPr>
          <w:noProof/>
        </w:rPr>
        <w:t>17</w:t>
      </w:r>
      <w:r w:rsidR="003C17FA">
        <w:t xml:space="preserve">. </w:t>
      </w:r>
      <w:r>
        <w:t>Those specific to vasodilator therapy</w:t>
      </w:r>
      <w:r w:rsidR="00876752">
        <w:t xml:space="preserve"> with CCBs</w:t>
      </w:r>
      <w:r>
        <w:t xml:space="preserve"> are in </w:t>
      </w:r>
      <w:r w:rsidR="00505D99">
        <w:t>Table 1.</w:t>
      </w:r>
      <w:r w:rsidR="00505D99">
        <w:rPr>
          <w:noProof/>
        </w:rPr>
        <w:t>18</w:t>
      </w:r>
      <w:r>
        <w:t xml:space="preserve">. </w:t>
      </w:r>
      <w:r w:rsidR="00922EA4">
        <w:t>Selected</w:t>
      </w:r>
      <w:r>
        <w:t xml:space="preserve"> issues </w:t>
      </w:r>
      <w:proofErr w:type="gramStart"/>
      <w:r>
        <w:t>are discussed</w:t>
      </w:r>
      <w:proofErr w:type="gramEnd"/>
      <w:r>
        <w:t xml:space="preserve"> further below</w:t>
      </w:r>
      <w:r w:rsidR="00364153">
        <w:t xml:space="preserve">. </w:t>
      </w:r>
      <w:bookmarkStart w:id="217" w:name="_Toc473291083"/>
      <w:bookmarkStart w:id="218" w:name="_Toc480371886"/>
      <w:bookmarkStart w:id="219" w:name="_Toc486514234"/>
      <w:r w:rsidR="00922EA4">
        <w:rPr>
          <w:rFonts w:cstheme="minorHAnsi"/>
        </w:rPr>
        <w:t>Restriction requirements and commentary regarding</w:t>
      </w:r>
      <w:r w:rsidR="00364153">
        <w:rPr>
          <w:rFonts w:cstheme="minorHAnsi"/>
        </w:rPr>
        <w:t xml:space="preserve"> diagnostic and monitoring criteria</w:t>
      </w:r>
      <w:r w:rsidR="00364153" w:rsidRPr="00FA749E">
        <w:rPr>
          <w:rFonts w:cstheme="minorHAnsi"/>
        </w:rPr>
        <w:t xml:space="preserve"> </w:t>
      </w:r>
      <w:r w:rsidR="00364153">
        <w:rPr>
          <w:rFonts w:cstheme="minorHAnsi"/>
        </w:rPr>
        <w:t xml:space="preserve">are in </w:t>
      </w:r>
      <w:r w:rsidR="00505D99">
        <w:t>Table 1.</w:t>
      </w:r>
      <w:r w:rsidR="00505D99">
        <w:rPr>
          <w:noProof/>
        </w:rPr>
        <w:t>19</w:t>
      </w:r>
      <w:r w:rsidR="00EE1F96">
        <w:t>.</w:t>
      </w:r>
    </w:p>
    <w:p w14:paraId="6B11ADF7" w14:textId="77777777" w:rsidR="00364153" w:rsidRPr="00A60F44" w:rsidRDefault="00364153" w:rsidP="00121658">
      <w:pPr>
        <w:rPr>
          <w:rFonts w:asciiTheme="minorHAnsi" w:hAnsiTheme="minorHAnsi"/>
        </w:rPr>
      </w:pPr>
      <w:r w:rsidRPr="00A60F44">
        <w:rPr>
          <w:rFonts w:asciiTheme="minorHAnsi" w:hAnsiTheme="minorHAnsi"/>
        </w:rPr>
        <w:t xml:space="preserve">More complete text of the restriction elements is in the more detailed tables in </w:t>
      </w:r>
      <w:r w:rsidR="00505D99" w:rsidRPr="00505D99">
        <w:rPr>
          <w:rFonts w:asciiTheme="minorHAnsi" w:hAnsiTheme="minorHAnsi"/>
        </w:rPr>
        <w:t xml:space="preserve">Appendix </w:t>
      </w:r>
      <w:r w:rsidR="00505D99" w:rsidRPr="00505D99">
        <w:rPr>
          <w:rFonts w:asciiTheme="minorHAnsi" w:hAnsiTheme="minorHAnsi"/>
          <w:noProof/>
        </w:rPr>
        <w:t>1.D</w:t>
      </w:r>
      <w:r w:rsidR="00F275ED" w:rsidRPr="00A60F44">
        <w:rPr>
          <w:rFonts w:asciiTheme="minorHAnsi" w:hAnsiTheme="minorHAnsi"/>
        </w:rPr>
        <w:t xml:space="preserve"> </w:t>
      </w:r>
      <w:r w:rsidRPr="00A60F44">
        <w:rPr>
          <w:rFonts w:asciiTheme="minorHAnsi" w:hAnsiTheme="minorHAnsi"/>
        </w:rPr>
        <w:t>(</w:t>
      </w:r>
      <w:r w:rsidR="00505D99" w:rsidRPr="00505D99">
        <w:rPr>
          <w:rFonts w:asciiTheme="minorHAnsi" w:hAnsiTheme="minorHAnsi"/>
        </w:rPr>
        <w:t>Table 1.22</w:t>
      </w:r>
      <w:r w:rsidRPr="00A60F44">
        <w:rPr>
          <w:rFonts w:asciiTheme="minorHAnsi" w:hAnsiTheme="minorHAnsi"/>
        </w:rPr>
        <w:t xml:space="preserve">; </w:t>
      </w:r>
      <w:r w:rsidR="00505D99" w:rsidRPr="00505D99">
        <w:rPr>
          <w:rFonts w:asciiTheme="minorHAnsi" w:hAnsiTheme="minorHAnsi"/>
        </w:rPr>
        <w:t>Table 1.23</w:t>
      </w:r>
      <w:r w:rsidRPr="00A60F44">
        <w:rPr>
          <w:rFonts w:asciiTheme="minorHAnsi" w:hAnsiTheme="minorHAnsi"/>
        </w:rPr>
        <w:t xml:space="preserve">; </w:t>
      </w:r>
      <w:r w:rsidR="00505D99" w:rsidRPr="00505D99">
        <w:rPr>
          <w:rFonts w:asciiTheme="minorHAnsi" w:hAnsiTheme="minorHAnsi"/>
        </w:rPr>
        <w:t>Table 1.24</w:t>
      </w:r>
      <w:r w:rsidRPr="00A60F44">
        <w:rPr>
          <w:rFonts w:asciiTheme="minorHAnsi" w:hAnsiTheme="minorHAnsi"/>
        </w:rPr>
        <w:t xml:space="preserve">; </w:t>
      </w:r>
      <w:r w:rsidR="00505D99" w:rsidRPr="00505D99">
        <w:rPr>
          <w:rFonts w:asciiTheme="minorHAnsi" w:hAnsiTheme="minorHAnsi"/>
        </w:rPr>
        <w:t>Table 1.25</w:t>
      </w:r>
      <w:r w:rsidRPr="00A60F44">
        <w:rPr>
          <w:rFonts w:asciiTheme="minorHAnsi" w:hAnsiTheme="minorHAnsi"/>
        </w:rPr>
        <w:t>), along with a number of minor co</w:t>
      </w:r>
      <w:r w:rsidR="009C25F2" w:rsidRPr="00A60F44">
        <w:rPr>
          <w:rFonts w:asciiTheme="minorHAnsi" w:hAnsiTheme="minorHAnsi"/>
        </w:rPr>
        <w:t>mments not included herein</w:t>
      </w:r>
      <w:r w:rsidR="00EE1F96">
        <w:rPr>
          <w:rFonts w:asciiTheme="minorHAnsi" w:hAnsiTheme="minorHAnsi"/>
        </w:rPr>
        <w:t>.</w:t>
      </w:r>
    </w:p>
    <w:p w14:paraId="204BD1C5" w14:textId="77777777" w:rsidR="00160D16" w:rsidRDefault="00160D16" w:rsidP="00121658">
      <w:pPr>
        <w:pStyle w:val="Heading4"/>
        <w:jc w:val="left"/>
        <w:rPr>
          <w:rFonts w:eastAsiaTheme="minorEastAsia"/>
          <w:sz w:val="28"/>
          <w:szCs w:val="22"/>
          <w:lang w:eastAsia="en-AU"/>
        </w:rPr>
      </w:pPr>
      <w:bookmarkStart w:id="220" w:name="_Ref506373350"/>
      <w:r>
        <w:rPr>
          <w:rFonts w:eastAsiaTheme="minorEastAsia"/>
        </w:rPr>
        <w:t xml:space="preserve">Treatment of patients with </w:t>
      </w:r>
      <w:r w:rsidR="00F95235">
        <w:rPr>
          <w:rFonts w:eastAsiaTheme="minorEastAsia"/>
        </w:rPr>
        <w:t>PAH medicines</w:t>
      </w:r>
      <w:r>
        <w:rPr>
          <w:rFonts w:eastAsiaTheme="minorEastAsia"/>
        </w:rPr>
        <w:t xml:space="preserve"> according to WHO FC status</w:t>
      </w:r>
      <w:bookmarkEnd w:id="220"/>
    </w:p>
    <w:p w14:paraId="17BB41EB" w14:textId="77777777" w:rsidR="00160D16" w:rsidRPr="00DE148E" w:rsidRDefault="00160D16" w:rsidP="00121658">
      <w:pPr>
        <w:pStyle w:val="Heading5"/>
        <w:jc w:val="left"/>
        <w:rPr>
          <w:rFonts w:asciiTheme="minorHAnsi" w:hAnsiTheme="minorHAnsi"/>
        </w:rPr>
      </w:pPr>
      <w:r w:rsidRPr="00DE148E">
        <w:rPr>
          <w:rFonts w:asciiTheme="minorHAnsi" w:hAnsiTheme="minorHAnsi"/>
        </w:rPr>
        <w:t>Current PBS requirement</w:t>
      </w:r>
    </w:p>
    <w:p w14:paraId="05DC9590" w14:textId="77777777" w:rsidR="00160D16" w:rsidRPr="00DE148E" w:rsidRDefault="00160D16" w:rsidP="00121658">
      <w:pPr>
        <w:rPr>
          <w:rFonts w:asciiTheme="minorHAnsi" w:hAnsiTheme="minorHAnsi"/>
        </w:rPr>
      </w:pPr>
      <w:r w:rsidRPr="00DE148E">
        <w:rPr>
          <w:rFonts w:asciiTheme="minorHAnsi" w:hAnsiTheme="minorHAnsi"/>
        </w:rPr>
        <w:t>The current PAH restrictions are subject to the following clinical criteria:</w:t>
      </w:r>
    </w:p>
    <w:p w14:paraId="7A6269D6" w14:textId="77777777" w:rsidR="00160D16" w:rsidRPr="00DE148E" w:rsidRDefault="00160D16" w:rsidP="00121658">
      <w:pPr>
        <w:rPr>
          <w:rFonts w:asciiTheme="minorHAnsi" w:hAnsiTheme="minorHAnsi"/>
        </w:rPr>
      </w:pPr>
      <w:r w:rsidRPr="00DE148E">
        <w:rPr>
          <w:rFonts w:asciiTheme="minorHAnsi" w:hAnsiTheme="minorHAnsi"/>
        </w:rPr>
        <w:t>Patient must have WHO Functional Class III, OR</w:t>
      </w:r>
    </w:p>
    <w:p w14:paraId="2C831D3F" w14:textId="77777777" w:rsidR="00160D16" w:rsidRPr="00DE148E" w:rsidRDefault="00160D16" w:rsidP="00121658">
      <w:pPr>
        <w:rPr>
          <w:rFonts w:asciiTheme="minorHAnsi" w:hAnsiTheme="minorHAnsi"/>
        </w:rPr>
      </w:pPr>
      <w:r w:rsidRPr="00DE148E">
        <w:rPr>
          <w:rFonts w:asciiTheme="minorHAnsi" w:hAnsiTheme="minorHAnsi"/>
        </w:rPr>
        <w:t>Patient must have WHO Functional Class IV</w:t>
      </w:r>
    </w:p>
    <w:p w14:paraId="3D05BFF2" w14:textId="77777777" w:rsidR="00160D16" w:rsidRPr="00DE148E" w:rsidRDefault="00160D16" w:rsidP="00121658">
      <w:pPr>
        <w:rPr>
          <w:rFonts w:asciiTheme="minorHAnsi" w:hAnsiTheme="minorHAnsi"/>
        </w:rPr>
      </w:pPr>
      <w:r w:rsidRPr="00DE148E">
        <w:rPr>
          <w:rFonts w:asciiTheme="minorHAnsi" w:hAnsiTheme="minorHAnsi"/>
        </w:rPr>
        <w:t>In addition</w:t>
      </w:r>
      <w:r w:rsidR="00E777EE" w:rsidRPr="00DE148E">
        <w:rPr>
          <w:rFonts w:asciiTheme="minorHAnsi" w:hAnsiTheme="minorHAnsi"/>
        </w:rPr>
        <w:t>, different PAH items reflect these principles</w:t>
      </w:r>
      <w:r w:rsidRPr="00DE148E">
        <w:rPr>
          <w:rFonts w:asciiTheme="minorHAnsi" w:hAnsiTheme="minorHAnsi"/>
        </w:rPr>
        <w:t>:</w:t>
      </w:r>
    </w:p>
    <w:p w14:paraId="20A17A63" w14:textId="77777777" w:rsidR="00160D16" w:rsidRDefault="00AF191D" w:rsidP="00921D13">
      <w:pPr>
        <w:pStyle w:val="08Bulletsseriesofsentences"/>
      </w:pPr>
      <w:r>
        <w:t>PDE</w:t>
      </w:r>
      <w:r>
        <w:noBreakHyphen/>
        <w:t>5</w:t>
      </w:r>
      <w:r w:rsidR="00160D16">
        <w:t xml:space="preserve"> inhibitor restrictions </w:t>
      </w:r>
      <w:r w:rsidR="009E0205">
        <w:t>are for WHO FC III only, consistent with TGA status</w:t>
      </w:r>
      <w:r w:rsidR="003A138E">
        <w:t>.</w:t>
      </w:r>
    </w:p>
    <w:p w14:paraId="6DE0E8C6" w14:textId="77777777" w:rsidR="00160D16" w:rsidRDefault="00160D16" w:rsidP="00921D13">
      <w:pPr>
        <w:pStyle w:val="08Bulletsseriesofsentences"/>
      </w:pPr>
      <w:r>
        <w:t>Epoprostenol is listed first line for WHO FC IV and second line for WHO FC III</w:t>
      </w:r>
      <w:r w:rsidR="003A138E">
        <w:t>.</w:t>
      </w:r>
      <w:r>
        <w:t xml:space="preserve"> </w:t>
      </w:r>
    </w:p>
    <w:p w14:paraId="684EF8B3" w14:textId="77777777" w:rsidR="00160D16" w:rsidRDefault="00160D16" w:rsidP="00921D13">
      <w:pPr>
        <w:pStyle w:val="08Bulletsseriesofsentences"/>
      </w:pPr>
      <w:r>
        <w:t xml:space="preserve">Iloprost </w:t>
      </w:r>
      <w:proofErr w:type="gramStart"/>
      <w:r>
        <w:t>is listed</w:t>
      </w:r>
      <w:proofErr w:type="gramEnd"/>
      <w:r>
        <w:t xml:space="preserve"> to treat drug-induced PAH in WHO FC III patients, other indications are for WHO FC IV patients</w:t>
      </w:r>
      <w:r w:rsidR="003A138E">
        <w:t>.</w:t>
      </w:r>
    </w:p>
    <w:p w14:paraId="38A7E623" w14:textId="77777777" w:rsidR="00160D16" w:rsidRPr="00E03052" w:rsidRDefault="00160D16" w:rsidP="00121658">
      <w:pPr>
        <w:pStyle w:val="Heading5"/>
        <w:numPr>
          <w:ilvl w:val="0"/>
          <w:numId w:val="0"/>
        </w:numPr>
        <w:jc w:val="left"/>
        <w:rPr>
          <w:rFonts w:asciiTheme="minorHAnsi" w:hAnsiTheme="minorHAnsi"/>
        </w:rPr>
      </w:pPr>
      <w:r w:rsidRPr="00E03052">
        <w:rPr>
          <w:rFonts w:asciiTheme="minorHAnsi" w:hAnsiTheme="minorHAnsi"/>
        </w:rPr>
        <w:t>Guideline recommendations</w:t>
      </w:r>
    </w:p>
    <w:p w14:paraId="1C3490E7" w14:textId="77777777" w:rsidR="00160D16" w:rsidRDefault="00160D16" w:rsidP="00E03052">
      <w:pPr>
        <w:pStyle w:val="BodyTextnospacebefore"/>
      </w:pPr>
      <w:r>
        <w:t xml:space="preserve">Current guidelines recommend that treatment of patients who have WHO FC II disease with oral </w:t>
      </w:r>
      <w:r w:rsidR="00F95235">
        <w:t>PAH medicines</w:t>
      </w:r>
      <w:r>
        <w:t xml:space="preserve"> </w:t>
      </w:r>
      <w:proofErr w:type="gramStart"/>
      <w:r>
        <w:t>is</w:t>
      </w:r>
      <w:proofErr w:type="gramEnd"/>
      <w:r>
        <w:t xml:space="preserve"> recommended as standard of care. Those who are eligible to receive high dose CCBs are only a small subset of PAH patients. Also:</w:t>
      </w:r>
    </w:p>
    <w:p w14:paraId="27A7ACA2" w14:textId="77777777" w:rsidR="00160D16" w:rsidRDefault="00160D16" w:rsidP="00921D13">
      <w:pPr>
        <w:pStyle w:val="08Bulletsseriesofsentences"/>
      </w:pPr>
      <w:r>
        <w:t xml:space="preserve">Oral </w:t>
      </w:r>
      <w:r w:rsidR="00F95235">
        <w:t>PAH medicines</w:t>
      </w:r>
      <w:r>
        <w:t xml:space="preserve"> </w:t>
      </w:r>
      <w:proofErr w:type="gramStart"/>
      <w:r>
        <w:t>should be used</w:t>
      </w:r>
      <w:proofErr w:type="gramEnd"/>
      <w:r>
        <w:t xml:space="preserve"> in patients with WHO functional Class II disease. This is the stan</w:t>
      </w:r>
      <w:r w:rsidR="00EE1F96">
        <w:t>dard of care in these patients.</w:t>
      </w:r>
    </w:p>
    <w:p w14:paraId="66969DF6" w14:textId="77777777" w:rsidR="00160D16" w:rsidRDefault="00160D16" w:rsidP="00921D13">
      <w:pPr>
        <w:pStyle w:val="08Bulletsseriesofsentences"/>
      </w:pPr>
      <w:r>
        <w:t xml:space="preserve">In line with the registered clinical indications, prostacyclin analogues (prostanoids) are not recommended for the treatment of WHO FC II </w:t>
      </w:r>
      <w:proofErr w:type="gramStart"/>
      <w:r>
        <w:t>patients,</w:t>
      </w:r>
      <w:proofErr w:type="gramEnd"/>
      <w:r>
        <w:t xml:space="preserve"> and typically not for patients with WHO FC III status in the absence of high risk factors. </w:t>
      </w:r>
      <w:r w:rsidR="00E777EE">
        <w:t>However, patients with advanced PAH or presence high risk factors should be treated with treatment including a prostanoid</w:t>
      </w:r>
      <w:r w:rsidR="00A71B36">
        <w:t>, without reference to line of therapy</w:t>
      </w:r>
      <w:r w:rsidR="003A138E">
        <w:t>.</w:t>
      </w:r>
    </w:p>
    <w:p w14:paraId="3B36E1C6" w14:textId="77777777" w:rsidR="00160D16" w:rsidRPr="00FA749E" w:rsidRDefault="00AF191D" w:rsidP="00921D13">
      <w:pPr>
        <w:pStyle w:val="08Bulletsseriesofsentences"/>
      </w:pPr>
      <w:r>
        <w:t>PDE</w:t>
      </w:r>
      <w:r>
        <w:noBreakHyphen/>
        <w:t>5</w:t>
      </w:r>
      <w:r w:rsidR="00160D16">
        <w:t xml:space="preserve"> inhibitors </w:t>
      </w:r>
      <w:proofErr w:type="gramStart"/>
      <w:r w:rsidR="00160D16">
        <w:t>are recommended</w:t>
      </w:r>
      <w:proofErr w:type="gramEnd"/>
      <w:r w:rsidR="00160D16">
        <w:t xml:space="preserve"> for patients with WHO FC IV disease but the evidence base is weaker</w:t>
      </w:r>
      <w:r w:rsidR="00EE1F96">
        <w:t>.</w:t>
      </w:r>
    </w:p>
    <w:p w14:paraId="438048FD" w14:textId="77777777" w:rsidR="00574067" w:rsidRPr="00E03052" w:rsidRDefault="00574067" w:rsidP="00121658">
      <w:pPr>
        <w:pStyle w:val="Heading4"/>
        <w:jc w:val="left"/>
        <w:rPr>
          <w:rFonts w:eastAsiaTheme="minorEastAsia"/>
          <w:sz w:val="28"/>
          <w:szCs w:val="22"/>
          <w:lang w:eastAsia="en-AU"/>
        </w:rPr>
      </w:pPr>
      <w:bookmarkStart w:id="221" w:name="_Ref506293220"/>
      <w:bookmarkEnd w:id="217"/>
      <w:bookmarkEnd w:id="218"/>
      <w:bookmarkEnd w:id="219"/>
      <w:r w:rsidRPr="00E03052">
        <w:rPr>
          <w:rFonts w:eastAsiaTheme="minorEastAsia"/>
        </w:rPr>
        <w:lastRenderedPageBreak/>
        <w:t xml:space="preserve">Use of </w:t>
      </w:r>
      <w:r w:rsidR="00F95235" w:rsidRPr="00E03052">
        <w:rPr>
          <w:rFonts w:eastAsiaTheme="minorEastAsia"/>
        </w:rPr>
        <w:t>PAH medicines</w:t>
      </w:r>
      <w:r w:rsidRPr="00E03052">
        <w:rPr>
          <w:rFonts w:eastAsiaTheme="minorEastAsia"/>
        </w:rPr>
        <w:t xml:space="preserve"> in combination</w:t>
      </w:r>
      <w:bookmarkEnd w:id="221"/>
      <w:r w:rsidRPr="00E03052">
        <w:rPr>
          <w:rFonts w:eastAsiaTheme="minorEastAsia"/>
        </w:rPr>
        <w:t xml:space="preserve"> </w:t>
      </w:r>
    </w:p>
    <w:p w14:paraId="2B7CE681" w14:textId="77777777" w:rsidR="00574067" w:rsidRPr="00E03052" w:rsidRDefault="00574067" w:rsidP="00121658">
      <w:pPr>
        <w:pStyle w:val="Heading5"/>
        <w:jc w:val="left"/>
        <w:rPr>
          <w:rFonts w:asciiTheme="minorHAnsi" w:hAnsiTheme="minorHAnsi"/>
        </w:rPr>
      </w:pPr>
      <w:r w:rsidRPr="00E03052">
        <w:rPr>
          <w:rFonts w:asciiTheme="minorHAnsi" w:hAnsiTheme="minorHAnsi"/>
        </w:rPr>
        <w:t>Current PBS requirement</w:t>
      </w:r>
    </w:p>
    <w:p w14:paraId="71A3BF79" w14:textId="77777777" w:rsidR="00574067" w:rsidRDefault="00574067" w:rsidP="00E03052">
      <w:pPr>
        <w:pStyle w:val="BodyTextnospacebefore"/>
      </w:pPr>
      <w:r>
        <w:t xml:space="preserve">The current PBS restrictions specify that </w:t>
      </w:r>
      <w:r w:rsidRPr="00574067">
        <w:t>treatment must be the sole PBS-subsidised PAH agent for this condition</w:t>
      </w:r>
      <w:r w:rsidR="00496849">
        <w:t xml:space="preserve">. </w:t>
      </w:r>
      <w:r w:rsidR="00A71B36">
        <w:t>T</w:t>
      </w:r>
      <w:r w:rsidRPr="00574067">
        <w:t>his is distinct from ‘as monotherapy’, which appears in PBS restrictions for other medicines (and precludes</w:t>
      </w:r>
      <w:r w:rsidR="00EE1F96">
        <w:t xml:space="preserve"> any co-administration at all).</w:t>
      </w:r>
    </w:p>
    <w:p w14:paraId="31F57247" w14:textId="77777777" w:rsidR="00574067" w:rsidRPr="004F0200" w:rsidRDefault="00574067" w:rsidP="00E03052">
      <w:pPr>
        <w:pStyle w:val="BodyTextnospacebefore"/>
      </w:pPr>
      <w:r w:rsidRPr="00574067">
        <w:t>Patients who fail to demonstrate a response</w:t>
      </w:r>
      <w:r w:rsidR="009E0205">
        <w:t xml:space="preserve"> </w:t>
      </w:r>
      <w:r w:rsidRPr="00574067">
        <w:t xml:space="preserve">must cease therapy with </w:t>
      </w:r>
      <w:r>
        <w:t>that</w:t>
      </w:r>
      <w:r w:rsidRPr="00574067">
        <w:t xml:space="preserve"> </w:t>
      </w:r>
      <w:r>
        <w:t>medicine</w:t>
      </w:r>
      <w:r w:rsidRPr="00574067">
        <w:t>.</w:t>
      </w:r>
    </w:p>
    <w:p w14:paraId="302DE83C" w14:textId="77777777" w:rsidR="00574067" w:rsidRPr="00E03052" w:rsidRDefault="00574067" w:rsidP="00121658">
      <w:pPr>
        <w:pStyle w:val="Heading5"/>
        <w:jc w:val="left"/>
        <w:rPr>
          <w:rFonts w:asciiTheme="minorHAnsi" w:hAnsiTheme="minorHAnsi"/>
        </w:rPr>
      </w:pPr>
      <w:r w:rsidRPr="00E03052">
        <w:rPr>
          <w:rFonts w:asciiTheme="minorHAnsi" w:hAnsiTheme="minorHAnsi"/>
        </w:rPr>
        <w:t>Guideline recommendations</w:t>
      </w:r>
    </w:p>
    <w:p w14:paraId="6C33027D" w14:textId="77777777" w:rsidR="00574067" w:rsidRPr="00574067" w:rsidRDefault="00574067" w:rsidP="00E03052">
      <w:pPr>
        <w:pStyle w:val="BodyTextnospacebefore"/>
      </w:pPr>
      <w:r>
        <w:t>M</w:t>
      </w:r>
      <w:r w:rsidRPr="00574067">
        <w:t xml:space="preserve">onotherapy remains indicated for treatment naïve </w:t>
      </w:r>
      <w:r>
        <w:t xml:space="preserve">PAH </w:t>
      </w:r>
      <w:r w:rsidRPr="00574067">
        <w:t>patients, with the exception of certain patients who may benefit from initial combination treatment, primarily those with more advanced PAH o</w:t>
      </w:r>
      <w:r w:rsidR="00EE1F96">
        <w:t>r with signs of poor prognosis.</w:t>
      </w:r>
    </w:p>
    <w:p w14:paraId="7BF35431" w14:textId="77777777" w:rsidR="00574067" w:rsidRPr="00574067" w:rsidRDefault="00574067" w:rsidP="00E03052">
      <w:pPr>
        <w:pStyle w:val="BodyTextnospacebefore"/>
      </w:pPr>
      <w:r>
        <w:t>S</w:t>
      </w:r>
      <w:r w:rsidRPr="00574067">
        <w:t>equential combination the</w:t>
      </w:r>
      <w:r w:rsidRPr="00EA6CB2">
        <w:t>r</w:t>
      </w:r>
      <w:r w:rsidRPr="00574067">
        <w:t>apy</w:t>
      </w:r>
      <w:r>
        <w:t xml:space="preserve"> is recommended</w:t>
      </w:r>
      <w:r w:rsidRPr="00574067">
        <w:t xml:space="preserve"> as standard of care in patients already on </w:t>
      </w:r>
      <w:r w:rsidR="00F95235">
        <w:t>PAH medicines</w:t>
      </w:r>
      <w:r w:rsidRPr="00574067">
        <w:t xml:space="preserve"> but who are failing to meet their therapeutic targets </w:t>
      </w:r>
      <w:r w:rsidR="00C40AC4">
        <w:t>or those who have poor prognos</w:t>
      </w:r>
      <w:r w:rsidRPr="00574067">
        <w:t xml:space="preserve">tic / high risk factors. </w:t>
      </w:r>
      <w:r>
        <w:t xml:space="preserve">Use </w:t>
      </w:r>
      <w:proofErr w:type="gramStart"/>
      <w:r>
        <w:t>is recommended</w:t>
      </w:r>
      <w:proofErr w:type="gramEnd"/>
      <w:r>
        <w:t xml:space="preserve"> of up to three </w:t>
      </w:r>
      <w:r w:rsidR="00517C17">
        <w:t>PAH medicines</w:t>
      </w:r>
      <w:r>
        <w:t>, each from a different drug class</w:t>
      </w:r>
      <w:r w:rsidR="00496849">
        <w:t xml:space="preserve">. </w:t>
      </w:r>
      <w:r>
        <w:t>This suggests patients who fail to respond should continue the current treatment, in contrast with the current requirement to cease therapy with that medicine</w:t>
      </w:r>
      <w:r w:rsidR="00EE1F96">
        <w:t>.</w:t>
      </w:r>
    </w:p>
    <w:p w14:paraId="40F1D376" w14:textId="77777777" w:rsidR="00505D99" w:rsidRPr="00DE148E" w:rsidRDefault="00574067" w:rsidP="00DE148E">
      <w:pPr>
        <w:pStyle w:val="BodyTextnospacebefore"/>
        <w:rPr>
          <w:b/>
        </w:rPr>
      </w:pPr>
      <w:r w:rsidRPr="00574067">
        <w:t xml:space="preserve">Current TGA indications for combination therapy, contraindications and a discussion of potential drug interactions between </w:t>
      </w:r>
      <w:r w:rsidR="00F95235">
        <w:t>PAH medicines</w:t>
      </w:r>
      <w:r w:rsidRPr="00574067">
        <w:t xml:space="preserve"> are in </w:t>
      </w:r>
      <w:r w:rsidR="00505D99" w:rsidRPr="00DE148E">
        <w:rPr>
          <w:b/>
        </w:rPr>
        <w:t>Information in the PI regarding combination use of PAH medicines</w:t>
      </w:r>
      <w:r w:rsidR="00EE1F96" w:rsidRPr="00EE1F96">
        <w:t>.</w:t>
      </w:r>
    </w:p>
    <w:p w14:paraId="184A32DB" w14:textId="77777777" w:rsidR="00724899" w:rsidRPr="002F01AD" w:rsidRDefault="00724899" w:rsidP="00E03052">
      <w:pPr>
        <w:pStyle w:val="BodyTextnospacebefore"/>
        <w:rPr>
          <w:color w:val="BFBFBF" w:themeColor="background1" w:themeShade="BF"/>
        </w:rPr>
      </w:pPr>
      <w:bookmarkStart w:id="222" w:name="_Toc503811595"/>
      <w:bookmarkStart w:id="223" w:name="_Toc503800643"/>
      <w:bookmarkStart w:id="224" w:name="_Ref503662956"/>
      <w:r w:rsidRPr="002F01AD">
        <w:rPr>
          <w:color w:val="BFBFBF" w:themeColor="background1" w:themeShade="BF"/>
        </w:rPr>
        <w:t xml:space="preserve"> </w:t>
      </w:r>
    </w:p>
    <w:p w14:paraId="718DBEFE" w14:textId="77777777" w:rsidR="00724899" w:rsidRPr="002F01AD" w:rsidRDefault="00724899" w:rsidP="00121658">
      <w:pPr>
        <w:pStyle w:val="Caption"/>
        <w:ind w:left="0"/>
        <w:jc w:val="left"/>
        <w:rPr>
          <w:color w:val="BFBFBF" w:themeColor="background1" w:themeShade="BF"/>
        </w:rPr>
        <w:sectPr w:rsidR="00724899" w:rsidRPr="002F01AD" w:rsidSect="00724899">
          <w:footnotePr>
            <w:numFmt w:val="chicago"/>
          </w:footnotePr>
          <w:pgSz w:w="11906" w:h="16838"/>
          <w:pgMar w:top="1440" w:right="1440" w:bottom="1440" w:left="1440" w:header="708" w:footer="708" w:gutter="0"/>
          <w:cols w:space="708"/>
          <w:titlePg/>
          <w:docGrid w:linePitch="360"/>
        </w:sectPr>
      </w:pPr>
    </w:p>
    <w:p w14:paraId="65E50265" w14:textId="77777777" w:rsidR="00724899" w:rsidRDefault="00F75B8B" w:rsidP="00F75B8B">
      <w:pPr>
        <w:pStyle w:val="Caption"/>
      </w:pPr>
      <w:bookmarkStart w:id="225" w:name="_Ref510796052"/>
      <w:bookmarkStart w:id="226" w:name="_Toc29377263"/>
      <w:r>
        <w:lastRenderedPageBreak/>
        <w:t>Table 1.</w:t>
      </w:r>
      <w:r w:rsidR="00505D99">
        <w:rPr>
          <w:noProof/>
        </w:rPr>
        <w:t>17</w:t>
      </w:r>
      <w:bookmarkEnd w:id="225"/>
      <w:r>
        <w:rPr>
          <w:noProof/>
        </w:rPr>
        <w:tab/>
      </w:r>
      <w:r>
        <w:t>Restriction criteria considered in this review</w:t>
      </w:r>
      <w:bookmarkEnd w:id="226"/>
    </w:p>
    <w:tbl>
      <w:tblPr>
        <w:tblStyle w:val="TableGrid7"/>
        <w:tblpPr w:leftFromText="180" w:rightFromText="180" w:vertAnchor="text" w:tblpY="1"/>
        <w:tblOverlap w:val="never"/>
        <w:tblW w:w="0" w:type="auto"/>
        <w:tblLook w:val="04A0" w:firstRow="1" w:lastRow="0" w:firstColumn="1" w:lastColumn="0" w:noHBand="0" w:noVBand="1"/>
        <w:tblCaption w:val="Restriction criteria considered in this review"/>
      </w:tblPr>
      <w:tblGrid>
        <w:gridCol w:w="3674"/>
        <w:gridCol w:w="2006"/>
        <w:gridCol w:w="8268"/>
      </w:tblGrid>
      <w:tr w:rsidR="00737515" w:rsidRPr="00737515" w14:paraId="0B91979D" w14:textId="77777777" w:rsidTr="00B61227">
        <w:trPr>
          <w:cantSplit/>
          <w:tblHeader/>
        </w:trPr>
        <w:tc>
          <w:tcPr>
            <w:tcW w:w="3794" w:type="dxa"/>
            <w:shd w:val="clear" w:color="auto" w:fill="A6A6A6" w:themeFill="background1" w:themeFillShade="A6"/>
          </w:tcPr>
          <w:p w14:paraId="1D99BABB" w14:textId="77777777" w:rsidR="00737515" w:rsidRPr="00597CA4" w:rsidRDefault="00737515" w:rsidP="00597CA4">
            <w:pPr>
              <w:tabs>
                <w:tab w:val="left" w:pos="507"/>
              </w:tabs>
              <w:spacing w:before="40" w:afterLines="40" w:after="96" w:line="240" w:lineRule="auto"/>
              <w:rPr>
                <w:rFonts w:ascii="Arial" w:hAnsi="Arial" w:cs="Arial"/>
                <w:b/>
                <w:sz w:val="20"/>
                <w:szCs w:val="20"/>
              </w:rPr>
            </w:pPr>
            <w:r w:rsidRPr="00597CA4">
              <w:rPr>
                <w:rFonts w:ascii="Arial" w:hAnsi="Arial" w:cs="Arial"/>
                <w:b/>
                <w:sz w:val="20"/>
                <w:szCs w:val="20"/>
              </w:rPr>
              <w:t>Clinical Criteria or Prescribing Instruction</w:t>
            </w:r>
          </w:p>
        </w:tc>
        <w:tc>
          <w:tcPr>
            <w:tcW w:w="1701" w:type="dxa"/>
            <w:shd w:val="clear" w:color="auto" w:fill="A6A6A6" w:themeFill="background1" w:themeFillShade="A6"/>
          </w:tcPr>
          <w:p w14:paraId="2D9D49D6" w14:textId="77777777" w:rsidR="00737515" w:rsidRPr="00597CA4" w:rsidRDefault="00737515" w:rsidP="00597CA4">
            <w:pPr>
              <w:spacing w:before="40" w:afterLines="40" w:after="96" w:line="240" w:lineRule="auto"/>
              <w:rPr>
                <w:rFonts w:ascii="Arial" w:hAnsi="Arial" w:cs="Arial"/>
                <w:b/>
                <w:sz w:val="20"/>
                <w:szCs w:val="20"/>
              </w:rPr>
            </w:pPr>
            <w:r w:rsidRPr="00597CA4">
              <w:rPr>
                <w:rFonts w:ascii="Arial" w:hAnsi="Arial" w:cs="Arial"/>
                <w:b/>
                <w:sz w:val="20"/>
                <w:szCs w:val="20"/>
              </w:rPr>
              <w:t>Guideline Recommendations</w:t>
            </w:r>
          </w:p>
        </w:tc>
        <w:tc>
          <w:tcPr>
            <w:tcW w:w="8679" w:type="dxa"/>
            <w:shd w:val="clear" w:color="auto" w:fill="A6A6A6" w:themeFill="background1" w:themeFillShade="A6"/>
          </w:tcPr>
          <w:p w14:paraId="06266F89" w14:textId="77777777" w:rsidR="00737515" w:rsidRPr="00597CA4" w:rsidRDefault="00737515" w:rsidP="00597CA4">
            <w:pPr>
              <w:spacing w:before="40" w:afterLines="40" w:after="96" w:line="240" w:lineRule="auto"/>
              <w:rPr>
                <w:rFonts w:ascii="Arial" w:hAnsi="Arial" w:cs="Arial"/>
                <w:b/>
                <w:sz w:val="20"/>
                <w:szCs w:val="20"/>
              </w:rPr>
            </w:pPr>
            <w:r w:rsidRPr="00597CA4">
              <w:rPr>
                <w:rFonts w:ascii="Arial" w:hAnsi="Arial" w:cs="Arial"/>
                <w:b/>
                <w:sz w:val="20"/>
                <w:szCs w:val="20"/>
              </w:rPr>
              <w:t>Consistent with Guidelines?</w:t>
            </w:r>
          </w:p>
        </w:tc>
      </w:tr>
      <w:tr w:rsidR="003F302E" w:rsidRPr="002F3393" w14:paraId="36211D43" w14:textId="77777777" w:rsidTr="00ED574F">
        <w:trPr>
          <w:cantSplit/>
        </w:trPr>
        <w:tc>
          <w:tcPr>
            <w:tcW w:w="3794" w:type="dxa"/>
            <w:shd w:val="clear" w:color="auto" w:fill="auto"/>
          </w:tcPr>
          <w:p w14:paraId="6B722864" w14:textId="77777777" w:rsidR="00BB276C" w:rsidRPr="00597CA4" w:rsidRDefault="00CD2967" w:rsidP="00597CA4">
            <w:pPr>
              <w:tabs>
                <w:tab w:val="left" w:pos="507"/>
              </w:tabs>
              <w:spacing w:before="40" w:afterLines="40" w:after="96" w:line="240" w:lineRule="auto"/>
              <w:rPr>
                <w:rFonts w:ascii="Arial" w:hAnsi="Arial" w:cs="Arial"/>
                <w:sz w:val="20"/>
                <w:szCs w:val="20"/>
              </w:rPr>
            </w:pPr>
            <w:r w:rsidRPr="00597CA4">
              <w:rPr>
                <w:rFonts w:ascii="Arial" w:hAnsi="Arial" w:cs="Arial"/>
                <w:sz w:val="20"/>
                <w:szCs w:val="20"/>
              </w:rPr>
              <w:t>The</w:t>
            </w:r>
            <w:r w:rsidR="00BB276C" w:rsidRPr="00597CA4">
              <w:rPr>
                <w:rFonts w:ascii="Arial" w:hAnsi="Arial" w:cs="Arial"/>
                <w:sz w:val="20"/>
                <w:szCs w:val="20"/>
              </w:rPr>
              <w:t xml:space="preserve"> PAH restriction</w:t>
            </w:r>
            <w:r w:rsidRPr="00597CA4">
              <w:rPr>
                <w:rFonts w:ascii="Arial" w:hAnsi="Arial" w:cs="Arial"/>
                <w:sz w:val="20"/>
                <w:szCs w:val="20"/>
              </w:rPr>
              <w:t>s cover the subsidised conditions as follows</w:t>
            </w:r>
            <w:r w:rsidR="00BB276C" w:rsidRPr="00597CA4">
              <w:rPr>
                <w:rFonts w:ascii="Arial" w:hAnsi="Arial" w:cs="Arial"/>
                <w:sz w:val="20"/>
                <w:szCs w:val="20"/>
              </w:rPr>
              <w:t>:</w:t>
            </w:r>
          </w:p>
          <w:p w14:paraId="158473AD" w14:textId="77777777" w:rsidR="00BB276C" w:rsidRPr="00597CA4" w:rsidRDefault="00BB276C" w:rsidP="00807704">
            <w:pPr>
              <w:pStyle w:val="ListParagraph"/>
              <w:numPr>
                <w:ilvl w:val="0"/>
                <w:numId w:val="19"/>
              </w:numPr>
              <w:tabs>
                <w:tab w:val="left" w:pos="507"/>
              </w:tabs>
              <w:spacing w:before="40" w:afterLines="40" w:after="96" w:line="240" w:lineRule="auto"/>
              <w:ind w:left="0"/>
              <w:rPr>
                <w:rFonts w:ascii="Arial" w:hAnsi="Arial" w:cs="Arial"/>
                <w:sz w:val="20"/>
                <w:szCs w:val="20"/>
              </w:rPr>
            </w:pPr>
            <w:r w:rsidRPr="00597CA4">
              <w:rPr>
                <w:rFonts w:ascii="Arial" w:hAnsi="Arial" w:cs="Arial"/>
                <w:sz w:val="20"/>
                <w:szCs w:val="20"/>
              </w:rPr>
              <w:t>IPAH</w:t>
            </w:r>
          </w:p>
          <w:p w14:paraId="15566454" w14:textId="77777777" w:rsidR="00BB276C" w:rsidRPr="00597CA4" w:rsidRDefault="00BB276C" w:rsidP="00807704">
            <w:pPr>
              <w:pStyle w:val="ListParagraph"/>
              <w:numPr>
                <w:ilvl w:val="0"/>
                <w:numId w:val="19"/>
              </w:numPr>
              <w:tabs>
                <w:tab w:val="left" w:pos="507"/>
              </w:tabs>
              <w:spacing w:before="40" w:afterLines="40" w:after="96" w:line="240" w:lineRule="auto"/>
              <w:ind w:left="0"/>
              <w:rPr>
                <w:rFonts w:ascii="Arial" w:hAnsi="Arial" w:cs="Arial"/>
                <w:sz w:val="20"/>
                <w:szCs w:val="20"/>
              </w:rPr>
            </w:pPr>
            <w:r w:rsidRPr="00597CA4">
              <w:rPr>
                <w:rFonts w:ascii="Arial" w:hAnsi="Arial" w:cs="Arial"/>
                <w:sz w:val="20"/>
                <w:szCs w:val="20"/>
              </w:rPr>
              <w:t>Anorexigen-induced PAH</w:t>
            </w:r>
          </w:p>
          <w:p w14:paraId="2E53B200" w14:textId="77777777" w:rsidR="00BB276C" w:rsidRPr="00597CA4" w:rsidRDefault="00BB276C" w:rsidP="00807704">
            <w:pPr>
              <w:pStyle w:val="ListParagraph"/>
              <w:numPr>
                <w:ilvl w:val="0"/>
                <w:numId w:val="19"/>
              </w:numPr>
              <w:tabs>
                <w:tab w:val="left" w:pos="507"/>
              </w:tabs>
              <w:spacing w:before="40" w:afterLines="40" w:after="96" w:line="240" w:lineRule="auto"/>
              <w:ind w:left="0"/>
              <w:rPr>
                <w:rFonts w:ascii="Arial" w:hAnsi="Arial" w:cs="Arial"/>
                <w:sz w:val="20"/>
                <w:szCs w:val="20"/>
              </w:rPr>
            </w:pPr>
            <w:r w:rsidRPr="00597CA4">
              <w:rPr>
                <w:rFonts w:ascii="Arial" w:hAnsi="Arial" w:cs="Arial"/>
                <w:sz w:val="20"/>
                <w:szCs w:val="20"/>
              </w:rPr>
              <w:t>Hereditable PAH</w:t>
            </w:r>
          </w:p>
          <w:p w14:paraId="5BE0686A" w14:textId="77777777" w:rsidR="00BB276C" w:rsidRPr="00597CA4" w:rsidRDefault="00BB276C" w:rsidP="00807704">
            <w:pPr>
              <w:pStyle w:val="ListParagraph"/>
              <w:numPr>
                <w:ilvl w:val="0"/>
                <w:numId w:val="19"/>
              </w:numPr>
              <w:tabs>
                <w:tab w:val="left" w:pos="507"/>
              </w:tabs>
              <w:spacing w:before="40" w:afterLines="40" w:after="96" w:line="240" w:lineRule="auto"/>
              <w:ind w:left="0"/>
              <w:rPr>
                <w:rFonts w:ascii="Arial" w:hAnsi="Arial" w:cs="Arial"/>
                <w:sz w:val="20"/>
                <w:szCs w:val="20"/>
              </w:rPr>
            </w:pPr>
            <w:r w:rsidRPr="00597CA4">
              <w:rPr>
                <w:rFonts w:ascii="Arial" w:hAnsi="Arial" w:cs="Arial"/>
                <w:sz w:val="20"/>
                <w:szCs w:val="20"/>
              </w:rPr>
              <w:t>Drug-induced PAH</w:t>
            </w:r>
          </w:p>
          <w:p w14:paraId="4B12901C" w14:textId="77777777" w:rsidR="00BB276C" w:rsidRPr="00597CA4" w:rsidRDefault="00BB276C" w:rsidP="00807704">
            <w:pPr>
              <w:pStyle w:val="ListParagraph"/>
              <w:numPr>
                <w:ilvl w:val="0"/>
                <w:numId w:val="19"/>
              </w:numPr>
              <w:tabs>
                <w:tab w:val="left" w:pos="507"/>
              </w:tabs>
              <w:spacing w:before="40" w:afterLines="40" w:after="96" w:line="240" w:lineRule="auto"/>
              <w:ind w:left="0"/>
              <w:rPr>
                <w:rFonts w:ascii="Arial" w:hAnsi="Arial" w:cs="Arial"/>
                <w:sz w:val="20"/>
                <w:szCs w:val="20"/>
              </w:rPr>
            </w:pPr>
            <w:r w:rsidRPr="00597CA4">
              <w:rPr>
                <w:rFonts w:ascii="Arial" w:hAnsi="Arial" w:cs="Arial"/>
                <w:sz w:val="20"/>
                <w:szCs w:val="20"/>
              </w:rPr>
              <w:t>PAH secondary to connective tissue disease including scleroderma</w:t>
            </w:r>
          </w:p>
          <w:p w14:paraId="222F67B4" w14:textId="77777777" w:rsidR="003F302E" w:rsidRPr="00597CA4" w:rsidRDefault="00BB276C" w:rsidP="00807704">
            <w:pPr>
              <w:pStyle w:val="ListParagraph"/>
              <w:numPr>
                <w:ilvl w:val="0"/>
                <w:numId w:val="19"/>
              </w:numPr>
              <w:tabs>
                <w:tab w:val="left" w:pos="507"/>
              </w:tabs>
              <w:spacing w:before="40" w:afterLines="40" w:after="96" w:line="240" w:lineRule="auto"/>
              <w:ind w:left="0"/>
              <w:rPr>
                <w:rFonts w:ascii="Arial" w:hAnsi="Arial" w:cs="Arial"/>
                <w:sz w:val="20"/>
                <w:szCs w:val="20"/>
              </w:rPr>
            </w:pPr>
            <w:r w:rsidRPr="00597CA4">
              <w:rPr>
                <w:rFonts w:ascii="Arial" w:hAnsi="Arial" w:cs="Arial"/>
                <w:sz w:val="20"/>
                <w:szCs w:val="20"/>
              </w:rPr>
              <w:t>PAH associated with a congenital systemic-to-pulmonary shunt (including Eisenmenger physiology)</w:t>
            </w:r>
          </w:p>
        </w:tc>
        <w:tc>
          <w:tcPr>
            <w:tcW w:w="1701" w:type="dxa"/>
            <w:shd w:val="clear" w:color="auto" w:fill="auto"/>
          </w:tcPr>
          <w:p w14:paraId="0FAA1C97" w14:textId="77777777" w:rsidR="003F302E" w:rsidRPr="00597CA4" w:rsidRDefault="003F302E" w:rsidP="00597CA4">
            <w:pPr>
              <w:spacing w:before="40" w:afterLines="40" w:after="96" w:line="240" w:lineRule="auto"/>
              <w:rPr>
                <w:rFonts w:ascii="Arial" w:hAnsi="Arial" w:cs="Arial"/>
                <w:i/>
                <w:sz w:val="20"/>
                <w:szCs w:val="20"/>
              </w:rPr>
            </w:pPr>
            <w:r w:rsidRPr="00597CA4">
              <w:rPr>
                <w:rFonts w:ascii="Arial" w:hAnsi="Arial" w:cs="Arial"/>
                <w:sz w:val="20"/>
                <w:szCs w:val="20"/>
              </w:rPr>
              <w:t xml:space="preserve">Discussed in </w:t>
            </w:r>
            <w:r w:rsidR="00505D99" w:rsidRPr="00505D99">
              <w:rPr>
                <w:rFonts w:ascii="Arial" w:hAnsi="Arial" w:cs="Arial"/>
                <w:i/>
                <w:sz w:val="20"/>
              </w:rPr>
              <w:t>PAH treatment algorithm</w:t>
            </w:r>
          </w:p>
        </w:tc>
        <w:tc>
          <w:tcPr>
            <w:tcW w:w="8679" w:type="dxa"/>
            <w:shd w:val="clear" w:color="auto" w:fill="auto"/>
          </w:tcPr>
          <w:p w14:paraId="0C17892D" w14:textId="77777777" w:rsidR="003F302E" w:rsidRPr="00597CA4" w:rsidRDefault="00B15FF7" w:rsidP="00597CA4">
            <w:pPr>
              <w:spacing w:before="40" w:afterLines="40" w:after="96" w:line="240" w:lineRule="auto"/>
              <w:rPr>
                <w:rFonts w:ascii="Arial" w:hAnsi="Arial" w:cs="Arial"/>
                <w:sz w:val="20"/>
                <w:szCs w:val="20"/>
              </w:rPr>
            </w:pPr>
            <w:r w:rsidRPr="00597CA4">
              <w:rPr>
                <w:rFonts w:ascii="Arial" w:hAnsi="Arial" w:cs="Arial"/>
                <w:sz w:val="20"/>
                <w:szCs w:val="20"/>
              </w:rPr>
              <w:t>Yes</w:t>
            </w:r>
            <w:r w:rsidR="00ED574F" w:rsidRPr="00597CA4">
              <w:rPr>
                <w:rFonts w:ascii="Arial" w:hAnsi="Arial" w:cs="Arial"/>
                <w:sz w:val="20"/>
                <w:szCs w:val="20"/>
              </w:rPr>
              <w:t xml:space="preserve"> or partially</w:t>
            </w:r>
            <w:r w:rsidRPr="00597CA4">
              <w:rPr>
                <w:rFonts w:ascii="Arial" w:hAnsi="Arial" w:cs="Arial"/>
                <w:sz w:val="20"/>
                <w:szCs w:val="20"/>
              </w:rPr>
              <w:t xml:space="preserve">. </w:t>
            </w:r>
            <w:r w:rsidR="003F302E" w:rsidRPr="00597CA4">
              <w:rPr>
                <w:rFonts w:ascii="Arial" w:hAnsi="Arial" w:cs="Arial"/>
                <w:sz w:val="20"/>
                <w:szCs w:val="20"/>
              </w:rPr>
              <w:t xml:space="preserve">All the PAH subtypes or aetiologies eligible for PBS funded treatment fall within Group 1 of the WHO classification, with the exception of PAH associated with schistosomiasis, HIV infection or portal hypertension which are not covered as the PBAC has not considered </w:t>
            </w:r>
            <w:r w:rsidR="00102020" w:rsidRPr="00597CA4">
              <w:rPr>
                <w:rFonts w:ascii="Arial" w:hAnsi="Arial" w:cs="Arial"/>
                <w:sz w:val="20"/>
                <w:szCs w:val="20"/>
              </w:rPr>
              <w:t>submissions</w:t>
            </w:r>
            <w:r w:rsidR="00EE1F96">
              <w:rPr>
                <w:rFonts w:ascii="Arial" w:hAnsi="Arial" w:cs="Arial"/>
                <w:sz w:val="20"/>
                <w:szCs w:val="20"/>
              </w:rPr>
              <w:t xml:space="preserve"> for these subtypes.</w:t>
            </w:r>
          </w:p>
          <w:p w14:paraId="7DF63F49" w14:textId="77777777" w:rsidR="001F4168" w:rsidRPr="00597CA4" w:rsidRDefault="001F4168" w:rsidP="00597CA4">
            <w:pPr>
              <w:spacing w:before="40" w:afterLines="40" w:after="96" w:line="240" w:lineRule="auto"/>
              <w:rPr>
                <w:rFonts w:ascii="Arial" w:hAnsi="Arial" w:cs="Arial"/>
                <w:sz w:val="20"/>
                <w:szCs w:val="20"/>
              </w:rPr>
            </w:pPr>
            <w:r w:rsidRPr="00597CA4">
              <w:rPr>
                <w:rFonts w:ascii="Arial" w:hAnsi="Arial" w:cs="Arial"/>
                <w:sz w:val="20"/>
                <w:szCs w:val="20"/>
              </w:rPr>
              <w:t xml:space="preserve">Treatment recommendations for all Group 1 conditions are broadly similar with regard to choice of </w:t>
            </w:r>
            <w:r w:rsidR="00F95235" w:rsidRPr="00597CA4">
              <w:rPr>
                <w:rFonts w:ascii="Arial" w:hAnsi="Arial" w:cs="Arial"/>
                <w:sz w:val="20"/>
                <w:szCs w:val="20"/>
              </w:rPr>
              <w:t>PAH medicines</w:t>
            </w:r>
            <w:r w:rsidRPr="00597CA4">
              <w:rPr>
                <w:rFonts w:ascii="Arial" w:hAnsi="Arial" w:cs="Arial"/>
                <w:sz w:val="20"/>
                <w:szCs w:val="20"/>
              </w:rPr>
              <w:t xml:space="preserve"> including PAH due to HIV or portal hypertension</w:t>
            </w:r>
            <w:r w:rsidR="003C17FA" w:rsidRPr="00597CA4">
              <w:rPr>
                <w:rFonts w:ascii="Arial" w:hAnsi="Arial" w:cs="Arial"/>
                <w:sz w:val="20"/>
                <w:szCs w:val="20"/>
              </w:rPr>
              <w:t xml:space="preserve">. </w:t>
            </w:r>
            <w:r w:rsidRPr="00597CA4">
              <w:rPr>
                <w:rFonts w:ascii="Arial" w:hAnsi="Arial" w:cs="Arial"/>
                <w:sz w:val="20"/>
                <w:szCs w:val="20"/>
              </w:rPr>
              <w:t>Schistosomiasis does not occur in Australia except in travellers returning from incident areas such as Brazil</w:t>
            </w:r>
            <w:r w:rsidR="00EE1F96">
              <w:rPr>
                <w:rFonts w:ascii="Arial" w:hAnsi="Arial" w:cs="Arial"/>
                <w:sz w:val="20"/>
                <w:szCs w:val="20"/>
              </w:rPr>
              <w:t>.</w:t>
            </w:r>
          </w:p>
          <w:p w14:paraId="6AE6DFB5" w14:textId="77777777" w:rsidR="00BB276C" w:rsidRPr="00597CA4" w:rsidRDefault="00E777EE" w:rsidP="00597CA4">
            <w:pPr>
              <w:spacing w:before="40" w:afterLines="40" w:after="96" w:line="240" w:lineRule="auto"/>
              <w:rPr>
                <w:rFonts w:ascii="Arial" w:hAnsi="Arial" w:cs="Arial"/>
                <w:sz w:val="20"/>
                <w:szCs w:val="20"/>
              </w:rPr>
            </w:pPr>
            <w:r w:rsidRPr="00597CA4">
              <w:rPr>
                <w:rFonts w:ascii="Arial" w:hAnsi="Arial" w:cs="Arial"/>
                <w:sz w:val="20"/>
              </w:rPr>
              <w:t>See separate comments regarding current</w:t>
            </w:r>
            <w:r w:rsidRPr="00597CA4">
              <w:rPr>
                <w:rFonts w:ascii="Arial" w:hAnsi="Arial" w:cs="Arial"/>
                <w:i/>
                <w:sz w:val="20"/>
              </w:rPr>
              <w:t xml:space="preserve"> </w:t>
            </w:r>
            <w:r w:rsidR="00505D99" w:rsidRPr="00505D99">
              <w:rPr>
                <w:rFonts w:ascii="Arial" w:hAnsi="Arial" w:cs="Arial"/>
                <w:i/>
                <w:sz w:val="20"/>
              </w:rPr>
              <w:t>PAH classification and terminology</w:t>
            </w:r>
            <w:r w:rsidRPr="00597CA4">
              <w:rPr>
                <w:rFonts w:ascii="Arial" w:hAnsi="Arial" w:cs="Arial"/>
                <w:i/>
                <w:sz w:val="20"/>
              </w:rPr>
              <w:t>.</w:t>
            </w:r>
          </w:p>
        </w:tc>
      </w:tr>
      <w:tr w:rsidR="00B15FF7" w:rsidRPr="002F3393" w14:paraId="031ECBF5" w14:textId="77777777" w:rsidTr="00ED574F">
        <w:trPr>
          <w:tblHeader/>
        </w:trPr>
        <w:tc>
          <w:tcPr>
            <w:tcW w:w="3794" w:type="dxa"/>
            <w:shd w:val="clear" w:color="auto" w:fill="auto"/>
          </w:tcPr>
          <w:p w14:paraId="2F6C6C95" w14:textId="77777777" w:rsidR="00B15FF7" w:rsidRPr="00597CA4" w:rsidRDefault="00537AE2" w:rsidP="00597CA4">
            <w:pPr>
              <w:tabs>
                <w:tab w:val="left" w:pos="507"/>
              </w:tabs>
              <w:spacing w:before="40" w:afterLines="40" w:after="96" w:line="240" w:lineRule="auto"/>
              <w:rPr>
                <w:rFonts w:ascii="Arial" w:hAnsi="Arial" w:cs="Arial"/>
                <w:sz w:val="20"/>
                <w:szCs w:val="20"/>
              </w:rPr>
            </w:pPr>
            <w:r w:rsidRPr="00597CA4">
              <w:rPr>
                <w:rFonts w:ascii="Arial" w:hAnsi="Arial" w:cs="Arial"/>
                <w:sz w:val="20"/>
                <w:szCs w:val="20"/>
              </w:rPr>
              <w:t>[</w:t>
            </w:r>
            <w:r w:rsidR="00B15FF7" w:rsidRPr="00597CA4">
              <w:rPr>
                <w:rFonts w:ascii="Arial" w:hAnsi="Arial" w:cs="Arial"/>
                <w:sz w:val="20"/>
                <w:szCs w:val="20"/>
              </w:rPr>
              <w:t>Clinical criteria no longer specify adults or any age group restrictions</w:t>
            </w:r>
            <w:r w:rsidRPr="00597CA4">
              <w:rPr>
                <w:rFonts w:ascii="Arial" w:hAnsi="Arial" w:cs="Arial"/>
                <w:sz w:val="20"/>
                <w:szCs w:val="20"/>
              </w:rPr>
              <w:t>]</w:t>
            </w:r>
          </w:p>
        </w:tc>
        <w:tc>
          <w:tcPr>
            <w:tcW w:w="1701" w:type="dxa"/>
            <w:shd w:val="clear" w:color="auto" w:fill="auto"/>
          </w:tcPr>
          <w:p w14:paraId="6D8E506A" w14:textId="77777777" w:rsidR="00B15FF7" w:rsidRPr="00597CA4" w:rsidRDefault="00B15FF7" w:rsidP="00597CA4">
            <w:pPr>
              <w:spacing w:before="40" w:afterLines="40" w:after="96" w:line="240" w:lineRule="auto"/>
              <w:rPr>
                <w:rFonts w:ascii="Arial" w:hAnsi="Arial" w:cs="Arial"/>
                <w:sz w:val="20"/>
                <w:szCs w:val="20"/>
              </w:rPr>
            </w:pPr>
            <w:r w:rsidRPr="00597CA4">
              <w:rPr>
                <w:rFonts w:ascii="Arial" w:hAnsi="Arial" w:cs="Arial"/>
                <w:sz w:val="20"/>
                <w:szCs w:val="20"/>
              </w:rPr>
              <w:t xml:space="preserve">See </w:t>
            </w:r>
            <w:r w:rsidR="00505D99" w:rsidRPr="00505D99">
              <w:rPr>
                <w:rFonts w:ascii="Arial" w:hAnsi="Arial" w:cs="Arial"/>
                <w:i/>
                <w:sz w:val="20"/>
                <w:szCs w:val="20"/>
              </w:rPr>
              <w:t>Paediatric use</w:t>
            </w:r>
            <w:r w:rsidR="00CC7275" w:rsidRPr="00597CA4">
              <w:rPr>
                <w:rFonts w:ascii="Arial" w:hAnsi="Arial" w:cs="Arial"/>
                <w:sz w:val="20"/>
                <w:szCs w:val="20"/>
              </w:rPr>
              <w:t>.</w:t>
            </w:r>
          </w:p>
        </w:tc>
        <w:tc>
          <w:tcPr>
            <w:tcW w:w="8679" w:type="dxa"/>
            <w:shd w:val="clear" w:color="auto" w:fill="auto"/>
          </w:tcPr>
          <w:p w14:paraId="07AFECDF" w14:textId="77777777" w:rsidR="00B15FF7" w:rsidRPr="00597CA4" w:rsidRDefault="00B15FF7" w:rsidP="00597CA4">
            <w:pPr>
              <w:spacing w:before="40" w:afterLines="40" w:after="96" w:line="240" w:lineRule="auto"/>
              <w:rPr>
                <w:rFonts w:ascii="Arial" w:hAnsi="Arial" w:cs="Arial"/>
                <w:sz w:val="20"/>
                <w:szCs w:val="20"/>
              </w:rPr>
            </w:pPr>
            <w:r w:rsidRPr="00597CA4">
              <w:rPr>
                <w:rFonts w:ascii="Arial" w:hAnsi="Arial" w:cs="Arial"/>
                <w:sz w:val="20"/>
                <w:szCs w:val="20"/>
              </w:rPr>
              <w:t>Yes</w:t>
            </w:r>
            <w:r w:rsidR="00331C53" w:rsidRPr="00597CA4">
              <w:rPr>
                <w:rFonts w:ascii="Arial" w:hAnsi="Arial" w:cs="Arial"/>
                <w:sz w:val="20"/>
                <w:szCs w:val="20"/>
              </w:rPr>
              <w:t xml:space="preserve">, though no age-appropriate pharmaceutical forms or dosage strengths </w:t>
            </w:r>
            <w:proofErr w:type="gramStart"/>
            <w:r w:rsidR="00331C53" w:rsidRPr="00597CA4">
              <w:rPr>
                <w:rFonts w:ascii="Arial" w:hAnsi="Arial" w:cs="Arial"/>
                <w:sz w:val="20"/>
                <w:szCs w:val="20"/>
              </w:rPr>
              <w:t>are listed</w:t>
            </w:r>
            <w:proofErr w:type="gramEnd"/>
            <w:r w:rsidR="00331C53" w:rsidRPr="00597CA4">
              <w:rPr>
                <w:rFonts w:ascii="Arial" w:hAnsi="Arial" w:cs="Arial"/>
                <w:sz w:val="20"/>
                <w:szCs w:val="20"/>
              </w:rPr>
              <w:t xml:space="preserve"> for young children</w:t>
            </w:r>
            <w:r w:rsidRPr="00597CA4">
              <w:rPr>
                <w:rFonts w:ascii="Arial" w:hAnsi="Arial" w:cs="Arial"/>
                <w:sz w:val="20"/>
                <w:szCs w:val="20"/>
              </w:rPr>
              <w:t xml:space="preserve">. </w:t>
            </w:r>
            <w:r w:rsidR="00331C53" w:rsidRPr="00597CA4">
              <w:rPr>
                <w:rFonts w:ascii="Arial" w:hAnsi="Arial" w:cs="Arial"/>
                <w:sz w:val="20"/>
                <w:szCs w:val="20"/>
              </w:rPr>
              <w:t xml:space="preserve">See </w:t>
            </w:r>
            <w:r w:rsidR="00505D99" w:rsidRPr="00505D99">
              <w:rPr>
                <w:rFonts w:ascii="Arial" w:hAnsi="Arial" w:cs="Arial"/>
                <w:i/>
                <w:sz w:val="20"/>
                <w:szCs w:val="20"/>
              </w:rPr>
              <w:t>Paediatric use</w:t>
            </w:r>
            <w:r w:rsidR="00331C53" w:rsidRPr="00597CA4">
              <w:rPr>
                <w:rFonts w:ascii="Arial" w:hAnsi="Arial" w:cs="Arial"/>
                <w:sz w:val="20"/>
                <w:szCs w:val="20"/>
              </w:rPr>
              <w:t>.</w:t>
            </w:r>
          </w:p>
        </w:tc>
      </w:tr>
      <w:tr w:rsidR="008E2EAB" w:rsidRPr="002F3393" w14:paraId="084B2F43" w14:textId="77777777" w:rsidTr="00ED574F">
        <w:tc>
          <w:tcPr>
            <w:tcW w:w="3794" w:type="dxa"/>
          </w:tcPr>
          <w:p w14:paraId="4F83182C" w14:textId="77777777" w:rsidR="008E2EAB" w:rsidRPr="00597CA4" w:rsidRDefault="008E2EAB" w:rsidP="00597CA4">
            <w:pPr>
              <w:tabs>
                <w:tab w:val="left" w:pos="507"/>
              </w:tabs>
              <w:spacing w:before="40" w:afterLines="40" w:after="96" w:line="240" w:lineRule="auto"/>
              <w:rPr>
                <w:rFonts w:ascii="Arial" w:hAnsi="Arial" w:cs="Arial"/>
                <w:sz w:val="20"/>
                <w:szCs w:val="20"/>
              </w:rPr>
            </w:pPr>
            <w:r w:rsidRPr="00597CA4">
              <w:rPr>
                <w:rFonts w:ascii="Arial" w:hAnsi="Arial" w:cs="Arial"/>
                <w:sz w:val="20"/>
                <w:szCs w:val="20"/>
              </w:rPr>
              <w:t>Patient must have WHO Functional Class III [PAH subtypes], OR</w:t>
            </w:r>
          </w:p>
          <w:p w14:paraId="7343233B" w14:textId="77777777" w:rsidR="00537AE2" w:rsidRPr="00597CA4" w:rsidRDefault="008E2EAB" w:rsidP="00597CA4">
            <w:pPr>
              <w:tabs>
                <w:tab w:val="left" w:pos="507"/>
              </w:tabs>
              <w:spacing w:before="40" w:afterLines="40" w:after="96" w:line="240" w:lineRule="auto"/>
              <w:rPr>
                <w:rFonts w:ascii="Arial" w:hAnsi="Arial" w:cs="Arial"/>
                <w:sz w:val="20"/>
                <w:szCs w:val="20"/>
              </w:rPr>
            </w:pPr>
            <w:r w:rsidRPr="00597CA4">
              <w:rPr>
                <w:rFonts w:ascii="Arial" w:hAnsi="Arial" w:cs="Arial"/>
                <w:sz w:val="20"/>
                <w:szCs w:val="20"/>
              </w:rPr>
              <w:t>Patient must have WHO Functional Class IV [PAH subtypes]</w:t>
            </w:r>
          </w:p>
        </w:tc>
        <w:tc>
          <w:tcPr>
            <w:tcW w:w="1701" w:type="dxa"/>
          </w:tcPr>
          <w:p w14:paraId="71AB77B5" w14:textId="77777777" w:rsidR="008E2EAB" w:rsidRPr="009F0D29" w:rsidRDefault="004F0200" w:rsidP="009F0D29">
            <w:pPr>
              <w:spacing w:before="40" w:afterLines="40" w:after="96" w:line="240" w:lineRule="auto"/>
              <w:rPr>
                <w:rFonts w:ascii="Arial" w:hAnsi="Arial" w:cs="Arial"/>
                <w:sz w:val="20"/>
                <w:szCs w:val="20"/>
              </w:rPr>
            </w:pPr>
            <w:r w:rsidRPr="009F0D29">
              <w:rPr>
                <w:rFonts w:ascii="Arial" w:hAnsi="Arial" w:cs="Arial"/>
                <w:sz w:val="20"/>
                <w:szCs w:val="20"/>
              </w:rPr>
              <w:t xml:space="preserve">See </w:t>
            </w:r>
            <w:r w:rsidR="00505D99" w:rsidRPr="00505D99">
              <w:rPr>
                <w:rFonts w:ascii="Arial" w:hAnsi="Arial" w:cs="Arial"/>
                <w:sz w:val="20"/>
                <w:szCs w:val="20"/>
              </w:rPr>
              <w:t xml:space="preserve">Table 1.7 </w:t>
            </w:r>
            <w:r w:rsidR="00505D99" w:rsidRPr="00505D99">
              <w:rPr>
                <w:rFonts w:ascii="Arial" w:hAnsi="Arial" w:cs="Arial"/>
                <w:sz w:val="20"/>
                <w:szCs w:val="20"/>
              </w:rPr>
              <w:tab/>
              <w:t>Guideline recommendations supporting the therapy pathways</w:t>
            </w:r>
            <w:r w:rsidR="009F0D29" w:rsidRPr="009F0D29">
              <w:rPr>
                <w:rFonts w:ascii="Arial" w:hAnsi="Arial" w:cs="Arial"/>
                <w:sz w:val="20"/>
                <w:szCs w:val="20"/>
              </w:rPr>
              <w:t>.</w:t>
            </w:r>
          </w:p>
        </w:tc>
        <w:tc>
          <w:tcPr>
            <w:tcW w:w="8679" w:type="dxa"/>
          </w:tcPr>
          <w:p w14:paraId="5A1C3C89" w14:textId="77777777" w:rsidR="00160D16" w:rsidRPr="00597CA4" w:rsidRDefault="008E2EAB" w:rsidP="00597CA4">
            <w:pPr>
              <w:spacing w:before="40" w:afterLines="40" w:after="96" w:line="240" w:lineRule="auto"/>
              <w:rPr>
                <w:rFonts w:ascii="Arial" w:hAnsi="Arial" w:cs="Arial"/>
                <w:sz w:val="20"/>
                <w:szCs w:val="20"/>
              </w:rPr>
            </w:pPr>
            <w:r w:rsidRPr="00597CA4">
              <w:rPr>
                <w:rFonts w:ascii="Arial" w:hAnsi="Arial" w:cs="Arial"/>
                <w:sz w:val="20"/>
                <w:szCs w:val="20"/>
              </w:rPr>
              <w:t>No.</w:t>
            </w:r>
            <w:r w:rsidR="00E777EE" w:rsidRPr="00597CA4">
              <w:rPr>
                <w:rFonts w:ascii="Arial" w:hAnsi="Arial" w:cs="Arial"/>
                <w:sz w:val="20"/>
                <w:szCs w:val="20"/>
              </w:rPr>
              <w:t xml:space="preserve"> See </w:t>
            </w:r>
            <w:r w:rsidR="00505D99" w:rsidRPr="00505D99">
              <w:rPr>
                <w:rFonts w:ascii="Arial" w:hAnsi="Arial" w:cs="Arial"/>
                <w:i/>
                <w:sz w:val="20"/>
                <w:szCs w:val="20"/>
              </w:rPr>
              <w:t>Treatment of patients with PAH medicines according to WHO FC status</w:t>
            </w:r>
          </w:p>
        </w:tc>
      </w:tr>
      <w:tr w:rsidR="004F0200" w:rsidRPr="002F3393" w14:paraId="5860D12D" w14:textId="77777777" w:rsidTr="00ED574F">
        <w:tc>
          <w:tcPr>
            <w:tcW w:w="3794" w:type="dxa"/>
          </w:tcPr>
          <w:p w14:paraId="4760C880" w14:textId="77777777" w:rsidR="00574067" w:rsidRPr="00597CA4" w:rsidRDefault="004F0200" w:rsidP="00597CA4">
            <w:pPr>
              <w:tabs>
                <w:tab w:val="left" w:pos="507"/>
              </w:tabs>
              <w:spacing w:before="40" w:afterLines="40" w:after="96" w:line="240" w:lineRule="auto"/>
              <w:rPr>
                <w:rFonts w:ascii="Arial" w:hAnsi="Arial" w:cs="Arial"/>
                <w:sz w:val="20"/>
                <w:szCs w:val="20"/>
              </w:rPr>
            </w:pPr>
            <w:r w:rsidRPr="00597CA4">
              <w:rPr>
                <w:rFonts w:ascii="Arial" w:hAnsi="Arial" w:cs="Arial"/>
                <w:sz w:val="20"/>
                <w:szCs w:val="20"/>
              </w:rPr>
              <w:t>The treatment must be the sole PBS-subsidised PAH agent for this condition</w:t>
            </w:r>
          </w:p>
        </w:tc>
        <w:tc>
          <w:tcPr>
            <w:tcW w:w="1701" w:type="dxa"/>
          </w:tcPr>
          <w:p w14:paraId="66F8A1F3" w14:textId="77777777" w:rsidR="004F0200" w:rsidRPr="009F0D29" w:rsidRDefault="004F0200" w:rsidP="009F0D29">
            <w:pPr>
              <w:spacing w:before="40" w:afterLines="40" w:after="96" w:line="240" w:lineRule="auto"/>
              <w:rPr>
                <w:rFonts w:ascii="Arial" w:hAnsi="Arial" w:cs="Arial"/>
                <w:sz w:val="20"/>
                <w:szCs w:val="20"/>
              </w:rPr>
            </w:pPr>
            <w:r w:rsidRPr="009F0D29">
              <w:rPr>
                <w:rFonts w:ascii="Arial" w:hAnsi="Arial" w:cs="Arial"/>
                <w:sz w:val="20"/>
                <w:szCs w:val="20"/>
              </w:rPr>
              <w:t xml:space="preserve">See </w:t>
            </w:r>
            <w:r w:rsidR="00505D99" w:rsidRPr="00505D99">
              <w:rPr>
                <w:rFonts w:ascii="Arial" w:hAnsi="Arial" w:cs="Arial"/>
                <w:sz w:val="20"/>
                <w:szCs w:val="20"/>
              </w:rPr>
              <w:t>Table 1.7</w:t>
            </w:r>
            <w:r w:rsidR="009F0D29" w:rsidRPr="009F0D29">
              <w:rPr>
                <w:rFonts w:ascii="Arial" w:hAnsi="Arial" w:cs="Arial"/>
                <w:sz w:val="20"/>
                <w:szCs w:val="20"/>
              </w:rPr>
              <w:t>.</w:t>
            </w:r>
          </w:p>
        </w:tc>
        <w:tc>
          <w:tcPr>
            <w:tcW w:w="8679" w:type="dxa"/>
          </w:tcPr>
          <w:p w14:paraId="6B69E41B" w14:textId="77777777" w:rsidR="003F302E" w:rsidRPr="00597CA4" w:rsidRDefault="004F0200" w:rsidP="00597CA4">
            <w:pPr>
              <w:spacing w:before="40" w:afterLines="40" w:after="96" w:line="240" w:lineRule="auto"/>
              <w:rPr>
                <w:rFonts w:ascii="Arial" w:hAnsi="Arial" w:cs="Arial"/>
                <w:sz w:val="20"/>
                <w:szCs w:val="20"/>
              </w:rPr>
            </w:pPr>
            <w:r w:rsidRPr="00597CA4">
              <w:rPr>
                <w:rFonts w:ascii="Arial" w:hAnsi="Arial" w:cs="Arial"/>
                <w:sz w:val="20"/>
                <w:szCs w:val="20"/>
              </w:rPr>
              <w:t>No</w:t>
            </w:r>
            <w:r w:rsidR="00496849" w:rsidRPr="00597CA4">
              <w:rPr>
                <w:rFonts w:ascii="Arial" w:hAnsi="Arial" w:cs="Arial"/>
                <w:sz w:val="20"/>
                <w:szCs w:val="20"/>
              </w:rPr>
              <w:t xml:space="preserve">. </w:t>
            </w:r>
            <w:r w:rsidR="00574067" w:rsidRPr="00597CA4">
              <w:rPr>
                <w:rFonts w:ascii="Arial" w:hAnsi="Arial" w:cs="Arial"/>
                <w:sz w:val="20"/>
                <w:szCs w:val="20"/>
              </w:rPr>
              <w:t xml:space="preserve">See </w:t>
            </w:r>
            <w:r w:rsidR="00505D99" w:rsidRPr="00505D99">
              <w:rPr>
                <w:rFonts w:ascii="Arial" w:hAnsi="Arial" w:cs="Arial"/>
                <w:i/>
                <w:sz w:val="20"/>
                <w:szCs w:val="20"/>
              </w:rPr>
              <w:t>Use of PAH medicines in combination</w:t>
            </w:r>
          </w:p>
        </w:tc>
      </w:tr>
      <w:tr w:rsidR="00BB276C" w:rsidRPr="002F3393" w14:paraId="6E522349" w14:textId="77777777" w:rsidTr="00ED574F">
        <w:tc>
          <w:tcPr>
            <w:tcW w:w="3794" w:type="dxa"/>
          </w:tcPr>
          <w:p w14:paraId="15457E72" w14:textId="77777777" w:rsidR="00BB276C" w:rsidRPr="00597CA4" w:rsidRDefault="00BB276C" w:rsidP="00597CA4">
            <w:pPr>
              <w:tabs>
                <w:tab w:val="left" w:pos="507"/>
              </w:tabs>
              <w:spacing w:before="40" w:afterLines="40" w:after="96" w:line="240" w:lineRule="auto"/>
              <w:rPr>
                <w:rFonts w:ascii="Arial" w:hAnsi="Arial" w:cs="Arial"/>
                <w:sz w:val="20"/>
                <w:szCs w:val="20"/>
              </w:rPr>
            </w:pPr>
            <w:r w:rsidRPr="00597CA4">
              <w:rPr>
                <w:rFonts w:ascii="Arial" w:hAnsi="Arial" w:cs="Arial"/>
                <w:sz w:val="20"/>
                <w:szCs w:val="20"/>
              </w:rPr>
              <w:t>Patients who fail to demonstrate a response to PBS-subsidised treatment with this agent at the time where an assessment is required must cease PBS-subsidised therapy with this agent.</w:t>
            </w:r>
          </w:p>
        </w:tc>
        <w:tc>
          <w:tcPr>
            <w:tcW w:w="1701" w:type="dxa"/>
          </w:tcPr>
          <w:p w14:paraId="26109FC0" w14:textId="77777777" w:rsidR="00BB276C" w:rsidRPr="009F0D29" w:rsidRDefault="00BB276C" w:rsidP="009F0D29">
            <w:pPr>
              <w:spacing w:before="40" w:afterLines="40" w:after="96" w:line="240" w:lineRule="auto"/>
              <w:rPr>
                <w:rFonts w:ascii="Arial" w:hAnsi="Arial" w:cs="Arial"/>
                <w:sz w:val="20"/>
                <w:szCs w:val="20"/>
              </w:rPr>
            </w:pPr>
            <w:r w:rsidRPr="009F0D29">
              <w:rPr>
                <w:rFonts w:ascii="Arial" w:hAnsi="Arial" w:cs="Arial"/>
                <w:sz w:val="20"/>
                <w:szCs w:val="20"/>
              </w:rPr>
              <w:t xml:space="preserve">See </w:t>
            </w:r>
            <w:r w:rsidR="00505D99" w:rsidRPr="00505D99">
              <w:rPr>
                <w:rFonts w:ascii="Arial" w:hAnsi="Arial" w:cs="Arial"/>
                <w:sz w:val="20"/>
                <w:szCs w:val="20"/>
              </w:rPr>
              <w:t>Table 1.7</w:t>
            </w:r>
            <w:r w:rsidR="009F0D29" w:rsidRPr="009F0D29">
              <w:rPr>
                <w:rFonts w:ascii="Arial" w:hAnsi="Arial" w:cs="Arial"/>
                <w:sz w:val="20"/>
                <w:szCs w:val="20"/>
              </w:rPr>
              <w:t>.</w:t>
            </w:r>
          </w:p>
        </w:tc>
        <w:tc>
          <w:tcPr>
            <w:tcW w:w="8679" w:type="dxa"/>
          </w:tcPr>
          <w:p w14:paraId="66CD5566" w14:textId="77777777" w:rsidR="00BB276C" w:rsidRPr="00597CA4" w:rsidRDefault="00B15FF7" w:rsidP="00597CA4">
            <w:pPr>
              <w:spacing w:before="40" w:afterLines="40" w:after="96" w:line="240" w:lineRule="auto"/>
              <w:rPr>
                <w:rFonts w:ascii="Arial" w:hAnsi="Arial" w:cs="Arial"/>
                <w:sz w:val="20"/>
                <w:szCs w:val="20"/>
              </w:rPr>
            </w:pPr>
            <w:r w:rsidRPr="00597CA4">
              <w:rPr>
                <w:rFonts w:ascii="Arial" w:hAnsi="Arial" w:cs="Arial"/>
                <w:sz w:val="20"/>
                <w:szCs w:val="20"/>
              </w:rPr>
              <w:t>No</w:t>
            </w:r>
            <w:r w:rsidR="00496849" w:rsidRPr="00597CA4">
              <w:rPr>
                <w:rFonts w:ascii="Arial" w:hAnsi="Arial" w:cs="Arial"/>
                <w:sz w:val="20"/>
                <w:szCs w:val="20"/>
              </w:rPr>
              <w:t xml:space="preserve">. </w:t>
            </w:r>
            <w:r w:rsidR="00574067" w:rsidRPr="00597CA4">
              <w:rPr>
                <w:rFonts w:ascii="Arial" w:hAnsi="Arial" w:cs="Arial"/>
                <w:sz w:val="20"/>
                <w:szCs w:val="20"/>
              </w:rPr>
              <w:t xml:space="preserve">See </w:t>
            </w:r>
            <w:r w:rsidR="00505D99" w:rsidRPr="00505D99">
              <w:rPr>
                <w:rFonts w:ascii="Arial" w:hAnsi="Arial" w:cs="Arial"/>
                <w:i/>
                <w:sz w:val="20"/>
                <w:szCs w:val="20"/>
              </w:rPr>
              <w:t>Use of PAH medicines in combination</w:t>
            </w:r>
          </w:p>
        </w:tc>
      </w:tr>
      <w:tr w:rsidR="00BB276C" w:rsidRPr="002F3393" w14:paraId="1CD5A80F" w14:textId="77777777" w:rsidTr="00ED574F">
        <w:trPr>
          <w:cantSplit/>
        </w:trPr>
        <w:tc>
          <w:tcPr>
            <w:tcW w:w="3794" w:type="dxa"/>
          </w:tcPr>
          <w:p w14:paraId="6020A3AD" w14:textId="77777777" w:rsidR="00BB276C" w:rsidRPr="00597CA4" w:rsidRDefault="00BB276C" w:rsidP="00597CA4">
            <w:pPr>
              <w:tabs>
                <w:tab w:val="left" w:pos="507"/>
              </w:tabs>
              <w:spacing w:before="40" w:afterLines="40" w:after="96" w:line="240" w:lineRule="auto"/>
              <w:rPr>
                <w:rFonts w:ascii="Arial" w:hAnsi="Arial" w:cs="Arial"/>
                <w:sz w:val="20"/>
                <w:szCs w:val="20"/>
              </w:rPr>
            </w:pPr>
            <w:r w:rsidRPr="00597CA4">
              <w:rPr>
                <w:rFonts w:ascii="Arial" w:hAnsi="Arial" w:cs="Arial"/>
                <w:sz w:val="20"/>
                <w:szCs w:val="20"/>
              </w:rPr>
              <w:t xml:space="preserve">The maximum quantity authorised will be limited to provide sufficient supply for 1 month of treatment, based on the </w:t>
            </w:r>
            <w:r w:rsidRPr="00597CA4">
              <w:rPr>
                <w:rFonts w:ascii="Arial" w:hAnsi="Arial" w:cs="Arial"/>
                <w:sz w:val="20"/>
                <w:szCs w:val="20"/>
              </w:rPr>
              <w:lastRenderedPageBreak/>
              <w:t>dosage recommendations in the TGA approved Product Information.</w:t>
            </w:r>
          </w:p>
          <w:p w14:paraId="5F33FCF0" w14:textId="77777777" w:rsidR="00BB276C" w:rsidRPr="00597CA4" w:rsidRDefault="00BB276C" w:rsidP="00597CA4">
            <w:pPr>
              <w:tabs>
                <w:tab w:val="left" w:pos="507"/>
              </w:tabs>
              <w:spacing w:before="40" w:afterLines="40" w:after="96" w:line="240" w:lineRule="auto"/>
              <w:rPr>
                <w:rFonts w:ascii="Arial" w:hAnsi="Arial" w:cs="Arial"/>
                <w:sz w:val="20"/>
                <w:szCs w:val="20"/>
              </w:rPr>
            </w:pPr>
            <w:r w:rsidRPr="00597CA4">
              <w:rPr>
                <w:rFonts w:ascii="Arial" w:hAnsi="Arial" w:cs="Arial"/>
                <w:sz w:val="20"/>
                <w:szCs w:val="20"/>
              </w:rPr>
              <w:t>A maximum of 5 repeats will be authorised.</w:t>
            </w:r>
          </w:p>
        </w:tc>
        <w:tc>
          <w:tcPr>
            <w:tcW w:w="1701" w:type="dxa"/>
          </w:tcPr>
          <w:p w14:paraId="687B5BE7" w14:textId="77777777" w:rsidR="00BB276C" w:rsidRPr="00597CA4" w:rsidRDefault="00BB276C" w:rsidP="00597CA4">
            <w:pPr>
              <w:spacing w:before="40" w:afterLines="40" w:after="96" w:line="240" w:lineRule="auto"/>
              <w:rPr>
                <w:rFonts w:ascii="Arial" w:hAnsi="Arial" w:cs="Arial"/>
                <w:sz w:val="20"/>
                <w:szCs w:val="20"/>
              </w:rPr>
            </w:pPr>
            <w:r w:rsidRPr="00597CA4">
              <w:rPr>
                <w:rFonts w:ascii="Arial" w:hAnsi="Arial" w:cs="Arial"/>
                <w:sz w:val="20"/>
                <w:szCs w:val="20"/>
              </w:rPr>
              <w:lastRenderedPageBreak/>
              <w:t>‒</w:t>
            </w:r>
          </w:p>
        </w:tc>
        <w:tc>
          <w:tcPr>
            <w:tcW w:w="8679" w:type="dxa"/>
          </w:tcPr>
          <w:p w14:paraId="5F818927" w14:textId="77777777" w:rsidR="00357D64" w:rsidRDefault="00B15FF7" w:rsidP="00357D64">
            <w:pPr>
              <w:spacing w:before="40" w:afterLines="40" w:after="96" w:line="240" w:lineRule="auto"/>
              <w:rPr>
                <w:rFonts w:ascii="Arial" w:hAnsi="Arial" w:cs="Arial"/>
                <w:b/>
                <w:sz w:val="20"/>
                <w:szCs w:val="20"/>
              </w:rPr>
            </w:pPr>
            <w:r w:rsidRPr="00597CA4">
              <w:rPr>
                <w:rFonts w:ascii="Arial" w:hAnsi="Arial" w:cs="Arial"/>
                <w:sz w:val="20"/>
                <w:szCs w:val="20"/>
              </w:rPr>
              <w:t xml:space="preserve">Comment: </w:t>
            </w:r>
            <w:r w:rsidR="00BB276C" w:rsidRPr="00597CA4">
              <w:rPr>
                <w:rFonts w:ascii="Arial" w:hAnsi="Arial" w:cs="Arial"/>
                <w:sz w:val="20"/>
                <w:szCs w:val="20"/>
              </w:rPr>
              <w:t xml:space="preserve">As with most PBS listings for chronic conditions, each PAH authority application is intended to provide six months’ treatment, that is, a maximum quantity of one month’s supply per script plus five repeats. The PAH listings include a statement that one month’s </w:t>
            </w:r>
            <w:r w:rsidR="00BB276C" w:rsidRPr="00597CA4">
              <w:rPr>
                <w:rFonts w:ascii="Arial" w:hAnsi="Arial" w:cs="Arial"/>
                <w:sz w:val="20"/>
                <w:szCs w:val="20"/>
              </w:rPr>
              <w:lastRenderedPageBreak/>
              <w:t xml:space="preserve">treatment must be defined according to the information in the approved TGA Product Information. Normally this </w:t>
            </w:r>
            <w:proofErr w:type="gramStart"/>
            <w:r w:rsidR="00BB276C" w:rsidRPr="00597CA4">
              <w:rPr>
                <w:rFonts w:ascii="Arial" w:hAnsi="Arial" w:cs="Arial"/>
                <w:sz w:val="20"/>
                <w:szCs w:val="20"/>
              </w:rPr>
              <w:t>would be left</w:t>
            </w:r>
            <w:proofErr w:type="gramEnd"/>
            <w:r w:rsidR="00BB276C" w:rsidRPr="00597CA4">
              <w:rPr>
                <w:rFonts w:ascii="Arial" w:hAnsi="Arial" w:cs="Arial"/>
                <w:sz w:val="20"/>
                <w:szCs w:val="20"/>
              </w:rPr>
              <w:t xml:space="preserve"> to prescribers to manage in the course of clinical practice. It is not stated how this should be defined for PAH items that allow for (or are silent on) paediatric use but where the PI only provides dosing information for adults. In cases where the proposed amount is insufficient, prescribers must use a balance of supply item to prescribe the remainder to make up the total for a </w:t>
            </w:r>
            <w:proofErr w:type="gramStart"/>
            <w:r w:rsidR="00BB276C" w:rsidRPr="00597CA4">
              <w:rPr>
                <w:rFonts w:ascii="Arial" w:hAnsi="Arial" w:cs="Arial"/>
                <w:sz w:val="20"/>
                <w:szCs w:val="20"/>
              </w:rPr>
              <w:t>6 month</w:t>
            </w:r>
            <w:proofErr w:type="gramEnd"/>
            <w:r w:rsidR="00BB276C" w:rsidRPr="00597CA4">
              <w:rPr>
                <w:rFonts w:ascii="Arial" w:hAnsi="Arial" w:cs="Arial"/>
                <w:sz w:val="20"/>
                <w:szCs w:val="20"/>
              </w:rPr>
              <w:t xml:space="preserve"> course. Many of the </w:t>
            </w:r>
            <w:r w:rsidR="00F95235" w:rsidRPr="00597CA4">
              <w:rPr>
                <w:rFonts w:ascii="Arial" w:hAnsi="Arial" w:cs="Arial"/>
                <w:sz w:val="20"/>
                <w:szCs w:val="20"/>
              </w:rPr>
              <w:t>PAH medicines</w:t>
            </w:r>
            <w:r w:rsidR="00BB276C" w:rsidRPr="00597CA4">
              <w:rPr>
                <w:rFonts w:ascii="Arial" w:hAnsi="Arial" w:cs="Arial"/>
                <w:sz w:val="20"/>
                <w:szCs w:val="20"/>
              </w:rPr>
              <w:t xml:space="preserve"> require dose adjustment or dose titration, but it is not known whether this leads to repeated use of the balan</w:t>
            </w:r>
            <w:r w:rsidR="00EE1F96">
              <w:rPr>
                <w:rFonts w:ascii="Arial" w:hAnsi="Arial" w:cs="Arial"/>
                <w:sz w:val="20"/>
                <w:szCs w:val="20"/>
              </w:rPr>
              <w:t>ce of supply items in practice.</w:t>
            </w:r>
          </w:p>
          <w:p w14:paraId="07778E04" w14:textId="77777777" w:rsidR="00505D99" w:rsidRPr="00505D99" w:rsidRDefault="00B15FF7" w:rsidP="00505D99">
            <w:pPr>
              <w:spacing w:before="40" w:afterLines="40" w:after="96" w:line="240" w:lineRule="auto"/>
              <w:rPr>
                <w:rFonts w:ascii="Arial" w:hAnsi="Arial" w:cs="Arial"/>
                <w:i/>
                <w:sz w:val="20"/>
                <w:szCs w:val="20"/>
              </w:rPr>
            </w:pPr>
            <w:r w:rsidRPr="00597CA4">
              <w:rPr>
                <w:rFonts w:ascii="Arial" w:hAnsi="Arial" w:cs="Arial"/>
                <w:sz w:val="20"/>
                <w:szCs w:val="20"/>
              </w:rPr>
              <w:t xml:space="preserve">The guidelines make almost no dosing recommendations, with the exception of those discussed in the text regarding sildenafil </w:t>
            </w:r>
            <w:r w:rsidR="00CC7275" w:rsidRPr="00597CA4">
              <w:rPr>
                <w:rFonts w:ascii="Arial" w:hAnsi="Arial" w:cs="Arial"/>
                <w:sz w:val="20"/>
                <w:szCs w:val="20"/>
              </w:rPr>
              <w:t xml:space="preserve">– see </w:t>
            </w:r>
            <w:r w:rsidR="00505D99" w:rsidRPr="00505D99">
              <w:rPr>
                <w:rFonts w:ascii="Arial" w:eastAsia="Calibri" w:hAnsi="Arial" w:cs="Arial"/>
                <w:i/>
                <w:sz w:val="20"/>
                <w:szCs w:val="20"/>
              </w:rPr>
              <w:t>Dosage</w:t>
            </w:r>
          </w:p>
          <w:p w14:paraId="108FD1B3" w14:textId="77777777" w:rsidR="00505D99" w:rsidRPr="00505D99" w:rsidRDefault="00505D99" w:rsidP="00505D99">
            <w:pPr>
              <w:spacing w:before="40" w:afterLines="40" w:after="96" w:line="240" w:lineRule="auto"/>
              <w:rPr>
                <w:rFonts w:ascii="Arial" w:hAnsi="Arial" w:cs="Arial"/>
              </w:rPr>
            </w:pPr>
            <w:r w:rsidRPr="00505D99">
              <w:rPr>
                <w:rFonts w:ascii="Arial" w:eastAsia="Calibri" w:hAnsi="Arial" w:cs="Arial"/>
                <w:i/>
                <w:sz w:val="20"/>
                <w:szCs w:val="20"/>
              </w:rPr>
              <w:t>Current PBS requirement</w:t>
            </w:r>
          </w:p>
          <w:p w14:paraId="786C73E0" w14:textId="77777777" w:rsidR="00505D99" w:rsidRPr="00505D99" w:rsidRDefault="00505D99" w:rsidP="00505D99">
            <w:pPr>
              <w:spacing w:before="40" w:afterLines="40" w:after="96" w:line="240" w:lineRule="auto"/>
              <w:rPr>
                <w:rFonts w:ascii="Arial" w:hAnsi="Arial" w:cs="Arial"/>
                <w:sz w:val="20"/>
                <w:szCs w:val="20"/>
              </w:rPr>
            </w:pPr>
            <w:r w:rsidRPr="00505D99">
              <w:rPr>
                <w:rFonts w:ascii="Arial" w:hAnsi="Arial" w:cs="Arial"/>
                <w:sz w:val="20"/>
                <w:szCs w:val="20"/>
              </w:rPr>
              <w:t>The current PBS restrictions specify that doses to inform maximum quantities for prescribing are limited to the recommended dose in the approved PI.</w:t>
            </w:r>
          </w:p>
          <w:p w14:paraId="73A64CE3" w14:textId="77777777" w:rsidR="00505D99" w:rsidRPr="00505D99" w:rsidRDefault="00505D99" w:rsidP="00505D99">
            <w:pPr>
              <w:spacing w:before="40" w:afterLines="40" w:after="96" w:line="240" w:lineRule="auto"/>
              <w:rPr>
                <w:rFonts w:ascii="Arial" w:hAnsi="Arial" w:cs="Arial"/>
                <w:sz w:val="20"/>
                <w:szCs w:val="20"/>
              </w:rPr>
            </w:pPr>
            <w:r w:rsidRPr="00505D99">
              <w:rPr>
                <w:rFonts w:ascii="Arial" w:eastAsia="Calibri" w:hAnsi="Arial" w:cs="Arial"/>
                <w:sz w:val="20"/>
                <w:szCs w:val="20"/>
                <w:u w:val="single"/>
              </w:rPr>
              <w:t>Guideline recommendations</w:t>
            </w:r>
          </w:p>
          <w:p w14:paraId="4DE08BB0" w14:textId="77777777" w:rsidR="00505D99" w:rsidRPr="00505D99" w:rsidRDefault="00505D99" w:rsidP="00505D99">
            <w:pPr>
              <w:spacing w:before="40" w:afterLines="40" w:after="96" w:line="240" w:lineRule="auto"/>
              <w:rPr>
                <w:rFonts w:ascii="Arial" w:hAnsi="Arial" w:cs="Arial"/>
                <w:sz w:val="20"/>
                <w:szCs w:val="20"/>
              </w:rPr>
            </w:pPr>
            <w:r w:rsidRPr="00505D99">
              <w:rPr>
                <w:rFonts w:ascii="Arial" w:hAnsi="Arial" w:cs="Arial"/>
                <w:sz w:val="20"/>
                <w:szCs w:val="20"/>
              </w:rPr>
              <w:t xml:space="preserve">The majority of guideline recommendations are to do with choice of agent rather than the dose. The </w:t>
            </w:r>
            <w:r w:rsidR="008F6AA4">
              <w:rPr>
                <w:rFonts w:ascii="Arial" w:hAnsi="Arial" w:cs="Arial"/>
                <w:sz w:val="20"/>
                <w:szCs w:val="20"/>
              </w:rPr>
              <w:t>2015 ESC/ERS Guidelines</w:t>
            </w:r>
            <w:r w:rsidRPr="00505D99">
              <w:rPr>
                <w:rFonts w:ascii="Arial" w:hAnsi="Arial" w:cs="Arial"/>
                <w:sz w:val="20"/>
                <w:szCs w:val="20"/>
              </w:rPr>
              <w:t xml:space="preserve"> report doses that </w:t>
            </w:r>
            <w:proofErr w:type="gramStart"/>
            <w:r w:rsidRPr="00505D99">
              <w:rPr>
                <w:rFonts w:ascii="Arial" w:hAnsi="Arial" w:cs="Arial"/>
                <w:sz w:val="20"/>
                <w:szCs w:val="20"/>
              </w:rPr>
              <w:t>are approved</w:t>
            </w:r>
            <w:proofErr w:type="gramEnd"/>
            <w:r w:rsidRPr="00505D99">
              <w:rPr>
                <w:rFonts w:ascii="Arial" w:hAnsi="Arial" w:cs="Arial"/>
                <w:sz w:val="20"/>
                <w:szCs w:val="20"/>
              </w:rPr>
              <w:t xml:space="preserve"> by regulators or that have been effective in clinical trials, but makes no dosing or dose adjustment recommendations aside from those regarding use of sildenafil in children.</w:t>
            </w:r>
          </w:p>
          <w:p w14:paraId="3A5BB614" w14:textId="77777777" w:rsidR="00505D99" w:rsidRPr="00505D99" w:rsidRDefault="00505D99" w:rsidP="00505D99">
            <w:pPr>
              <w:spacing w:before="40" w:afterLines="40" w:after="96" w:line="240" w:lineRule="auto"/>
              <w:rPr>
                <w:rFonts w:ascii="Arial" w:hAnsi="Arial" w:cs="Arial"/>
                <w:sz w:val="20"/>
                <w:szCs w:val="20"/>
              </w:rPr>
            </w:pPr>
            <w:r w:rsidRPr="00505D99">
              <w:rPr>
                <w:rFonts w:ascii="Arial" w:hAnsi="Arial" w:cs="Arial"/>
                <w:sz w:val="20"/>
                <w:szCs w:val="20"/>
              </w:rPr>
              <w:t>The CHEST guideline</w:t>
            </w:r>
            <w:r w:rsidRPr="007B459D">
              <w:rPr>
                <w:rFonts w:ascii="Arial" w:hAnsi="Arial" w:cs="Arial"/>
                <w:sz w:val="20"/>
                <w:szCs w:val="20"/>
                <w:vertAlign w:val="superscript"/>
              </w:rPr>
              <w:t>19</w:t>
            </w:r>
            <w:r w:rsidRPr="00505D99">
              <w:rPr>
                <w:rFonts w:ascii="Arial" w:hAnsi="Arial" w:cs="Arial"/>
                <w:sz w:val="20"/>
                <w:szCs w:val="20"/>
              </w:rPr>
              <w:t xml:space="preserve"> also makes few comments with respect to dose adjustments – the only one of note relates to sildenafi</w:t>
            </w:r>
            <w:r w:rsidR="00EE1F96">
              <w:rPr>
                <w:rFonts w:ascii="Arial" w:hAnsi="Arial" w:cs="Arial"/>
                <w:sz w:val="20"/>
                <w:szCs w:val="20"/>
              </w:rPr>
              <w:t>l in adults (below).</w:t>
            </w:r>
          </w:p>
          <w:p w14:paraId="6B65009E" w14:textId="77777777" w:rsidR="00B15FF7" w:rsidRPr="00597CA4" w:rsidRDefault="00505D99" w:rsidP="00597CA4">
            <w:pPr>
              <w:spacing w:before="40" w:afterLines="40" w:after="96" w:line="240" w:lineRule="auto"/>
              <w:rPr>
                <w:rFonts w:ascii="Arial" w:hAnsi="Arial" w:cs="Arial"/>
                <w:sz w:val="20"/>
                <w:szCs w:val="20"/>
              </w:rPr>
            </w:pPr>
            <w:r w:rsidRPr="00505D99">
              <w:rPr>
                <w:rFonts w:ascii="Arial" w:hAnsi="Arial" w:cs="Arial"/>
                <w:sz w:val="20"/>
                <w:szCs w:val="20"/>
              </w:rPr>
              <w:t>Note regarding sildenafil dosage</w:t>
            </w:r>
            <w:r w:rsidR="00CC7275" w:rsidRPr="00597CA4">
              <w:rPr>
                <w:rFonts w:ascii="Arial" w:hAnsi="Arial" w:cs="Arial"/>
                <w:sz w:val="20"/>
                <w:szCs w:val="20"/>
              </w:rPr>
              <w:t xml:space="preserve"> (adults) and </w:t>
            </w:r>
            <w:r w:rsidRPr="00505D99">
              <w:rPr>
                <w:rFonts w:ascii="Arial" w:hAnsi="Arial" w:cs="Arial"/>
                <w:i/>
                <w:sz w:val="20"/>
                <w:szCs w:val="20"/>
              </w:rPr>
              <w:t>Use of sildenafil for PAH in children</w:t>
            </w:r>
            <w:r w:rsidR="00CC7275" w:rsidRPr="00597CA4">
              <w:rPr>
                <w:rFonts w:ascii="Arial" w:hAnsi="Arial" w:cs="Arial"/>
                <w:sz w:val="20"/>
                <w:szCs w:val="20"/>
              </w:rPr>
              <w:t xml:space="preserve"> (children)</w:t>
            </w:r>
          </w:p>
        </w:tc>
      </w:tr>
      <w:tr w:rsidR="004F0200" w:rsidRPr="002F3393" w14:paraId="3726D3C3" w14:textId="77777777" w:rsidTr="00ED574F">
        <w:tc>
          <w:tcPr>
            <w:tcW w:w="3794" w:type="dxa"/>
          </w:tcPr>
          <w:p w14:paraId="4B9D0843" w14:textId="77777777" w:rsidR="004F0200" w:rsidRPr="00597CA4" w:rsidRDefault="004F0200" w:rsidP="00597CA4">
            <w:pPr>
              <w:tabs>
                <w:tab w:val="left" w:pos="507"/>
              </w:tabs>
              <w:spacing w:before="40" w:afterLines="40" w:after="96" w:line="240" w:lineRule="auto"/>
              <w:rPr>
                <w:rFonts w:ascii="Arial" w:hAnsi="Arial" w:cs="Arial"/>
                <w:sz w:val="20"/>
                <w:szCs w:val="20"/>
              </w:rPr>
            </w:pPr>
            <w:r w:rsidRPr="00597CA4">
              <w:rPr>
                <w:rFonts w:ascii="Arial" w:hAnsi="Arial" w:cs="Arial"/>
                <w:sz w:val="20"/>
                <w:szCs w:val="20"/>
              </w:rPr>
              <w:lastRenderedPageBreak/>
              <w:t>PAH agents are not PBS-subsidised for patients with pulmonary hypertension secondary to interstitial lung disease associated with connective tissue disease, where the total lung capacity is less than 70% of predicted.</w:t>
            </w:r>
          </w:p>
        </w:tc>
        <w:tc>
          <w:tcPr>
            <w:tcW w:w="1701" w:type="dxa"/>
          </w:tcPr>
          <w:p w14:paraId="6252D0BF" w14:textId="77777777" w:rsidR="004F0200" w:rsidRPr="00597CA4" w:rsidRDefault="004F0200" w:rsidP="00597CA4">
            <w:pPr>
              <w:spacing w:before="40" w:afterLines="40" w:after="96" w:line="240" w:lineRule="auto"/>
              <w:rPr>
                <w:rFonts w:ascii="Arial" w:hAnsi="Arial" w:cs="Arial"/>
                <w:sz w:val="20"/>
                <w:szCs w:val="20"/>
              </w:rPr>
            </w:pPr>
            <w:r w:rsidRPr="00597CA4">
              <w:rPr>
                <w:rFonts w:ascii="Arial" w:hAnsi="Arial" w:cs="Arial"/>
                <w:sz w:val="20"/>
                <w:szCs w:val="20"/>
              </w:rPr>
              <w:t>‒</w:t>
            </w:r>
          </w:p>
        </w:tc>
        <w:tc>
          <w:tcPr>
            <w:tcW w:w="8679" w:type="dxa"/>
          </w:tcPr>
          <w:p w14:paraId="1E1F2A7F" w14:textId="77777777" w:rsidR="001F4168" w:rsidRPr="00597CA4" w:rsidRDefault="004F0200" w:rsidP="00597CA4">
            <w:pPr>
              <w:spacing w:before="40" w:afterLines="40" w:after="96" w:line="240" w:lineRule="auto"/>
              <w:rPr>
                <w:rFonts w:ascii="Arial" w:hAnsi="Arial" w:cs="Arial"/>
                <w:sz w:val="20"/>
                <w:szCs w:val="20"/>
              </w:rPr>
            </w:pPr>
            <w:r w:rsidRPr="00597CA4">
              <w:rPr>
                <w:rFonts w:ascii="Arial" w:hAnsi="Arial" w:cs="Arial"/>
                <w:sz w:val="20"/>
                <w:szCs w:val="20"/>
              </w:rPr>
              <w:t xml:space="preserve">Yes, however, it is not clear why this but </w:t>
            </w:r>
            <w:proofErr w:type="spellStart"/>
            <w:r w:rsidRPr="00597CA4">
              <w:rPr>
                <w:rFonts w:ascii="Arial" w:hAnsi="Arial" w:cs="Arial"/>
                <w:sz w:val="20"/>
                <w:szCs w:val="20"/>
              </w:rPr>
              <w:t>not</w:t>
            </w:r>
            <w:proofErr w:type="spellEnd"/>
            <w:r w:rsidRPr="00597CA4">
              <w:rPr>
                <w:rFonts w:ascii="Arial" w:hAnsi="Arial" w:cs="Arial"/>
                <w:sz w:val="20"/>
                <w:szCs w:val="20"/>
              </w:rPr>
              <w:t xml:space="preserve"> other ‘non-Group 1’ PH condit</w:t>
            </w:r>
            <w:r w:rsidR="00EE1F96">
              <w:rPr>
                <w:rFonts w:ascii="Arial" w:hAnsi="Arial" w:cs="Arial"/>
                <w:sz w:val="20"/>
                <w:szCs w:val="20"/>
              </w:rPr>
              <w:t>ions are included in this note.</w:t>
            </w:r>
          </w:p>
          <w:p w14:paraId="2CAE0E53" w14:textId="77777777" w:rsidR="004F0200" w:rsidRDefault="001F4168" w:rsidP="00357D64">
            <w:pPr>
              <w:spacing w:before="40" w:afterLines="40" w:after="96" w:line="240" w:lineRule="auto"/>
              <w:rPr>
                <w:rFonts w:ascii="Arial" w:hAnsi="Arial" w:cs="Arial"/>
                <w:sz w:val="20"/>
                <w:szCs w:val="20"/>
              </w:rPr>
            </w:pPr>
            <w:r w:rsidRPr="00597CA4">
              <w:rPr>
                <w:rFonts w:ascii="Arial" w:hAnsi="Arial" w:cs="Arial"/>
                <w:sz w:val="20"/>
                <w:szCs w:val="20"/>
              </w:rPr>
              <w:t xml:space="preserve">PH due to interstitial lung disease is a WHO Group 3 condition. It is one of a number of conditions, such as CTEPH, PPHN or PH due to left heart disease, for which treatment recommendations are different to those for WHO Group 1 causes of PAH. No other conditions are included in this restriction note. </w:t>
            </w:r>
            <w:r w:rsidR="004F0200" w:rsidRPr="00597CA4">
              <w:rPr>
                <w:rFonts w:ascii="Arial" w:hAnsi="Arial" w:cs="Arial"/>
                <w:sz w:val="20"/>
                <w:szCs w:val="20"/>
              </w:rPr>
              <w:t>This statement dates from the original March 2004 listing of bosentan</w:t>
            </w:r>
            <w:r w:rsidR="00357D64">
              <w:rPr>
                <w:rFonts w:ascii="Arial" w:hAnsi="Arial" w:cs="Arial"/>
                <w:sz w:val="20"/>
                <w:szCs w:val="20"/>
              </w:rPr>
              <w:t>.</w:t>
            </w:r>
          </w:p>
          <w:p w14:paraId="2C6844DE" w14:textId="77777777" w:rsidR="00357D64" w:rsidRPr="00597CA4" w:rsidRDefault="00357D64" w:rsidP="00357D64">
            <w:pPr>
              <w:spacing w:before="40" w:afterLines="40" w:after="96" w:line="240" w:lineRule="auto"/>
              <w:rPr>
                <w:rFonts w:ascii="Arial" w:hAnsi="Arial" w:cs="Arial"/>
                <w:sz w:val="20"/>
                <w:szCs w:val="20"/>
              </w:rPr>
            </w:pPr>
          </w:p>
        </w:tc>
      </w:tr>
    </w:tbl>
    <w:p w14:paraId="6796B4E2" w14:textId="77777777" w:rsidR="001F4168" w:rsidRDefault="001F4168" w:rsidP="00121658">
      <w:pPr>
        <w:spacing w:before="0" w:line="240" w:lineRule="auto"/>
        <w:rPr>
          <w:sz w:val="8"/>
          <w:szCs w:val="16"/>
        </w:rPr>
      </w:pPr>
      <w:r>
        <w:rPr>
          <w:sz w:val="8"/>
          <w:szCs w:val="16"/>
        </w:rPr>
        <w:br w:type="page"/>
      </w:r>
    </w:p>
    <w:p w14:paraId="1BA6222A" w14:textId="77777777" w:rsidR="001F4168" w:rsidRPr="00FC25C7" w:rsidRDefault="00F75B8B" w:rsidP="00F75B8B">
      <w:pPr>
        <w:pStyle w:val="Caption"/>
      </w:pPr>
      <w:bookmarkStart w:id="227" w:name="_Ref510796067"/>
      <w:bookmarkStart w:id="228" w:name="_Toc29377264"/>
      <w:r w:rsidRPr="00FC25C7">
        <w:lastRenderedPageBreak/>
        <w:t>Table 1.</w:t>
      </w:r>
      <w:r w:rsidR="00505D99" w:rsidRPr="00FC25C7">
        <w:rPr>
          <w:noProof/>
        </w:rPr>
        <w:t>18</w:t>
      </w:r>
      <w:bookmarkEnd w:id="227"/>
      <w:r w:rsidRPr="00FC25C7">
        <w:tab/>
        <w:t>PBS criteria for vasodilator therapy</w:t>
      </w:r>
      <w:r w:rsidR="00876752" w:rsidRPr="00FC25C7">
        <w:t xml:space="preserve"> </w:t>
      </w:r>
      <w:r w:rsidR="003E052A" w:rsidRPr="00FC25C7">
        <w:t>with CCBs</w:t>
      </w:r>
      <w:bookmarkEnd w:id="228"/>
    </w:p>
    <w:tbl>
      <w:tblPr>
        <w:tblStyle w:val="TableGrid7"/>
        <w:tblpPr w:leftFromText="180" w:rightFromText="180" w:vertAnchor="text" w:tblpY="1"/>
        <w:tblOverlap w:val="never"/>
        <w:tblW w:w="0" w:type="auto"/>
        <w:tblLook w:val="04A0" w:firstRow="1" w:lastRow="0" w:firstColumn="1" w:lastColumn="0" w:noHBand="0" w:noVBand="1"/>
        <w:tblCaption w:val="PBS criteria for vasodilator therapy"/>
      </w:tblPr>
      <w:tblGrid>
        <w:gridCol w:w="5805"/>
        <w:gridCol w:w="2006"/>
        <w:gridCol w:w="6137"/>
      </w:tblGrid>
      <w:tr w:rsidR="001F4168" w:rsidRPr="00FC25C7" w14:paraId="3CF4E927" w14:textId="77777777" w:rsidTr="00B572F4">
        <w:trPr>
          <w:tblHeader/>
        </w:trPr>
        <w:tc>
          <w:tcPr>
            <w:tcW w:w="6062" w:type="dxa"/>
            <w:shd w:val="clear" w:color="auto" w:fill="BFBFBF" w:themeFill="background1" w:themeFillShade="BF"/>
          </w:tcPr>
          <w:p w14:paraId="4F79537D" w14:textId="77777777" w:rsidR="001F4168" w:rsidRPr="00FC25C7" w:rsidRDefault="001F4168" w:rsidP="00597CA4">
            <w:pPr>
              <w:tabs>
                <w:tab w:val="left" w:pos="507"/>
              </w:tabs>
              <w:spacing w:beforeLines="40" w:before="96" w:after="40" w:line="240" w:lineRule="auto"/>
              <w:rPr>
                <w:rFonts w:ascii="Arial" w:hAnsi="Arial" w:cs="Arial"/>
                <w:b/>
                <w:sz w:val="20"/>
                <w:szCs w:val="20"/>
              </w:rPr>
            </w:pPr>
            <w:r w:rsidRPr="00FC25C7">
              <w:rPr>
                <w:rFonts w:ascii="Arial" w:hAnsi="Arial" w:cs="Arial"/>
                <w:b/>
                <w:sz w:val="20"/>
                <w:szCs w:val="20"/>
              </w:rPr>
              <w:t>Clinical or Prescribing Instruction</w:t>
            </w:r>
          </w:p>
        </w:tc>
        <w:tc>
          <w:tcPr>
            <w:tcW w:w="1701" w:type="dxa"/>
            <w:shd w:val="clear" w:color="auto" w:fill="BFBFBF" w:themeFill="background1" w:themeFillShade="BF"/>
          </w:tcPr>
          <w:p w14:paraId="7C84BF05" w14:textId="77777777" w:rsidR="001F4168" w:rsidRPr="00FC25C7" w:rsidRDefault="001F4168" w:rsidP="00597CA4">
            <w:pPr>
              <w:spacing w:beforeLines="40" w:before="96" w:after="40" w:line="240" w:lineRule="auto"/>
              <w:rPr>
                <w:rFonts w:ascii="Arial" w:hAnsi="Arial" w:cs="Arial"/>
                <w:b/>
                <w:sz w:val="20"/>
                <w:szCs w:val="20"/>
              </w:rPr>
            </w:pPr>
            <w:r w:rsidRPr="00FC25C7">
              <w:rPr>
                <w:rFonts w:ascii="Arial" w:hAnsi="Arial" w:cs="Arial"/>
                <w:b/>
                <w:sz w:val="20"/>
                <w:szCs w:val="20"/>
              </w:rPr>
              <w:t>Guideline Recommendations</w:t>
            </w:r>
          </w:p>
        </w:tc>
        <w:tc>
          <w:tcPr>
            <w:tcW w:w="6411" w:type="dxa"/>
            <w:shd w:val="clear" w:color="auto" w:fill="BFBFBF" w:themeFill="background1" w:themeFillShade="BF"/>
          </w:tcPr>
          <w:p w14:paraId="0BA11024" w14:textId="77777777" w:rsidR="001F4168" w:rsidRPr="00FC25C7" w:rsidRDefault="001F4168" w:rsidP="00597CA4">
            <w:pPr>
              <w:spacing w:beforeLines="40" w:before="96" w:after="40" w:line="240" w:lineRule="auto"/>
              <w:rPr>
                <w:rFonts w:ascii="Arial" w:hAnsi="Arial" w:cs="Arial"/>
                <w:b/>
                <w:sz w:val="20"/>
                <w:szCs w:val="20"/>
              </w:rPr>
            </w:pPr>
            <w:r w:rsidRPr="00FC25C7">
              <w:rPr>
                <w:rFonts w:ascii="Arial" w:hAnsi="Arial" w:cs="Arial"/>
                <w:b/>
                <w:sz w:val="20"/>
                <w:szCs w:val="20"/>
              </w:rPr>
              <w:t>Consistent with Guidelines?</w:t>
            </w:r>
          </w:p>
        </w:tc>
      </w:tr>
      <w:tr w:rsidR="001F4168" w:rsidRPr="00FC25C7" w14:paraId="368E041D" w14:textId="77777777" w:rsidTr="00B572F4">
        <w:tc>
          <w:tcPr>
            <w:tcW w:w="6062" w:type="dxa"/>
          </w:tcPr>
          <w:p w14:paraId="1AA1603A" w14:textId="77777777" w:rsidR="001F4168" w:rsidRPr="00FC25C7" w:rsidRDefault="001F4168" w:rsidP="00597CA4">
            <w:pPr>
              <w:tabs>
                <w:tab w:val="left" w:pos="507"/>
              </w:tabs>
              <w:spacing w:beforeLines="40" w:before="96" w:after="40" w:line="240" w:lineRule="auto"/>
              <w:rPr>
                <w:rFonts w:ascii="Arial" w:hAnsi="Arial" w:cs="Arial"/>
                <w:sz w:val="20"/>
                <w:szCs w:val="20"/>
              </w:rPr>
            </w:pPr>
            <w:r w:rsidRPr="00FC25C7">
              <w:rPr>
                <w:rFonts w:ascii="Arial" w:hAnsi="Arial" w:cs="Arial"/>
                <w:sz w:val="20"/>
                <w:szCs w:val="20"/>
              </w:rPr>
              <w:t>Initial 1: Patient must have a mean right atrial pressure of 8 mmHg or less as measured by right heart catheterisation (RHC);OR</w:t>
            </w:r>
          </w:p>
          <w:p w14:paraId="3BF5497E" w14:textId="77777777" w:rsidR="001F4168" w:rsidRPr="00FC25C7" w:rsidRDefault="001F4168" w:rsidP="00597CA4">
            <w:pPr>
              <w:tabs>
                <w:tab w:val="left" w:pos="507"/>
              </w:tabs>
              <w:spacing w:beforeLines="40" w:before="96" w:after="40" w:line="240" w:lineRule="auto"/>
              <w:rPr>
                <w:rFonts w:ascii="Arial" w:hAnsi="Arial" w:cs="Arial"/>
                <w:sz w:val="20"/>
                <w:szCs w:val="20"/>
              </w:rPr>
            </w:pPr>
            <w:r w:rsidRPr="00FC25C7">
              <w:rPr>
                <w:rFonts w:ascii="Arial" w:hAnsi="Arial" w:cs="Arial"/>
                <w:sz w:val="20"/>
                <w:szCs w:val="20"/>
              </w:rPr>
              <w:t>Patient must have right ventricular function assessed by echocardiography (ECHO) where a RHC cannot be performed on clinical grounds</w:t>
            </w:r>
          </w:p>
          <w:p w14:paraId="4C1137FF" w14:textId="77777777" w:rsidR="001F4168" w:rsidRPr="00FC25C7" w:rsidRDefault="001F4168" w:rsidP="00597CA4">
            <w:pPr>
              <w:tabs>
                <w:tab w:val="left" w:pos="507"/>
              </w:tabs>
              <w:spacing w:beforeLines="40" w:before="96" w:after="40" w:line="240" w:lineRule="auto"/>
              <w:rPr>
                <w:rFonts w:ascii="Arial" w:hAnsi="Arial" w:cs="Arial"/>
                <w:sz w:val="20"/>
                <w:szCs w:val="20"/>
              </w:rPr>
            </w:pPr>
            <w:r w:rsidRPr="00FC25C7">
              <w:rPr>
                <w:rFonts w:ascii="Arial" w:hAnsi="Arial" w:cs="Arial"/>
                <w:sz w:val="20"/>
                <w:szCs w:val="20"/>
              </w:rPr>
              <w:t>Initial 2: Patient must have a mean right atrial pressure of greater than 8 mmHg, as measured by right heart catheterisation (RHC) OR</w:t>
            </w:r>
          </w:p>
          <w:p w14:paraId="4B9E0794" w14:textId="77777777" w:rsidR="001F4168" w:rsidRPr="00FC25C7" w:rsidRDefault="001F4168" w:rsidP="00597CA4">
            <w:pPr>
              <w:tabs>
                <w:tab w:val="left" w:pos="507"/>
              </w:tabs>
              <w:spacing w:beforeLines="40" w:before="96" w:after="40" w:line="240" w:lineRule="auto"/>
              <w:rPr>
                <w:rFonts w:ascii="Arial" w:hAnsi="Arial" w:cs="Arial"/>
                <w:sz w:val="20"/>
                <w:szCs w:val="20"/>
              </w:rPr>
            </w:pPr>
            <w:r w:rsidRPr="00FC25C7">
              <w:rPr>
                <w:rFonts w:ascii="Arial" w:hAnsi="Arial" w:cs="Arial"/>
                <w:sz w:val="20"/>
                <w:szCs w:val="20"/>
              </w:rPr>
              <w:t>Patient must have WHO Functional Class III [PAH sub-type] with right ventricular function assessed by echocardiography (ECHO) where a RHC cannot b</w:t>
            </w:r>
            <w:r w:rsidR="00EE1F96">
              <w:rPr>
                <w:rFonts w:ascii="Arial" w:hAnsi="Arial" w:cs="Arial"/>
                <w:sz w:val="20"/>
                <w:szCs w:val="20"/>
              </w:rPr>
              <w:t>e performed on clinical grounds.</w:t>
            </w:r>
            <w:r w:rsidRPr="00FC25C7">
              <w:rPr>
                <w:rFonts w:ascii="Arial" w:hAnsi="Arial" w:cs="Arial"/>
                <w:sz w:val="20"/>
                <w:szCs w:val="20"/>
              </w:rPr>
              <w:t xml:space="preserve"> </w:t>
            </w:r>
          </w:p>
        </w:tc>
        <w:tc>
          <w:tcPr>
            <w:tcW w:w="1701" w:type="dxa"/>
          </w:tcPr>
          <w:p w14:paraId="08959FB9" w14:textId="77777777" w:rsidR="001F4168" w:rsidRPr="00FC25C7" w:rsidRDefault="001F4168" w:rsidP="009F0D29">
            <w:pPr>
              <w:spacing w:beforeLines="40" w:before="96" w:after="40" w:line="240" w:lineRule="auto"/>
              <w:rPr>
                <w:rFonts w:ascii="Arial" w:hAnsi="Arial" w:cs="Arial"/>
                <w:sz w:val="20"/>
                <w:szCs w:val="20"/>
              </w:rPr>
            </w:pPr>
            <w:r w:rsidRPr="00FC25C7">
              <w:rPr>
                <w:rFonts w:ascii="Arial" w:hAnsi="Arial" w:cs="Arial"/>
                <w:sz w:val="20"/>
                <w:szCs w:val="20"/>
              </w:rPr>
              <w:t xml:space="preserve">Guideline recommendations in </w:t>
            </w:r>
            <w:r w:rsidR="00505D99" w:rsidRPr="00FC25C7">
              <w:rPr>
                <w:rFonts w:ascii="Arial" w:hAnsi="Arial" w:cs="Arial"/>
                <w:sz w:val="20"/>
                <w:szCs w:val="20"/>
              </w:rPr>
              <w:t>Table 1.8</w:t>
            </w:r>
            <w:r w:rsidR="009B04B1" w:rsidRPr="00FC25C7">
              <w:rPr>
                <w:rFonts w:ascii="Arial" w:hAnsi="Arial" w:cs="Arial"/>
                <w:sz w:val="20"/>
                <w:szCs w:val="20"/>
              </w:rPr>
              <w:t>.</w:t>
            </w:r>
          </w:p>
        </w:tc>
        <w:tc>
          <w:tcPr>
            <w:tcW w:w="6411" w:type="dxa"/>
          </w:tcPr>
          <w:p w14:paraId="6F1D1F59" w14:textId="03A72D32" w:rsidR="001F4168" w:rsidRPr="00FC25C7" w:rsidRDefault="001F4168" w:rsidP="00597CA4">
            <w:pPr>
              <w:spacing w:beforeLines="40" w:before="96" w:after="40" w:line="240" w:lineRule="auto"/>
              <w:rPr>
                <w:rFonts w:ascii="Arial" w:hAnsi="Arial" w:cs="Arial"/>
                <w:sz w:val="20"/>
                <w:szCs w:val="20"/>
              </w:rPr>
            </w:pPr>
            <w:r w:rsidRPr="00FC25C7">
              <w:rPr>
                <w:rFonts w:ascii="Arial" w:hAnsi="Arial" w:cs="Arial"/>
                <w:sz w:val="20"/>
                <w:szCs w:val="20"/>
              </w:rPr>
              <w:t>No. The 8</w:t>
            </w:r>
            <w:r w:rsidR="00067504">
              <w:rPr>
                <w:rFonts w:ascii="Arial" w:hAnsi="Arial" w:cs="Arial"/>
                <w:sz w:val="20"/>
                <w:szCs w:val="20"/>
              </w:rPr>
              <w:t xml:space="preserve"> </w:t>
            </w:r>
            <w:r w:rsidRPr="00FC25C7">
              <w:rPr>
                <w:rFonts w:ascii="Arial" w:hAnsi="Arial" w:cs="Arial"/>
                <w:sz w:val="20"/>
                <w:szCs w:val="20"/>
              </w:rPr>
              <w:t xml:space="preserve">mmHg RAP by RHC </w:t>
            </w:r>
            <w:proofErr w:type="gramStart"/>
            <w:r w:rsidRPr="00FC25C7">
              <w:rPr>
                <w:rFonts w:ascii="Arial" w:hAnsi="Arial" w:cs="Arial"/>
                <w:sz w:val="20"/>
                <w:szCs w:val="20"/>
              </w:rPr>
              <w:t>is being used</w:t>
            </w:r>
            <w:proofErr w:type="gramEnd"/>
            <w:r w:rsidRPr="00FC25C7">
              <w:rPr>
                <w:rFonts w:ascii="Arial" w:hAnsi="Arial" w:cs="Arial"/>
                <w:sz w:val="20"/>
                <w:szCs w:val="20"/>
              </w:rPr>
              <w:t xml:space="preserve"> as an eligibility criterion for </w:t>
            </w:r>
            <w:r w:rsidR="00876752" w:rsidRPr="00FC25C7">
              <w:rPr>
                <w:rFonts w:ascii="Arial" w:hAnsi="Arial" w:cs="Arial"/>
                <w:sz w:val="20"/>
                <w:szCs w:val="20"/>
              </w:rPr>
              <w:t>vasodilator treatment with CCBs</w:t>
            </w:r>
            <w:r w:rsidRPr="00FC25C7">
              <w:rPr>
                <w:rFonts w:ascii="Arial" w:hAnsi="Arial" w:cs="Arial"/>
                <w:sz w:val="20"/>
                <w:szCs w:val="20"/>
              </w:rPr>
              <w:t xml:space="preserve"> – this is not recommended. The 8mmHg threshold in the PBS restrictions is one of a range of clinical features of low risk patients (the normal range is 1-6 mmHg). Though only in WHO FC I or II </w:t>
            </w:r>
            <w:proofErr w:type="gramStart"/>
            <w:r w:rsidRPr="00FC25C7">
              <w:rPr>
                <w:rFonts w:ascii="Arial" w:hAnsi="Arial" w:cs="Arial"/>
                <w:sz w:val="20"/>
                <w:szCs w:val="20"/>
              </w:rPr>
              <w:t>PAH</w:t>
            </w:r>
            <w:proofErr w:type="gramEnd"/>
            <w:r w:rsidRPr="00FC25C7">
              <w:rPr>
                <w:rFonts w:ascii="Arial" w:hAnsi="Arial" w:cs="Arial"/>
                <w:sz w:val="20"/>
                <w:szCs w:val="20"/>
              </w:rPr>
              <w:t xml:space="preserve"> would this be consistent with an assessment of low risk (the PBS restrictions cite this value in reference to WHO FC III patients). The mRAP of any value </w:t>
            </w:r>
            <w:proofErr w:type="gramStart"/>
            <w:r w:rsidRPr="00FC25C7">
              <w:rPr>
                <w:rFonts w:ascii="Arial" w:hAnsi="Arial" w:cs="Arial"/>
                <w:sz w:val="20"/>
                <w:szCs w:val="20"/>
              </w:rPr>
              <w:t>is not recommended</w:t>
            </w:r>
            <w:proofErr w:type="gramEnd"/>
            <w:r w:rsidRPr="00FC25C7">
              <w:rPr>
                <w:rFonts w:ascii="Arial" w:hAnsi="Arial" w:cs="Arial"/>
                <w:sz w:val="20"/>
                <w:szCs w:val="20"/>
              </w:rPr>
              <w:t xml:space="preserve"> as a sole basis for making any treatment decisions and it is not a criterion for determin</w:t>
            </w:r>
            <w:r w:rsidR="00EE1F96">
              <w:rPr>
                <w:rFonts w:ascii="Arial" w:hAnsi="Arial" w:cs="Arial"/>
                <w:sz w:val="20"/>
                <w:szCs w:val="20"/>
              </w:rPr>
              <w:t>ing whether CCBs are indicated.</w:t>
            </w:r>
          </w:p>
          <w:p w14:paraId="4B487A70" w14:textId="77777777" w:rsidR="001F4168" w:rsidRPr="00FC25C7" w:rsidRDefault="001F4168" w:rsidP="00597CA4">
            <w:pPr>
              <w:spacing w:beforeLines="40" w:before="96" w:after="40" w:line="240" w:lineRule="auto"/>
              <w:rPr>
                <w:rFonts w:ascii="Arial" w:hAnsi="Arial" w:cs="Arial"/>
                <w:sz w:val="20"/>
                <w:szCs w:val="20"/>
              </w:rPr>
            </w:pPr>
            <w:r w:rsidRPr="00FC25C7">
              <w:rPr>
                <w:rFonts w:ascii="Arial" w:hAnsi="Arial" w:cs="Arial"/>
                <w:sz w:val="20"/>
                <w:szCs w:val="20"/>
              </w:rPr>
              <w:t xml:space="preserve">The alternative measure specified is the assessment of right ventricular function by echocardiography. Neither of these </w:t>
            </w:r>
            <w:r w:rsidR="00ED574F" w:rsidRPr="00FC25C7">
              <w:rPr>
                <w:rFonts w:ascii="Arial" w:hAnsi="Arial" w:cs="Arial"/>
                <w:sz w:val="20"/>
                <w:szCs w:val="20"/>
              </w:rPr>
              <w:t>criteria</w:t>
            </w:r>
            <w:r w:rsidRPr="00FC25C7">
              <w:rPr>
                <w:rFonts w:ascii="Arial" w:hAnsi="Arial" w:cs="Arial"/>
                <w:sz w:val="20"/>
                <w:szCs w:val="20"/>
              </w:rPr>
              <w:t xml:space="preserve"> are </w:t>
            </w:r>
            <w:r w:rsidR="00ED574F" w:rsidRPr="00FC25C7">
              <w:rPr>
                <w:rFonts w:ascii="Arial" w:hAnsi="Arial" w:cs="Arial"/>
                <w:sz w:val="20"/>
                <w:szCs w:val="20"/>
              </w:rPr>
              <w:t>recommended</w:t>
            </w:r>
            <w:r w:rsidRPr="00FC25C7">
              <w:rPr>
                <w:rFonts w:ascii="Arial" w:hAnsi="Arial" w:cs="Arial"/>
                <w:sz w:val="20"/>
                <w:szCs w:val="20"/>
              </w:rPr>
              <w:t xml:space="preserve"> to determine eligibility for vasodilator therapy</w:t>
            </w:r>
            <w:r w:rsidR="00876752" w:rsidRPr="00FC25C7">
              <w:rPr>
                <w:rFonts w:ascii="Arial" w:hAnsi="Arial" w:cs="Arial"/>
                <w:sz w:val="20"/>
                <w:szCs w:val="20"/>
              </w:rPr>
              <w:t xml:space="preserve"> with CCBs</w:t>
            </w:r>
            <w:r w:rsidR="00EE1F96">
              <w:rPr>
                <w:rFonts w:ascii="Arial" w:hAnsi="Arial" w:cs="Arial"/>
                <w:sz w:val="20"/>
                <w:szCs w:val="20"/>
              </w:rPr>
              <w:t>.</w:t>
            </w:r>
          </w:p>
        </w:tc>
      </w:tr>
      <w:tr w:rsidR="001F4168" w:rsidRPr="00597CA4" w14:paraId="7B49B5D9" w14:textId="77777777" w:rsidTr="00B572F4">
        <w:tc>
          <w:tcPr>
            <w:tcW w:w="6062" w:type="dxa"/>
          </w:tcPr>
          <w:p w14:paraId="014095D2" w14:textId="77777777" w:rsidR="001F4168" w:rsidRPr="00FC25C7" w:rsidRDefault="001F4168" w:rsidP="00597CA4">
            <w:pPr>
              <w:tabs>
                <w:tab w:val="left" w:pos="507"/>
              </w:tabs>
              <w:spacing w:beforeLines="40" w:before="96" w:after="40" w:line="240" w:lineRule="auto"/>
              <w:rPr>
                <w:rFonts w:ascii="Arial" w:hAnsi="Arial" w:cs="Arial"/>
                <w:sz w:val="20"/>
                <w:szCs w:val="20"/>
              </w:rPr>
            </w:pPr>
            <w:r w:rsidRPr="00FC25C7">
              <w:rPr>
                <w:rFonts w:ascii="Arial" w:hAnsi="Arial" w:cs="Arial"/>
                <w:sz w:val="20"/>
                <w:szCs w:val="20"/>
              </w:rPr>
              <w:t>Response to prior vasodilator treatment</w:t>
            </w:r>
            <w:r w:rsidR="00876752" w:rsidRPr="00FC25C7">
              <w:rPr>
                <w:rFonts w:ascii="Arial" w:hAnsi="Arial" w:cs="Arial"/>
                <w:sz w:val="20"/>
                <w:szCs w:val="20"/>
              </w:rPr>
              <w:t xml:space="preserve"> with CCBs</w:t>
            </w:r>
            <w:r w:rsidRPr="00FC25C7">
              <w:rPr>
                <w:rFonts w:ascii="Arial" w:hAnsi="Arial" w:cs="Arial"/>
                <w:sz w:val="20"/>
                <w:szCs w:val="20"/>
              </w:rPr>
              <w:t xml:space="preserve"> is defined as follows:</w:t>
            </w:r>
          </w:p>
          <w:p w14:paraId="25C03F21" w14:textId="77777777" w:rsidR="001F4168" w:rsidRPr="00FC25C7" w:rsidRDefault="001F4168" w:rsidP="00597CA4">
            <w:pPr>
              <w:tabs>
                <w:tab w:val="left" w:pos="507"/>
              </w:tabs>
              <w:spacing w:beforeLines="40" w:before="96" w:after="40" w:line="240" w:lineRule="auto"/>
              <w:rPr>
                <w:rFonts w:ascii="Arial" w:hAnsi="Arial" w:cs="Arial"/>
                <w:sz w:val="20"/>
                <w:szCs w:val="20"/>
              </w:rPr>
            </w:pPr>
            <w:r w:rsidRPr="00FC25C7">
              <w:rPr>
                <w:rFonts w:ascii="Arial" w:hAnsi="Arial" w:cs="Arial"/>
                <w:sz w:val="20"/>
                <w:szCs w:val="20"/>
              </w:rPr>
              <w:t xml:space="preserve">For patients with 2 or more baseline tests, response to treatment </w:t>
            </w:r>
            <w:proofErr w:type="gramStart"/>
            <w:r w:rsidRPr="00FC25C7">
              <w:rPr>
                <w:rFonts w:ascii="Arial" w:hAnsi="Arial" w:cs="Arial"/>
                <w:sz w:val="20"/>
                <w:szCs w:val="20"/>
              </w:rPr>
              <w:t>is defined</w:t>
            </w:r>
            <w:proofErr w:type="gramEnd"/>
            <w:r w:rsidRPr="00FC25C7">
              <w:rPr>
                <w:rFonts w:ascii="Arial" w:hAnsi="Arial" w:cs="Arial"/>
                <w:sz w:val="20"/>
                <w:szCs w:val="20"/>
              </w:rPr>
              <w:t xml:space="preserve"> as 2 or more tests demonstrating stability or improvement of disease, as assessed by a physician from a designated hospital.</w:t>
            </w:r>
          </w:p>
          <w:p w14:paraId="5B42A469" w14:textId="77777777" w:rsidR="001F4168" w:rsidRPr="00FC25C7" w:rsidRDefault="001F4168" w:rsidP="00597CA4">
            <w:pPr>
              <w:tabs>
                <w:tab w:val="left" w:pos="507"/>
              </w:tabs>
              <w:spacing w:beforeLines="40" w:before="96" w:after="40" w:line="240" w:lineRule="auto"/>
              <w:rPr>
                <w:rFonts w:ascii="Arial" w:hAnsi="Arial" w:cs="Arial"/>
                <w:sz w:val="20"/>
                <w:szCs w:val="20"/>
              </w:rPr>
            </w:pPr>
            <w:r w:rsidRPr="00FC25C7">
              <w:rPr>
                <w:rFonts w:ascii="Arial" w:hAnsi="Arial" w:cs="Arial"/>
                <w:sz w:val="20"/>
                <w:szCs w:val="20"/>
              </w:rPr>
              <w:t xml:space="preserve">For patients with a RHC composite assessment alone at baseline, response to treatment </w:t>
            </w:r>
            <w:proofErr w:type="gramStart"/>
            <w:r w:rsidRPr="00FC25C7">
              <w:rPr>
                <w:rFonts w:ascii="Arial" w:hAnsi="Arial" w:cs="Arial"/>
                <w:sz w:val="20"/>
                <w:szCs w:val="20"/>
              </w:rPr>
              <w:t>is defined</w:t>
            </w:r>
            <w:proofErr w:type="gramEnd"/>
            <w:r w:rsidRPr="00FC25C7">
              <w:rPr>
                <w:rFonts w:ascii="Arial" w:hAnsi="Arial" w:cs="Arial"/>
                <w:sz w:val="20"/>
                <w:szCs w:val="20"/>
              </w:rPr>
              <w:t xml:space="preserve"> as a RHC result demonstrating stability or improvement of disease, as assessed by a physician from a designated hospital.</w:t>
            </w:r>
          </w:p>
          <w:p w14:paraId="26AA4A2B" w14:textId="77777777" w:rsidR="001F4168" w:rsidRPr="00FC25C7" w:rsidRDefault="001F4168" w:rsidP="00597CA4">
            <w:pPr>
              <w:tabs>
                <w:tab w:val="left" w:pos="507"/>
              </w:tabs>
              <w:spacing w:beforeLines="40" w:before="96" w:after="40" w:line="240" w:lineRule="auto"/>
              <w:rPr>
                <w:rFonts w:ascii="Arial" w:hAnsi="Arial" w:cs="Arial"/>
                <w:sz w:val="20"/>
                <w:szCs w:val="20"/>
              </w:rPr>
            </w:pPr>
            <w:r w:rsidRPr="00FC25C7">
              <w:rPr>
                <w:rFonts w:ascii="Arial" w:hAnsi="Arial" w:cs="Arial"/>
                <w:sz w:val="20"/>
                <w:szCs w:val="20"/>
              </w:rPr>
              <w:t xml:space="preserve">For patients with an ECHO composite assessment alone at baseline, response to treatment </w:t>
            </w:r>
            <w:proofErr w:type="gramStart"/>
            <w:r w:rsidRPr="00FC25C7">
              <w:rPr>
                <w:rFonts w:ascii="Arial" w:hAnsi="Arial" w:cs="Arial"/>
                <w:sz w:val="20"/>
                <w:szCs w:val="20"/>
              </w:rPr>
              <w:t>is defined</w:t>
            </w:r>
            <w:proofErr w:type="gramEnd"/>
            <w:r w:rsidRPr="00FC25C7">
              <w:rPr>
                <w:rFonts w:ascii="Arial" w:hAnsi="Arial" w:cs="Arial"/>
                <w:sz w:val="20"/>
                <w:szCs w:val="20"/>
              </w:rPr>
              <w:t xml:space="preserve"> as an ECHO result demonstrating stability or improvement of disease, as assessed by a physician from a designated hospital.</w:t>
            </w:r>
          </w:p>
          <w:p w14:paraId="6DEC12B5" w14:textId="77777777" w:rsidR="001F4168" w:rsidRPr="00FC25C7" w:rsidRDefault="001F4168" w:rsidP="00597CA4">
            <w:pPr>
              <w:tabs>
                <w:tab w:val="left" w:pos="507"/>
              </w:tabs>
              <w:spacing w:beforeLines="40" w:before="96" w:after="40" w:line="240" w:lineRule="auto"/>
              <w:rPr>
                <w:rFonts w:ascii="Arial" w:hAnsi="Arial" w:cs="Arial"/>
                <w:sz w:val="20"/>
                <w:szCs w:val="20"/>
              </w:rPr>
            </w:pPr>
            <w:r w:rsidRPr="00FC25C7">
              <w:rPr>
                <w:rFonts w:ascii="Arial" w:hAnsi="Arial" w:cs="Arial"/>
                <w:sz w:val="20"/>
                <w:szCs w:val="20"/>
              </w:rPr>
              <w:t xml:space="preserve">For patients aged less than 18 years, response to treatment </w:t>
            </w:r>
            <w:proofErr w:type="gramStart"/>
            <w:r w:rsidRPr="00FC25C7">
              <w:rPr>
                <w:rFonts w:ascii="Arial" w:hAnsi="Arial" w:cs="Arial"/>
                <w:sz w:val="20"/>
                <w:szCs w:val="20"/>
              </w:rPr>
              <w:t>is defined</w:t>
            </w:r>
            <w:proofErr w:type="gramEnd"/>
            <w:r w:rsidRPr="00FC25C7">
              <w:rPr>
                <w:rFonts w:ascii="Arial" w:hAnsi="Arial" w:cs="Arial"/>
                <w:sz w:val="20"/>
                <w:szCs w:val="20"/>
              </w:rPr>
              <w:t xml:space="preserve"> as at least one of the baseline tests demonstrating </w:t>
            </w:r>
            <w:r w:rsidRPr="00FC25C7">
              <w:rPr>
                <w:rFonts w:ascii="Arial" w:hAnsi="Arial" w:cs="Arial"/>
                <w:sz w:val="20"/>
                <w:szCs w:val="20"/>
              </w:rPr>
              <w:lastRenderedPageBreak/>
              <w:t xml:space="preserve">stability or improvement of disease, as assessed by a physician from a designated hospital. </w:t>
            </w:r>
          </w:p>
        </w:tc>
        <w:tc>
          <w:tcPr>
            <w:tcW w:w="1701" w:type="dxa"/>
          </w:tcPr>
          <w:p w14:paraId="1496A7B6" w14:textId="77777777" w:rsidR="001F4168" w:rsidRPr="00FC25C7" w:rsidRDefault="001F4168" w:rsidP="009F0D29">
            <w:pPr>
              <w:spacing w:beforeLines="40" w:before="96" w:after="40" w:line="240" w:lineRule="auto"/>
              <w:rPr>
                <w:rFonts w:ascii="Arial" w:hAnsi="Arial" w:cs="Arial"/>
                <w:sz w:val="20"/>
                <w:szCs w:val="20"/>
              </w:rPr>
            </w:pPr>
            <w:r w:rsidRPr="00FC25C7">
              <w:rPr>
                <w:rFonts w:ascii="Arial" w:hAnsi="Arial" w:cs="Arial"/>
                <w:sz w:val="20"/>
                <w:szCs w:val="20"/>
              </w:rPr>
              <w:lastRenderedPageBreak/>
              <w:t xml:space="preserve">Guideline recommendations in </w:t>
            </w:r>
            <w:r w:rsidR="00505D99" w:rsidRPr="00FC25C7">
              <w:rPr>
                <w:rFonts w:ascii="Arial" w:hAnsi="Arial" w:cs="Arial"/>
                <w:sz w:val="20"/>
                <w:szCs w:val="20"/>
              </w:rPr>
              <w:t>Table 1.8</w:t>
            </w:r>
            <w:r w:rsidR="009B04B1" w:rsidRPr="00FC25C7">
              <w:rPr>
                <w:rFonts w:ascii="Arial" w:hAnsi="Arial" w:cs="Arial"/>
                <w:sz w:val="20"/>
                <w:szCs w:val="20"/>
              </w:rPr>
              <w:t>.</w:t>
            </w:r>
          </w:p>
        </w:tc>
        <w:tc>
          <w:tcPr>
            <w:tcW w:w="6411" w:type="dxa"/>
          </w:tcPr>
          <w:p w14:paraId="72ACB1A1" w14:textId="77777777" w:rsidR="001F4168" w:rsidRPr="00FC25C7" w:rsidRDefault="001F4168" w:rsidP="00597CA4">
            <w:pPr>
              <w:spacing w:beforeLines="40" w:before="96" w:after="40" w:line="240" w:lineRule="auto"/>
              <w:rPr>
                <w:rFonts w:ascii="Arial" w:hAnsi="Arial" w:cs="Arial"/>
                <w:sz w:val="20"/>
                <w:szCs w:val="20"/>
              </w:rPr>
            </w:pPr>
            <w:r w:rsidRPr="00FC25C7">
              <w:rPr>
                <w:rFonts w:ascii="Arial" w:hAnsi="Arial" w:cs="Arial"/>
                <w:sz w:val="20"/>
                <w:szCs w:val="20"/>
              </w:rPr>
              <w:t xml:space="preserve">Partially. These are the same criteria as definition of a response to PAH agent. </w:t>
            </w:r>
          </w:p>
          <w:p w14:paraId="66275663" w14:textId="77777777" w:rsidR="00BB276C" w:rsidRPr="00FC25C7" w:rsidRDefault="00BB276C" w:rsidP="00597CA4">
            <w:pPr>
              <w:spacing w:beforeLines="40" w:before="96" w:after="40" w:line="240" w:lineRule="auto"/>
              <w:rPr>
                <w:rFonts w:ascii="Arial" w:hAnsi="Arial" w:cs="Arial"/>
                <w:sz w:val="20"/>
                <w:szCs w:val="20"/>
              </w:rPr>
            </w:pPr>
            <w:r w:rsidRPr="00FC25C7">
              <w:rPr>
                <w:rFonts w:ascii="Arial" w:hAnsi="Arial" w:cs="Arial"/>
                <w:sz w:val="20"/>
                <w:szCs w:val="20"/>
              </w:rPr>
              <w:t xml:space="preserve">Assessment of response would not be limited to RHC, but would include monitoring parameters given in </w:t>
            </w:r>
            <w:r w:rsidR="00505D99" w:rsidRPr="00FC25C7">
              <w:rPr>
                <w:rFonts w:ascii="Arial" w:hAnsi="Arial" w:cs="Arial"/>
                <w:sz w:val="20"/>
                <w:szCs w:val="20"/>
              </w:rPr>
              <w:t>Table 1.8</w:t>
            </w:r>
            <w:r w:rsidRPr="00FC25C7">
              <w:rPr>
                <w:rFonts w:ascii="Arial" w:hAnsi="Arial" w:cs="Arial"/>
                <w:sz w:val="20"/>
                <w:szCs w:val="20"/>
              </w:rPr>
              <w:t xml:space="preserve">. Patients without RHC at baseline would not be eligible to receive </w:t>
            </w:r>
            <w:r w:rsidR="00876752" w:rsidRPr="00FC25C7">
              <w:rPr>
                <w:rFonts w:ascii="Arial" w:hAnsi="Arial" w:cs="Arial"/>
                <w:sz w:val="20"/>
                <w:szCs w:val="20"/>
              </w:rPr>
              <w:t xml:space="preserve">vasodilator treatment with </w:t>
            </w:r>
            <w:proofErr w:type="gramStart"/>
            <w:r w:rsidR="00876752" w:rsidRPr="00FC25C7">
              <w:rPr>
                <w:rFonts w:ascii="Arial" w:hAnsi="Arial" w:cs="Arial"/>
                <w:sz w:val="20"/>
                <w:szCs w:val="20"/>
              </w:rPr>
              <w:t>CCBs</w:t>
            </w:r>
            <w:proofErr w:type="gramEnd"/>
            <w:r w:rsidR="00876752" w:rsidRPr="00FC25C7">
              <w:rPr>
                <w:rFonts w:ascii="Arial" w:hAnsi="Arial" w:cs="Arial"/>
                <w:sz w:val="20"/>
                <w:szCs w:val="20"/>
              </w:rPr>
              <w:t xml:space="preserve"> </w:t>
            </w:r>
            <w:r w:rsidRPr="00FC25C7">
              <w:rPr>
                <w:rFonts w:ascii="Arial" w:hAnsi="Arial" w:cs="Arial"/>
                <w:sz w:val="20"/>
                <w:szCs w:val="20"/>
              </w:rPr>
              <w:t>as RHC is required to administer the acute vasoreactivity test to establish if patients are likely to respond to CCBs</w:t>
            </w:r>
            <w:r w:rsidR="00EE1F96">
              <w:rPr>
                <w:rFonts w:ascii="Arial" w:hAnsi="Arial" w:cs="Arial"/>
                <w:sz w:val="20"/>
                <w:szCs w:val="20"/>
              </w:rPr>
              <w:t>.</w:t>
            </w:r>
          </w:p>
          <w:p w14:paraId="0E29F932" w14:textId="77777777" w:rsidR="00BB276C" w:rsidRPr="00597CA4" w:rsidRDefault="00BB276C" w:rsidP="00597CA4">
            <w:pPr>
              <w:spacing w:beforeLines="40" w:before="96" w:after="40" w:line="240" w:lineRule="auto"/>
              <w:rPr>
                <w:rFonts w:ascii="Arial" w:hAnsi="Arial" w:cs="Arial"/>
                <w:sz w:val="20"/>
                <w:szCs w:val="20"/>
              </w:rPr>
            </w:pPr>
            <w:r w:rsidRPr="00FC25C7">
              <w:rPr>
                <w:rFonts w:ascii="Arial" w:hAnsi="Arial" w:cs="Arial"/>
                <w:sz w:val="20"/>
                <w:szCs w:val="20"/>
              </w:rPr>
              <w:t xml:space="preserve">However, </w:t>
            </w:r>
            <w:r w:rsidR="00B15FF7" w:rsidRPr="00FC25C7">
              <w:rPr>
                <w:rFonts w:ascii="Arial" w:hAnsi="Arial" w:cs="Arial"/>
                <w:sz w:val="20"/>
                <w:szCs w:val="20"/>
              </w:rPr>
              <w:t xml:space="preserve">somewhat </w:t>
            </w:r>
            <w:r w:rsidRPr="00FC25C7">
              <w:rPr>
                <w:rFonts w:ascii="Arial" w:hAnsi="Arial" w:cs="Arial"/>
                <w:sz w:val="20"/>
                <w:szCs w:val="20"/>
              </w:rPr>
              <w:t>different criteria apply for high dose CCBs</w:t>
            </w:r>
            <w:r w:rsidR="003C17FA" w:rsidRPr="00FC25C7">
              <w:rPr>
                <w:rFonts w:ascii="Arial" w:hAnsi="Arial" w:cs="Arial"/>
                <w:sz w:val="20"/>
                <w:szCs w:val="20"/>
              </w:rPr>
              <w:t xml:space="preserve">. </w:t>
            </w:r>
            <w:r w:rsidRPr="00FC25C7">
              <w:rPr>
                <w:rFonts w:ascii="Arial" w:hAnsi="Arial" w:cs="Arial"/>
                <w:sz w:val="20"/>
                <w:szCs w:val="20"/>
              </w:rPr>
              <w:t>Patient should demonstrate near normalisation of symptoms</w:t>
            </w:r>
            <w:r w:rsidR="003C17FA" w:rsidRPr="00FC25C7">
              <w:rPr>
                <w:rFonts w:ascii="Arial" w:hAnsi="Arial" w:cs="Arial"/>
                <w:sz w:val="20"/>
                <w:szCs w:val="20"/>
              </w:rPr>
              <w:t>.</w:t>
            </w:r>
          </w:p>
        </w:tc>
      </w:tr>
      <w:tr w:rsidR="001F4168" w:rsidRPr="00FC25C7" w14:paraId="1FD28863" w14:textId="77777777" w:rsidTr="00B572F4">
        <w:tc>
          <w:tcPr>
            <w:tcW w:w="6062" w:type="dxa"/>
          </w:tcPr>
          <w:p w14:paraId="55D238FF" w14:textId="77777777" w:rsidR="001F4168" w:rsidRPr="00FC25C7" w:rsidRDefault="001F4168" w:rsidP="00597CA4">
            <w:pPr>
              <w:tabs>
                <w:tab w:val="left" w:pos="507"/>
              </w:tabs>
              <w:spacing w:beforeLines="40" w:before="96" w:after="40" w:line="240" w:lineRule="auto"/>
              <w:rPr>
                <w:rFonts w:ascii="Arial" w:hAnsi="Arial" w:cs="Arial"/>
                <w:sz w:val="20"/>
                <w:szCs w:val="20"/>
              </w:rPr>
            </w:pPr>
            <w:r w:rsidRPr="00FC25C7">
              <w:rPr>
                <w:rFonts w:ascii="Arial" w:hAnsi="Arial" w:cs="Arial"/>
                <w:sz w:val="20"/>
                <w:szCs w:val="20"/>
              </w:rPr>
              <w:t xml:space="preserve">Patient must have failed to respond to 6 or more weeks of appropriate vasodilator treatment </w:t>
            </w:r>
            <w:r w:rsidR="00876752" w:rsidRPr="00FC25C7">
              <w:rPr>
                <w:rFonts w:ascii="Arial" w:hAnsi="Arial" w:cs="Arial"/>
                <w:sz w:val="20"/>
                <w:szCs w:val="20"/>
              </w:rPr>
              <w:t xml:space="preserve">with CCBs </w:t>
            </w:r>
            <w:r w:rsidRPr="00FC25C7">
              <w:rPr>
                <w:rFonts w:ascii="Arial" w:hAnsi="Arial" w:cs="Arial"/>
                <w:sz w:val="20"/>
                <w:szCs w:val="20"/>
              </w:rPr>
              <w:t>unless intolerance or a contraindic</w:t>
            </w:r>
            <w:r w:rsidR="00EE1F96">
              <w:rPr>
                <w:rFonts w:ascii="Arial" w:hAnsi="Arial" w:cs="Arial"/>
                <w:sz w:val="20"/>
                <w:szCs w:val="20"/>
              </w:rPr>
              <w:t>ation to such treatment exists.</w:t>
            </w:r>
          </w:p>
        </w:tc>
        <w:tc>
          <w:tcPr>
            <w:tcW w:w="1701" w:type="dxa"/>
          </w:tcPr>
          <w:p w14:paraId="7CE16F84" w14:textId="77777777" w:rsidR="001F4168" w:rsidRPr="00FC25C7" w:rsidRDefault="009F0D29" w:rsidP="009F0D29">
            <w:pPr>
              <w:spacing w:beforeLines="40" w:before="96" w:after="40" w:line="240" w:lineRule="auto"/>
              <w:rPr>
                <w:rFonts w:ascii="Arial" w:hAnsi="Arial" w:cs="Arial"/>
                <w:sz w:val="20"/>
                <w:szCs w:val="20"/>
              </w:rPr>
            </w:pPr>
            <w:r w:rsidRPr="00FC25C7">
              <w:rPr>
                <w:rFonts w:ascii="Arial" w:hAnsi="Arial" w:cs="Arial"/>
                <w:sz w:val="20"/>
                <w:szCs w:val="20"/>
              </w:rPr>
              <w:t xml:space="preserve">See </w:t>
            </w:r>
            <w:r w:rsidR="00505D99" w:rsidRPr="00FC25C7">
              <w:rPr>
                <w:rFonts w:ascii="Arial" w:hAnsi="Arial" w:cs="Arial"/>
                <w:sz w:val="20"/>
                <w:szCs w:val="20"/>
              </w:rPr>
              <w:t>Table 1.8</w:t>
            </w:r>
            <w:r w:rsidR="009B04B1" w:rsidRPr="00FC25C7">
              <w:rPr>
                <w:rFonts w:ascii="Arial" w:hAnsi="Arial" w:cs="Arial"/>
                <w:sz w:val="20"/>
                <w:szCs w:val="20"/>
              </w:rPr>
              <w:t>.</w:t>
            </w:r>
          </w:p>
        </w:tc>
        <w:tc>
          <w:tcPr>
            <w:tcW w:w="6411" w:type="dxa"/>
          </w:tcPr>
          <w:p w14:paraId="6F8015D5" w14:textId="77777777" w:rsidR="001F4168" w:rsidRPr="00FC25C7" w:rsidRDefault="001F4168" w:rsidP="00CB393C">
            <w:pPr>
              <w:spacing w:beforeLines="40" w:before="96" w:after="40" w:line="240" w:lineRule="auto"/>
              <w:rPr>
                <w:rFonts w:ascii="Arial" w:hAnsi="Arial" w:cs="Arial"/>
                <w:sz w:val="20"/>
                <w:szCs w:val="20"/>
              </w:rPr>
            </w:pPr>
            <w:r w:rsidRPr="00FC25C7">
              <w:rPr>
                <w:rFonts w:ascii="Arial" w:hAnsi="Arial" w:cs="Arial"/>
                <w:sz w:val="20"/>
                <w:szCs w:val="20"/>
              </w:rPr>
              <w:t>No</w:t>
            </w:r>
            <w:r w:rsidR="00B15FF7" w:rsidRPr="00FC25C7">
              <w:rPr>
                <w:rFonts w:ascii="Arial" w:hAnsi="Arial" w:cs="Arial"/>
                <w:sz w:val="20"/>
                <w:szCs w:val="20"/>
              </w:rPr>
              <w:t>/unclear</w:t>
            </w:r>
            <w:r w:rsidRPr="00FC25C7">
              <w:rPr>
                <w:rFonts w:ascii="Arial" w:hAnsi="Arial" w:cs="Arial"/>
                <w:sz w:val="20"/>
                <w:szCs w:val="20"/>
              </w:rPr>
              <w:t xml:space="preserve">. The </w:t>
            </w:r>
            <w:r w:rsidR="008F6AA4">
              <w:rPr>
                <w:rFonts w:ascii="Arial" w:hAnsi="Arial" w:cs="Arial"/>
                <w:sz w:val="20"/>
                <w:szCs w:val="20"/>
              </w:rPr>
              <w:t>2015 ESC/ERS Guidelines</w:t>
            </w:r>
            <w:r w:rsidRPr="00FC25C7">
              <w:rPr>
                <w:rFonts w:ascii="Arial" w:hAnsi="Arial" w:cs="Arial"/>
                <w:sz w:val="20"/>
                <w:szCs w:val="20"/>
              </w:rPr>
              <w:t xml:space="preserve"> recommend complete re-assessment at 3-6 months. </w:t>
            </w:r>
            <w:r w:rsidR="00B15FF7" w:rsidRPr="00FC25C7">
              <w:rPr>
                <w:rFonts w:ascii="Arial" w:hAnsi="Arial" w:cs="Arial"/>
                <w:sz w:val="20"/>
                <w:szCs w:val="20"/>
              </w:rPr>
              <w:t>If</w:t>
            </w:r>
            <w:r w:rsidRPr="00FC25C7">
              <w:rPr>
                <w:rFonts w:ascii="Arial" w:hAnsi="Arial" w:cs="Arial"/>
                <w:sz w:val="20"/>
                <w:szCs w:val="20"/>
              </w:rPr>
              <w:t xml:space="preserve"> the purpose of this vasodilator trial is solely to rule out CCBs and proceed to </w:t>
            </w:r>
            <w:r w:rsidR="00F95235" w:rsidRPr="00FC25C7">
              <w:rPr>
                <w:rFonts w:ascii="Arial" w:hAnsi="Arial" w:cs="Arial"/>
                <w:sz w:val="20"/>
                <w:szCs w:val="20"/>
              </w:rPr>
              <w:t>PAH medicines</w:t>
            </w:r>
            <w:r w:rsidRPr="00FC25C7">
              <w:rPr>
                <w:rFonts w:ascii="Arial" w:hAnsi="Arial" w:cs="Arial"/>
                <w:sz w:val="20"/>
                <w:szCs w:val="20"/>
              </w:rPr>
              <w:t>, 6 weeks may not be adequate</w:t>
            </w:r>
            <w:r w:rsidR="00EE1F96">
              <w:rPr>
                <w:rFonts w:ascii="Arial" w:hAnsi="Arial" w:cs="Arial"/>
                <w:sz w:val="20"/>
                <w:szCs w:val="20"/>
              </w:rPr>
              <w:t>.</w:t>
            </w:r>
          </w:p>
        </w:tc>
      </w:tr>
      <w:tr w:rsidR="001F4168" w:rsidRPr="00FC25C7" w14:paraId="619D6F34" w14:textId="77777777" w:rsidTr="00B572F4">
        <w:tc>
          <w:tcPr>
            <w:tcW w:w="6062" w:type="dxa"/>
          </w:tcPr>
          <w:p w14:paraId="6AC7091E" w14:textId="77777777" w:rsidR="001F4168" w:rsidRPr="00FC25C7" w:rsidRDefault="001F4168" w:rsidP="000D2508">
            <w:pPr>
              <w:tabs>
                <w:tab w:val="left" w:pos="507"/>
              </w:tabs>
              <w:spacing w:beforeLines="40" w:before="96" w:after="40" w:line="240" w:lineRule="auto"/>
              <w:rPr>
                <w:rFonts w:ascii="Arial" w:hAnsi="Arial" w:cs="Arial"/>
                <w:sz w:val="20"/>
                <w:szCs w:val="20"/>
              </w:rPr>
            </w:pPr>
            <w:r w:rsidRPr="00FC25C7">
              <w:rPr>
                <w:rFonts w:ascii="Arial" w:hAnsi="Arial" w:cs="Arial"/>
                <w:sz w:val="20"/>
                <w:szCs w:val="20"/>
              </w:rPr>
              <w:t>Details of prior vasodilator treatment</w:t>
            </w:r>
            <w:r w:rsidR="00876752" w:rsidRPr="00FC25C7">
              <w:rPr>
                <w:rFonts w:ascii="Arial" w:hAnsi="Arial" w:cs="Arial"/>
                <w:sz w:val="20"/>
                <w:szCs w:val="20"/>
              </w:rPr>
              <w:t xml:space="preserve"> with CCBs</w:t>
            </w:r>
            <w:r w:rsidRPr="00FC25C7">
              <w:rPr>
                <w:rFonts w:ascii="Arial" w:hAnsi="Arial" w:cs="Arial"/>
                <w:sz w:val="20"/>
                <w:szCs w:val="20"/>
              </w:rPr>
              <w:t xml:space="preserve">, including the dose and duration of treatment, </w:t>
            </w:r>
            <w:proofErr w:type="gramStart"/>
            <w:r w:rsidRPr="00FC25C7">
              <w:rPr>
                <w:rFonts w:ascii="Arial" w:hAnsi="Arial" w:cs="Arial"/>
                <w:sz w:val="20"/>
                <w:szCs w:val="20"/>
              </w:rPr>
              <w:t>must be provided</w:t>
            </w:r>
            <w:proofErr w:type="gramEnd"/>
            <w:r w:rsidRPr="00FC25C7">
              <w:rPr>
                <w:rFonts w:ascii="Arial" w:hAnsi="Arial" w:cs="Arial"/>
                <w:sz w:val="20"/>
                <w:szCs w:val="20"/>
              </w:rPr>
              <w:t xml:space="preserve"> at the time of application. Where the patient has an adverse event to a </w:t>
            </w:r>
            <w:r w:rsidR="00876752" w:rsidRPr="00FC25C7">
              <w:rPr>
                <w:rFonts w:ascii="Arial" w:hAnsi="Arial" w:cs="Arial"/>
                <w:sz w:val="20"/>
                <w:szCs w:val="20"/>
              </w:rPr>
              <w:t xml:space="preserve">CCB </w:t>
            </w:r>
            <w:r w:rsidRPr="00FC25C7">
              <w:rPr>
                <w:rFonts w:ascii="Arial" w:hAnsi="Arial" w:cs="Arial"/>
                <w:sz w:val="20"/>
                <w:szCs w:val="20"/>
              </w:rPr>
              <w:t>or where vasodilator treatment</w:t>
            </w:r>
            <w:r w:rsidR="00876752" w:rsidRPr="00FC25C7">
              <w:rPr>
                <w:rFonts w:ascii="Arial" w:hAnsi="Arial" w:cs="Arial"/>
                <w:sz w:val="20"/>
                <w:szCs w:val="20"/>
              </w:rPr>
              <w:t xml:space="preserve"> with CCBs</w:t>
            </w:r>
            <w:r w:rsidRPr="00FC25C7">
              <w:rPr>
                <w:rFonts w:ascii="Arial" w:hAnsi="Arial" w:cs="Arial"/>
                <w:sz w:val="20"/>
                <w:szCs w:val="20"/>
              </w:rPr>
              <w:t xml:space="preserve"> is contraindicated, details of the nature of the adverse event or contraindication according to the TGA approved Product Information </w:t>
            </w:r>
            <w:proofErr w:type="gramStart"/>
            <w:r w:rsidRPr="00FC25C7">
              <w:rPr>
                <w:rFonts w:ascii="Arial" w:hAnsi="Arial" w:cs="Arial"/>
                <w:sz w:val="20"/>
                <w:szCs w:val="20"/>
              </w:rPr>
              <w:t>must also be</w:t>
            </w:r>
            <w:r w:rsidR="00EE1F96">
              <w:rPr>
                <w:rFonts w:ascii="Arial" w:hAnsi="Arial" w:cs="Arial"/>
                <w:sz w:val="20"/>
                <w:szCs w:val="20"/>
              </w:rPr>
              <w:t xml:space="preserve"> provided</w:t>
            </w:r>
            <w:proofErr w:type="gramEnd"/>
            <w:r w:rsidR="00EE1F96">
              <w:rPr>
                <w:rFonts w:ascii="Arial" w:hAnsi="Arial" w:cs="Arial"/>
                <w:sz w:val="20"/>
                <w:szCs w:val="20"/>
              </w:rPr>
              <w:t xml:space="preserve"> with the application.</w:t>
            </w:r>
          </w:p>
        </w:tc>
        <w:tc>
          <w:tcPr>
            <w:tcW w:w="1701" w:type="dxa"/>
          </w:tcPr>
          <w:p w14:paraId="70B5A4DA" w14:textId="77777777" w:rsidR="001F4168" w:rsidRPr="00FC25C7" w:rsidRDefault="001F4168" w:rsidP="00597CA4">
            <w:pPr>
              <w:spacing w:beforeLines="40" w:before="96" w:after="40" w:line="240" w:lineRule="auto"/>
              <w:rPr>
                <w:rFonts w:ascii="Arial" w:hAnsi="Arial" w:cs="Arial"/>
                <w:sz w:val="20"/>
                <w:szCs w:val="20"/>
              </w:rPr>
            </w:pPr>
            <w:r w:rsidRPr="00FC25C7">
              <w:rPr>
                <w:rFonts w:ascii="Arial" w:hAnsi="Arial" w:cs="Arial"/>
                <w:sz w:val="20"/>
                <w:szCs w:val="20"/>
              </w:rPr>
              <w:t>‒</w:t>
            </w:r>
          </w:p>
        </w:tc>
        <w:tc>
          <w:tcPr>
            <w:tcW w:w="6411" w:type="dxa"/>
          </w:tcPr>
          <w:p w14:paraId="03824133" w14:textId="77777777" w:rsidR="001F4168" w:rsidRPr="00FC25C7" w:rsidRDefault="001F4168" w:rsidP="00597CA4">
            <w:pPr>
              <w:spacing w:beforeLines="40" w:before="96" w:after="40" w:line="240" w:lineRule="auto"/>
              <w:rPr>
                <w:rFonts w:ascii="Arial" w:hAnsi="Arial" w:cs="Arial"/>
                <w:sz w:val="20"/>
                <w:szCs w:val="20"/>
              </w:rPr>
            </w:pPr>
            <w:r w:rsidRPr="00FC25C7">
              <w:rPr>
                <w:rFonts w:ascii="Arial" w:hAnsi="Arial" w:cs="Arial"/>
                <w:sz w:val="20"/>
                <w:szCs w:val="20"/>
              </w:rPr>
              <w:t xml:space="preserve">No. It is not clear what criteria the dose and duration reported here </w:t>
            </w:r>
            <w:proofErr w:type="gramStart"/>
            <w:r w:rsidRPr="00FC25C7">
              <w:rPr>
                <w:rFonts w:ascii="Arial" w:hAnsi="Arial" w:cs="Arial"/>
                <w:sz w:val="20"/>
                <w:szCs w:val="20"/>
              </w:rPr>
              <w:t>would be measured against</w:t>
            </w:r>
            <w:proofErr w:type="gramEnd"/>
            <w:r w:rsidRPr="00FC25C7">
              <w:rPr>
                <w:rFonts w:ascii="Arial" w:hAnsi="Arial" w:cs="Arial"/>
                <w:sz w:val="20"/>
                <w:szCs w:val="20"/>
              </w:rPr>
              <w:t xml:space="preserve">. </w:t>
            </w:r>
          </w:p>
          <w:p w14:paraId="370BFAB3" w14:textId="77777777" w:rsidR="001F4168" w:rsidRPr="00FC25C7" w:rsidRDefault="001F4168" w:rsidP="00597CA4">
            <w:pPr>
              <w:spacing w:beforeLines="40" w:before="96" w:after="40" w:line="240" w:lineRule="auto"/>
              <w:rPr>
                <w:rFonts w:ascii="Arial" w:hAnsi="Arial" w:cs="Arial"/>
                <w:sz w:val="20"/>
                <w:szCs w:val="20"/>
              </w:rPr>
            </w:pPr>
            <w:r w:rsidRPr="00FC25C7">
              <w:rPr>
                <w:rFonts w:ascii="Arial" w:hAnsi="Arial" w:cs="Arial"/>
                <w:sz w:val="20"/>
                <w:szCs w:val="20"/>
              </w:rPr>
              <w:t>This is off-label use for CCBs. The TGA Product Information does not cover adverse events or contraindications relevant to high dose CCB treatment for PAH (though it is likely to be overlapping with those for lower dose therapy for angina or heart failure). Contraindications may exist that would not</w:t>
            </w:r>
            <w:r w:rsidR="00EE1F96">
              <w:rPr>
                <w:rFonts w:ascii="Arial" w:hAnsi="Arial" w:cs="Arial"/>
                <w:sz w:val="20"/>
                <w:szCs w:val="20"/>
              </w:rPr>
              <w:t xml:space="preserve"> be outlined in the current PI.</w:t>
            </w:r>
          </w:p>
        </w:tc>
      </w:tr>
    </w:tbl>
    <w:p w14:paraId="6FC01759" w14:textId="77777777" w:rsidR="00724899" w:rsidRPr="00597CA4" w:rsidRDefault="00724899" w:rsidP="00597CA4">
      <w:pPr>
        <w:spacing w:beforeLines="40" w:before="96" w:after="40"/>
        <w:rPr>
          <w:rFonts w:ascii="Arial" w:hAnsi="Arial" w:cs="Arial"/>
        </w:rPr>
      </w:pPr>
    </w:p>
    <w:p w14:paraId="374C9C08" w14:textId="77777777" w:rsidR="00724899" w:rsidRDefault="00724899" w:rsidP="00121658">
      <w:pPr>
        <w:sectPr w:rsidR="00724899" w:rsidSect="00724899">
          <w:footnotePr>
            <w:numFmt w:val="chicago"/>
          </w:footnotePr>
          <w:pgSz w:w="16838" w:h="11906" w:orient="landscape"/>
          <w:pgMar w:top="1440" w:right="1440" w:bottom="1440" w:left="1440" w:header="708" w:footer="708" w:gutter="0"/>
          <w:cols w:space="708"/>
          <w:titlePg/>
          <w:docGrid w:linePitch="360"/>
        </w:sectPr>
      </w:pPr>
    </w:p>
    <w:p w14:paraId="110AAB90" w14:textId="77777777" w:rsidR="00027324" w:rsidRDefault="00027324" w:rsidP="00121658">
      <w:pPr>
        <w:pStyle w:val="Heading4"/>
        <w:jc w:val="left"/>
        <w:rPr>
          <w:rFonts w:eastAsiaTheme="minorEastAsia"/>
          <w:sz w:val="28"/>
          <w:szCs w:val="22"/>
          <w:lang w:eastAsia="en-AU"/>
        </w:rPr>
      </w:pPr>
      <w:bookmarkStart w:id="229" w:name="_Toc503800648"/>
      <w:bookmarkStart w:id="230" w:name="_Toc503811600"/>
      <w:bookmarkStart w:id="231" w:name="_Ref506191462"/>
      <w:bookmarkStart w:id="232" w:name="_Ref506480391"/>
      <w:bookmarkStart w:id="233" w:name="_Ref506191304"/>
      <w:bookmarkEnd w:id="222"/>
      <w:bookmarkEnd w:id="223"/>
      <w:bookmarkEnd w:id="224"/>
      <w:r>
        <w:rPr>
          <w:rFonts w:eastAsiaTheme="minorEastAsia"/>
        </w:rPr>
        <w:lastRenderedPageBreak/>
        <w:t>Dosage</w:t>
      </w:r>
    </w:p>
    <w:p w14:paraId="61645FD1" w14:textId="77777777" w:rsidR="00027324" w:rsidRPr="00597CA4" w:rsidRDefault="00027324" w:rsidP="00121658">
      <w:pPr>
        <w:pStyle w:val="Heading5"/>
        <w:jc w:val="left"/>
        <w:rPr>
          <w:rFonts w:asciiTheme="minorHAnsi" w:hAnsiTheme="minorHAnsi"/>
        </w:rPr>
      </w:pPr>
      <w:r w:rsidRPr="00597CA4">
        <w:rPr>
          <w:rFonts w:asciiTheme="minorHAnsi" w:hAnsiTheme="minorHAnsi"/>
        </w:rPr>
        <w:t>Current PBS requirement</w:t>
      </w:r>
    </w:p>
    <w:p w14:paraId="62BCD115" w14:textId="77777777" w:rsidR="00027324" w:rsidRDefault="00027324" w:rsidP="00597CA4">
      <w:pPr>
        <w:pStyle w:val="BodyTextnospacebefore"/>
      </w:pPr>
      <w:r>
        <w:t>The current PBS restrictions specify that doses to inform maximum quantities for prescribing are limited to the recommended dose in the approved PI.</w:t>
      </w:r>
    </w:p>
    <w:p w14:paraId="00ADEBA6" w14:textId="77777777" w:rsidR="00027324" w:rsidRPr="00597CA4" w:rsidRDefault="00027324" w:rsidP="00121658">
      <w:pPr>
        <w:pStyle w:val="Heading5"/>
        <w:jc w:val="left"/>
        <w:rPr>
          <w:rFonts w:asciiTheme="minorHAnsi" w:hAnsiTheme="minorHAnsi"/>
        </w:rPr>
      </w:pPr>
      <w:r w:rsidRPr="00597CA4">
        <w:rPr>
          <w:rFonts w:asciiTheme="minorHAnsi" w:hAnsiTheme="minorHAnsi"/>
        </w:rPr>
        <w:t>Guideline recommendations</w:t>
      </w:r>
    </w:p>
    <w:p w14:paraId="2B35EAB1" w14:textId="77777777" w:rsidR="00027324" w:rsidRDefault="00027324" w:rsidP="00597CA4">
      <w:pPr>
        <w:pStyle w:val="BodyTextnospacebefore"/>
      </w:pPr>
      <w:r>
        <w:t xml:space="preserve">The majority of guideline recommendations are to do with choice of agent rather than the dose. The </w:t>
      </w:r>
      <w:r w:rsidR="008F6AA4">
        <w:t>2015 ESC/ERS Guidelines</w:t>
      </w:r>
      <w:r>
        <w:t xml:space="preserve"> report doses that </w:t>
      </w:r>
      <w:proofErr w:type="gramStart"/>
      <w:r>
        <w:t>are approved</w:t>
      </w:r>
      <w:proofErr w:type="gramEnd"/>
      <w:r>
        <w:t xml:space="preserve"> by regulators or that have been effective in clinical trials, but makes no dosing or dose adjustment recommendations aside from those regarding use of sildenafil in children.</w:t>
      </w:r>
    </w:p>
    <w:p w14:paraId="4E79424C" w14:textId="77777777" w:rsidR="00027324" w:rsidRPr="004F0200" w:rsidRDefault="00027324" w:rsidP="00597CA4">
      <w:pPr>
        <w:pStyle w:val="BodyTextnospacebefore"/>
      </w:pPr>
      <w:r w:rsidRPr="009D06BA">
        <w:t>The CHEST guideline</w:t>
      </w:r>
      <w:r w:rsidR="009C556B" w:rsidRPr="009C556B">
        <w:rPr>
          <w:rFonts w:cstheme="minorHAnsi"/>
          <w:noProof/>
          <w:vertAlign w:val="superscript"/>
        </w:rPr>
        <w:t>19</w:t>
      </w:r>
      <w:r w:rsidRPr="009D06BA">
        <w:t xml:space="preserve"> </w:t>
      </w:r>
      <w:r>
        <w:t xml:space="preserve">also </w:t>
      </w:r>
      <w:r w:rsidRPr="009D06BA">
        <w:t xml:space="preserve">makes </w:t>
      </w:r>
      <w:r>
        <w:t>few</w:t>
      </w:r>
      <w:r w:rsidRPr="009D06BA">
        <w:t xml:space="preserve"> </w:t>
      </w:r>
      <w:r>
        <w:t>comments</w:t>
      </w:r>
      <w:r w:rsidRPr="009D06BA">
        <w:t xml:space="preserve"> with respect to dose adjustments</w:t>
      </w:r>
      <w:r>
        <w:t xml:space="preserve"> – the only one of note relates t</w:t>
      </w:r>
      <w:r w:rsidR="00EE1F96">
        <w:t>o sildenafil in adults (below).</w:t>
      </w:r>
    </w:p>
    <w:p w14:paraId="1CF13338" w14:textId="77777777" w:rsidR="00B15FF7" w:rsidRPr="00597CA4" w:rsidRDefault="00B15FF7" w:rsidP="00121658">
      <w:pPr>
        <w:pStyle w:val="Heading5"/>
        <w:jc w:val="left"/>
        <w:rPr>
          <w:rFonts w:asciiTheme="minorHAnsi" w:eastAsiaTheme="minorEastAsia" w:hAnsiTheme="minorHAnsi"/>
          <w:i/>
        </w:rPr>
      </w:pPr>
      <w:r w:rsidRPr="00597CA4">
        <w:rPr>
          <w:rFonts w:asciiTheme="minorHAnsi" w:eastAsiaTheme="minorEastAsia" w:hAnsiTheme="minorHAnsi"/>
        </w:rPr>
        <w:t>Note regarding sildenafil dosage</w:t>
      </w:r>
      <w:bookmarkEnd w:id="229"/>
      <w:bookmarkEnd w:id="230"/>
      <w:bookmarkEnd w:id="231"/>
      <w:bookmarkEnd w:id="232"/>
    </w:p>
    <w:p w14:paraId="6C469FCB" w14:textId="6A1867E0" w:rsidR="00B15FF7" w:rsidRPr="004471BA" w:rsidRDefault="00B15FF7" w:rsidP="00597CA4">
      <w:pPr>
        <w:pStyle w:val="BodyTextnospacebefore"/>
      </w:pPr>
      <w:r w:rsidRPr="004471BA">
        <w:t>The sildenafil PI features clinical data from a number of studies where doses of 80</w:t>
      </w:r>
      <w:r w:rsidR="00067504">
        <w:t xml:space="preserve"> mg</w:t>
      </w:r>
      <w:r w:rsidRPr="004471BA">
        <w:t xml:space="preserve"> or more </w:t>
      </w:r>
      <w:proofErr w:type="gramStart"/>
      <w:r w:rsidRPr="004471BA">
        <w:t>were administered</w:t>
      </w:r>
      <w:proofErr w:type="gramEnd"/>
      <w:r w:rsidRPr="004471BA">
        <w:t xml:space="preserve"> to patients. Sildenafil </w:t>
      </w:r>
      <w:proofErr w:type="gramStart"/>
      <w:r w:rsidRPr="004471BA">
        <w:t>is being used</w:t>
      </w:r>
      <w:proofErr w:type="gramEnd"/>
      <w:r w:rsidRPr="004471BA">
        <w:t xml:space="preserve"> overseas at doses in adults beyond the approved recommended dose (20</w:t>
      </w:r>
      <w:r w:rsidR="00067504">
        <w:t xml:space="preserve"> </w:t>
      </w:r>
      <w:r w:rsidRPr="004471BA">
        <w:t xml:space="preserve">mg </w:t>
      </w:r>
      <w:r w:rsidR="0027496F">
        <w:t>three times a day</w:t>
      </w:r>
      <w:r w:rsidRPr="004471BA">
        <w:t>) and it is likely that doses up to 100</w:t>
      </w:r>
      <w:r w:rsidR="00067504">
        <w:t xml:space="preserve"> </w:t>
      </w:r>
      <w:r w:rsidRPr="004471BA">
        <w:t xml:space="preserve">mg </w:t>
      </w:r>
      <w:proofErr w:type="spellStart"/>
      <w:r w:rsidR="0027496F">
        <w:t>tid</w:t>
      </w:r>
      <w:proofErr w:type="spellEnd"/>
      <w:r w:rsidRPr="004471BA">
        <w:t xml:space="preserve"> are being p</w:t>
      </w:r>
      <w:r w:rsidR="00EE1F96">
        <w:t>rescribed for PAH in Australia.</w:t>
      </w:r>
    </w:p>
    <w:p w14:paraId="6C6D0E47" w14:textId="77777777" w:rsidR="00B15FF7" w:rsidRPr="004471BA" w:rsidRDefault="00B15FF7" w:rsidP="00597CA4">
      <w:pPr>
        <w:pStyle w:val="BodyTextnospacebefore"/>
      </w:pPr>
      <w:r w:rsidRPr="004471BA">
        <w:t xml:space="preserve">In the UK, the NHS Commissioning guidance </w:t>
      </w:r>
      <w:r>
        <w:t xml:space="preserve">in the guidelines search (see </w:t>
      </w:r>
      <w:r w:rsidR="00505D99" w:rsidRPr="00505D99">
        <w:rPr>
          <w:i/>
        </w:rPr>
        <w:t>Guidelines</w:t>
      </w:r>
      <w:r>
        <w:t xml:space="preserve">) </w:t>
      </w:r>
      <w:r w:rsidRPr="004471BA">
        <w:t xml:space="preserve">states that the following doses </w:t>
      </w:r>
      <w:proofErr w:type="gramStart"/>
      <w:r w:rsidRPr="004471BA">
        <w:t>will be funded</w:t>
      </w:r>
      <w:proofErr w:type="gramEnd"/>
      <w:r w:rsidRPr="004471BA">
        <w:t xml:space="preserve"> for sildenafil in patients with PH:</w:t>
      </w:r>
    </w:p>
    <w:p w14:paraId="2EC9AA69" w14:textId="0281F55A" w:rsidR="00B15FF7" w:rsidRPr="005309C6" w:rsidRDefault="00B15FF7" w:rsidP="00807704">
      <w:pPr>
        <w:pStyle w:val="ListParagraph"/>
        <w:numPr>
          <w:ilvl w:val="0"/>
          <w:numId w:val="14"/>
        </w:numPr>
        <w:spacing w:before="0" w:after="200" w:line="240" w:lineRule="auto"/>
        <w:ind w:left="0" w:firstLine="0"/>
        <w:rPr>
          <w:rFonts w:asciiTheme="minorHAnsi" w:hAnsiTheme="minorHAnsi"/>
          <w:i/>
        </w:rPr>
      </w:pPr>
      <w:r w:rsidRPr="005309C6">
        <w:rPr>
          <w:rFonts w:asciiTheme="minorHAnsi" w:hAnsiTheme="minorHAnsi"/>
          <w:i/>
        </w:rPr>
        <w:t>As Viagra tablets (unlicensed indication): for dose escalation 25-100</w:t>
      </w:r>
      <w:r w:rsidR="00067504">
        <w:rPr>
          <w:rFonts w:asciiTheme="minorHAnsi" w:hAnsiTheme="minorHAnsi"/>
          <w:i/>
        </w:rPr>
        <w:t xml:space="preserve"> mg</w:t>
      </w:r>
      <w:r w:rsidRPr="005309C6">
        <w:rPr>
          <w:rFonts w:asciiTheme="minorHAnsi" w:hAnsiTheme="minorHAnsi"/>
          <w:i/>
        </w:rPr>
        <w:t xml:space="preserve"> </w:t>
      </w:r>
      <w:proofErr w:type="spellStart"/>
      <w:r w:rsidR="0027496F" w:rsidRPr="005309C6">
        <w:rPr>
          <w:rFonts w:asciiTheme="minorHAnsi" w:hAnsiTheme="minorHAnsi"/>
          <w:i/>
        </w:rPr>
        <w:t>tid</w:t>
      </w:r>
      <w:proofErr w:type="spellEnd"/>
    </w:p>
    <w:p w14:paraId="099B5849" w14:textId="6609CC35" w:rsidR="00B15FF7" w:rsidRPr="005309C6" w:rsidRDefault="00B15FF7" w:rsidP="00807704">
      <w:pPr>
        <w:pStyle w:val="ListParagraph"/>
        <w:numPr>
          <w:ilvl w:val="0"/>
          <w:numId w:val="14"/>
        </w:numPr>
        <w:spacing w:before="0" w:after="200" w:line="240" w:lineRule="auto"/>
        <w:ind w:left="0" w:firstLine="0"/>
        <w:rPr>
          <w:rFonts w:asciiTheme="minorHAnsi" w:hAnsiTheme="minorHAnsi"/>
          <w:i/>
        </w:rPr>
      </w:pPr>
      <w:r w:rsidRPr="005309C6">
        <w:rPr>
          <w:rFonts w:asciiTheme="minorHAnsi" w:hAnsiTheme="minorHAnsi"/>
          <w:i/>
        </w:rPr>
        <w:t xml:space="preserve">As </w:t>
      </w:r>
      <w:proofErr w:type="spellStart"/>
      <w:r w:rsidR="00060C26" w:rsidRPr="005309C6">
        <w:rPr>
          <w:rFonts w:asciiTheme="minorHAnsi" w:hAnsiTheme="minorHAnsi"/>
          <w:i/>
        </w:rPr>
        <w:t>Revatio</w:t>
      </w:r>
      <w:proofErr w:type="spellEnd"/>
      <w:r w:rsidR="00252749" w:rsidRPr="005309C6">
        <w:rPr>
          <w:rFonts w:asciiTheme="minorHAnsi" w:hAnsiTheme="minorHAnsi"/>
          <w:i/>
          <w:vertAlign w:val="superscript"/>
        </w:rPr>
        <w:t>®</w:t>
      </w:r>
      <w:r w:rsidRPr="005309C6">
        <w:rPr>
          <w:rFonts w:asciiTheme="minorHAnsi" w:hAnsiTheme="minorHAnsi"/>
          <w:i/>
        </w:rPr>
        <w:t xml:space="preserve"> tablets: for use only at licensed dose of 20</w:t>
      </w:r>
      <w:r w:rsidR="00067504">
        <w:rPr>
          <w:rFonts w:asciiTheme="minorHAnsi" w:hAnsiTheme="minorHAnsi"/>
          <w:i/>
        </w:rPr>
        <w:t xml:space="preserve"> mg</w:t>
      </w:r>
      <w:r w:rsidRPr="005309C6">
        <w:rPr>
          <w:rFonts w:asciiTheme="minorHAnsi" w:hAnsiTheme="minorHAnsi"/>
          <w:i/>
        </w:rPr>
        <w:t xml:space="preserve"> </w:t>
      </w:r>
      <w:proofErr w:type="spellStart"/>
      <w:r w:rsidR="0027496F" w:rsidRPr="005309C6">
        <w:rPr>
          <w:rFonts w:asciiTheme="minorHAnsi" w:hAnsiTheme="minorHAnsi"/>
          <w:i/>
        </w:rPr>
        <w:t>tid</w:t>
      </w:r>
      <w:proofErr w:type="spellEnd"/>
    </w:p>
    <w:p w14:paraId="2796AFB4" w14:textId="1EA564EE" w:rsidR="00B15FF7" w:rsidRDefault="00B15FF7" w:rsidP="005309C6">
      <w:pPr>
        <w:pStyle w:val="BodyTextnospacebefore"/>
      </w:pPr>
      <w:r w:rsidRPr="004471BA">
        <w:t>The CADTH made a similar observation in its 2015 report, that clinicians in Canada would start with 20</w:t>
      </w:r>
      <w:r w:rsidR="00067504">
        <w:t xml:space="preserve"> mg</w:t>
      </w:r>
      <w:r w:rsidRPr="004471BA">
        <w:t xml:space="preserve"> </w:t>
      </w:r>
      <w:proofErr w:type="spellStart"/>
      <w:r w:rsidR="0027496F">
        <w:t>tid</w:t>
      </w:r>
      <w:proofErr w:type="spellEnd"/>
      <w:r w:rsidRPr="004471BA">
        <w:t xml:space="preserve"> but increase the dose </w:t>
      </w:r>
      <w:r>
        <w:t>to 80</w:t>
      </w:r>
      <w:r w:rsidR="00067504">
        <w:t xml:space="preserve"> </w:t>
      </w:r>
      <w:r>
        <w:t xml:space="preserve">mg </w:t>
      </w:r>
      <w:proofErr w:type="spellStart"/>
      <w:r w:rsidR="0027496F">
        <w:t>tid</w:t>
      </w:r>
      <w:proofErr w:type="spellEnd"/>
      <w:r>
        <w:t xml:space="preserve"> or more in practice</w:t>
      </w:r>
      <w:r w:rsidR="009C556B" w:rsidRPr="009C556B">
        <w:rPr>
          <w:noProof/>
          <w:vertAlign w:val="superscript"/>
        </w:rPr>
        <w:t>25</w:t>
      </w:r>
      <w:r w:rsidR="00EE1F96">
        <w:t>.</w:t>
      </w:r>
    </w:p>
    <w:p w14:paraId="5ADF554B" w14:textId="321467A0" w:rsidR="00B15FF7" w:rsidRDefault="00B15FF7" w:rsidP="005309C6">
      <w:pPr>
        <w:pStyle w:val="BodyTextnospacebefore"/>
      </w:pPr>
      <w:r w:rsidRPr="004471BA">
        <w:t xml:space="preserve">The Australian PI states that </w:t>
      </w:r>
      <w:r w:rsidRPr="004471BA">
        <w:rPr>
          <w:i/>
        </w:rPr>
        <w:t xml:space="preserve">“no greater efficacy was achieved [in clinical trials] with doses higher than 20 mg </w:t>
      </w:r>
      <w:proofErr w:type="spellStart"/>
      <w:r w:rsidR="0027496F">
        <w:rPr>
          <w:i/>
        </w:rPr>
        <w:t>tid</w:t>
      </w:r>
      <w:proofErr w:type="spellEnd"/>
      <w:r w:rsidRPr="004471BA">
        <w:rPr>
          <w:i/>
        </w:rPr>
        <w:t>.”</w:t>
      </w:r>
      <w:r w:rsidRPr="004471BA">
        <w:t xml:space="preserve"> Sildenafil is frequently described in the PAH literature as having a comparatively mild toxicity profile, but it is unknown if this would apply to long-term dosing at high levels</w:t>
      </w:r>
      <w:r>
        <w:t xml:space="preserve">. The </w:t>
      </w:r>
      <w:r w:rsidR="008F6AA4">
        <w:t>2015 ESC/ERS Guidelines</w:t>
      </w:r>
      <w:r w:rsidR="009C556B" w:rsidRPr="00DC475B">
        <w:rPr>
          <w:noProof/>
          <w:vertAlign w:val="superscript"/>
        </w:rPr>
        <w:t>8</w:t>
      </w:r>
      <w:r>
        <w:t xml:space="preserve"> contain</w:t>
      </w:r>
      <w:r w:rsidRPr="004471BA">
        <w:t xml:space="preserve"> no recommendations regarding doses higher </w:t>
      </w:r>
      <w:r w:rsidRPr="009D06BA">
        <w:t>than 20</w:t>
      </w:r>
      <w:r w:rsidR="00067504">
        <w:t xml:space="preserve"> mg</w:t>
      </w:r>
      <w:r w:rsidRPr="009D06BA">
        <w:t xml:space="preserve"> </w:t>
      </w:r>
      <w:proofErr w:type="spellStart"/>
      <w:r w:rsidR="0027496F">
        <w:t>tid</w:t>
      </w:r>
      <w:proofErr w:type="spellEnd"/>
      <w:r w:rsidRPr="009D06BA">
        <w:t xml:space="preserve"> </w:t>
      </w:r>
      <w:proofErr w:type="gramStart"/>
      <w:r w:rsidRPr="009D06BA">
        <w:t>however,</w:t>
      </w:r>
      <w:proofErr w:type="gramEnd"/>
      <w:r w:rsidRPr="009D06BA">
        <w:t xml:space="preserve"> the CHEST guideline</w:t>
      </w:r>
      <w:r w:rsidR="009C556B" w:rsidRPr="009C556B">
        <w:rPr>
          <w:rFonts w:cstheme="minorHAnsi"/>
          <w:noProof/>
          <w:vertAlign w:val="superscript"/>
        </w:rPr>
        <w:t>19</w:t>
      </w:r>
      <w:r w:rsidRPr="009D06BA">
        <w:t xml:space="preserve"> does suggest exploring higher dose</w:t>
      </w:r>
      <w:r>
        <w:t>s:</w:t>
      </w:r>
    </w:p>
    <w:p w14:paraId="44D81455" w14:textId="41AD5685" w:rsidR="00B15FF7" w:rsidRPr="005309C6" w:rsidRDefault="00B15FF7" w:rsidP="00121658">
      <w:pPr>
        <w:rPr>
          <w:rFonts w:asciiTheme="minorHAnsi" w:hAnsiTheme="minorHAnsi"/>
          <w:i/>
        </w:rPr>
      </w:pPr>
      <w:r w:rsidRPr="005309C6">
        <w:rPr>
          <w:rFonts w:asciiTheme="minorHAnsi" w:hAnsiTheme="minorHAnsi"/>
          <w:i/>
        </w:rPr>
        <w:t xml:space="preserve">“Titration of therapy up to 80 mg </w:t>
      </w:r>
      <w:proofErr w:type="spellStart"/>
      <w:r w:rsidRPr="005309C6">
        <w:rPr>
          <w:rFonts w:asciiTheme="minorHAnsi" w:hAnsiTheme="minorHAnsi"/>
          <w:i/>
        </w:rPr>
        <w:t>tid</w:t>
      </w:r>
      <w:proofErr w:type="spellEnd"/>
      <w:r w:rsidRPr="005309C6">
        <w:rPr>
          <w:rFonts w:asciiTheme="minorHAnsi" w:hAnsiTheme="minorHAnsi"/>
          <w:i/>
        </w:rPr>
        <w:t xml:space="preserve"> has been done in clinical trials and a dose response in hemodynamic response has been noted. In patients who fail to demonstrate and maintain an adequate clinical response to 20</w:t>
      </w:r>
      <w:r w:rsidR="00067504">
        <w:rPr>
          <w:rFonts w:asciiTheme="minorHAnsi" w:hAnsiTheme="minorHAnsi"/>
          <w:i/>
        </w:rPr>
        <w:t xml:space="preserve"> mg</w:t>
      </w:r>
      <w:r w:rsidRPr="005309C6">
        <w:rPr>
          <w:rFonts w:asciiTheme="minorHAnsi" w:hAnsiTheme="minorHAnsi"/>
          <w:i/>
        </w:rPr>
        <w:t xml:space="preserve"> sildenafil </w:t>
      </w:r>
      <w:proofErr w:type="spellStart"/>
      <w:r w:rsidRPr="005309C6">
        <w:rPr>
          <w:rFonts w:asciiTheme="minorHAnsi" w:hAnsiTheme="minorHAnsi"/>
          <w:i/>
        </w:rPr>
        <w:t>tid</w:t>
      </w:r>
      <w:proofErr w:type="spellEnd"/>
      <w:r w:rsidRPr="005309C6">
        <w:rPr>
          <w:rFonts w:asciiTheme="minorHAnsi" w:hAnsiTheme="minorHAnsi"/>
          <w:i/>
        </w:rPr>
        <w:t xml:space="preserve">, we recommend consideration of increasing the dose in 20 mg increments to a maximum of 80 mg </w:t>
      </w:r>
      <w:proofErr w:type="spellStart"/>
      <w:r w:rsidRPr="005309C6">
        <w:rPr>
          <w:rFonts w:asciiTheme="minorHAnsi" w:hAnsiTheme="minorHAnsi"/>
          <w:i/>
        </w:rPr>
        <w:t>tid</w:t>
      </w:r>
      <w:proofErr w:type="spellEnd"/>
      <w:r w:rsidRPr="005309C6">
        <w:rPr>
          <w:rFonts w:asciiTheme="minorHAnsi" w:hAnsiTheme="minorHAnsi"/>
          <w:i/>
        </w:rPr>
        <w:t xml:space="preserve"> or adding another agent”.</w:t>
      </w:r>
    </w:p>
    <w:p w14:paraId="3090E4E9" w14:textId="77777777" w:rsidR="00B92C85" w:rsidRDefault="00533AB0" w:rsidP="00121658">
      <w:pPr>
        <w:pStyle w:val="Heading4"/>
        <w:jc w:val="left"/>
        <w:rPr>
          <w:rFonts w:eastAsiaTheme="minorEastAsia"/>
          <w:sz w:val="28"/>
          <w:szCs w:val="22"/>
          <w:lang w:eastAsia="en-AU"/>
        </w:rPr>
      </w:pPr>
      <w:bookmarkStart w:id="234" w:name="_Ref506294993"/>
      <w:r>
        <w:rPr>
          <w:rFonts w:eastAsiaTheme="minorEastAsia"/>
        </w:rPr>
        <w:lastRenderedPageBreak/>
        <w:t>Paediatric use</w:t>
      </w:r>
      <w:bookmarkEnd w:id="233"/>
      <w:bookmarkEnd w:id="234"/>
    </w:p>
    <w:p w14:paraId="41AA84ED" w14:textId="77777777" w:rsidR="00DC0C4C" w:rsidRPr="00BE0957" w:rsidRDefault="00DC0C4C" w:rsidP="00121658">
      <w:pPr>
        <w:pStyle w:val="Heading5"/>
        <w:jc w:val="left"/>
        <w:rPr>
          <w:rFonts w:asciiTheme="minorHAnsi" w:hAnsiTheme="minorHAnsi"/>
        </w:rPr>
      </w:pPr>
      <w:r w:rsidRPr="00BE0957">
        <w:rPr>
          <w:rFonts w:asciiTheme="minorHAnsi" w:hAnsiTheme="minorHAnsi"/>
        </w:rPr>
        <w:t>Current PBS requirement</w:t>
      </w:r>
    </w:p>
    <w:p w14:paraId="45BA6079" w14:textId="77777777" w:rsidR="00533AB0" w:rsidRPr="00A60F44" w:rsidRDefault="00533AB0" w:rsidP="00121658">
      <w:pPr>
        <w:rPr>
          <w:rFonts w:asciiTheme="minorHAnsi" w:hAnsiTheme="minorHAnsi"/>
          <w:szCs w:val="22"/>
          <w:lang w:eastAsia="en-AU"/>
        </w:rPr>
      </w:pPr>
      <w:r w:rsidRPr="00A60F44">
        <w:rPr>
          <w:rFonts w:asciiTheme="minorHAnsi" w:hAnsiTheme="minorHAnsi"/>
        </w:rPr>
        <w:t>All the current PBS restrictions provide for treatment of paediatric patients</w:t>
      </w:r>
      <w:r w:rsidR="003C17FA" w:rsidRPr="00A60F44">
        <w:rPr>
          <w:rFonts w:asciiTheme="minorHAnsi" w:hAnsiTheme="minorHAnsi"/>
        </w:rPr>
        <w:t xml:space="preserve">. </w:t>
      </w:r>
      <w:r w:rsidR="004F0200" w:rsidRPr="00A60F44">
        <w:rPr>
          <w:rFonts w:asciiTheme="minorHAnsi" w:hAnsiTheme="minorHAnsi"/>
        </w:rPr>
        <w:t>T</w:t>
      </w:r>
      <w:r w:rsidR="004A1EBF" w:rsidRPr="00A60F44">
        <w:rPr>
          <w:rFonts w:asciiTheme="minorHAnsi" w:hAnsiTheme="minorHAnsi"/>
        </w:rPr>
        <w:t xml:space="preserve">he clinical criteria </w:t>
      </w:r>
      <w:r w:rsidR="004F0200" w:rsidRPr="00A60F44">
        <w:rPr>
          <w:rFonts w:asciiTheme="minorHAnsi" w:hAnsiTheme="minorHAnsi"/>
        </w:rPr>
        <w:t xml:space="preserve">are silent on the age group and though adults </w:t>
      </w:r>
      <w:proofErr w:type="gramStart"/>
      <w:r w:rsidR="004F0200" w:rsidRPr="00A60F44">
        <w:rPr>
          <w:rFonts w:asciiTheme="minorHAnsi" w:hAnsiTheme="minorHAnsi"/>
        </w:rPr>
        <w:t>were specified</w:t>
      </w:r>
      <w:proofErr w:type="gramEnd"/>
      <w:r w:rsidR="004F0200" w:rsidRPr="00A60F44">
        <w:rPr>
          <w:rFonts w:asciiTheme="minorHAnsi" w:hAnsiTheme="minorHAnsi"/>
        </w:rPr>
        <w:t xml:space="preserve"> in some items in the past, this has since been removed. Further, t</w:t>
      </w:r>
      <w:r w:rsidR="004A1EBF" w:rsidRPr="00A60F44">
        <w:rPr>
          <w:rFonts w:asciiTheme="minorHAnsi" w:hAnsiTheme="minorHAnsi"/>
        </w:rPr>
        <w:t xml:space="preserve">he definition of response to treatment for all </w:t>
      </w:r>
      <w:r w:rsidR="00F95235" w:rsidRPr="00A60F44">
        <w:rPr>
          <w:rFonts w:asciiTheme="minorHAnsi" w:hAnsiTheme="minorHAnsi"/>
        </w:rPr>
        <w:t>PAH medicines</w:t>
      </w:r>
      <w:r w:rsidR="004A1EBF" w:rsidRPr="00A60F44">
        <w:rPr>
          <w:rFonts w:asciiTheme="minorHAnsi" w:hAnsiTheme="minorHAnsi"/>
        </w:rPr>
        <w:t xml:space="preserve"> listed provides criteria specific to patients under 18 years</w:t>
      </w:r>
      <w:r w:rsidR="00EE1F96">
        <w:rPr>
          <w:rFonts w:asciiTheme="minorHAnsi" w:hAnsiTheme="minorHAnsi"/>
        </w:rPr>
        <w:t>.</w:t>
      </w:r>
    </w:p>
    <w:p w14:paraId="1A13DCC6" w14:textId="77777777" w:rsidR="00644365" w:rsidRPr="00A60F44" w:rsidRDefault="00644365" w:rsidP="00121658">
      <w:pPr>
        <w:rPr>
          <w:rFonts w:asciiTheme="minorHAnsi" w:hAnsiTheme="minorHAnsi"/>
        </w:rPr>
      </w:pPr>
      <w:r w:rsidRPr="00A60F44">
        <w:rPr>
          <w:rFonts w:asciiTheme="minorHAnsi" w:hAnsiTheme="minorHAnsi"/>
        </w:rPr>
        <w:t xml:space="preserve">At least some of the PBS restrictions refer to dosing and adverse events criteria in the PI of relevant PAH medicines. With the exception of </w:t>
      </w:r>
      <w:proofErr w:type="gramStart"/>
      <w:r w:rsidRPr="00A60F44">
        <w:rPr>
          <w:rFonts w:asciiTheme="minorHAnsi" w:hAnsiTheme="minorHAnsi"/>
        </w:rPr>
        <w:t>bosentan</w:t>
      </w:r>
      <w:proofErr w:type="gramEnd"/>
      <w:r w:rsidRPr="00A60F44">
        <w:rPr>
          <w:rFonts w:asciiTheme="minorHAnsi" w:hAnsiTheme="minorHAnsi"/>
        </w:rPr>
        <w:t xml:space="preserve"> it is not clear that the PIs would reflect the correct information for children</w:t>
      </w:r>
      <w:r w:rsidR="00EE1F96">
        <w:rPr>
          <w:rFonts w:asciiTheme="minorHAnsi" w:hAnsiTheme="minorHAnsi"/>
        </w:rPr>
        <w:t>.</w:t>
      </w:r>
    </w:p>
    <w:p w14:paraId="0709511B" w14:textId="77777777" w:rsidR="00644365" w:rsidRPr="00BE0957" w:rsidRDefault="00644365" w:rsidP="00121658">
      <w:pPr>
        <w:pStyle w:val="Heading5"/>
        <w:jc w:val="left"/>
        <w:rPr>
          <w:rFonts w:asciiTheme="minorHAnsi" w:hAnsiTheme="minorHAnsi"/>
        </w:rPr>
      </w:pPr>
      <w:r w:rsidRPr="00BE0957">
        <w:rPr>
          <w:rFonts w:asciiTheme="minorHAnsi" w:hAnsiTheme="minorHAnsi"/>
        </w:rPr>
        <w:t>Guideline recommendations</w:t>
      </w:r>
    </w:p>
    <w:p w14:paraId="0B791CA1" w14:textId="7374738F" w:rsidR="00644365" w:rsidRPr="005309C6" w:rsidRDefault="009A7B6B" w:rsidP="005309C6">
      <w:pPr>
        <w:pStyle w:val="BodyTextnospacebefore"/>
        <w:rPr>
          <w:i/>
        </w:rPr>
      </w:pPr>
      <w:r>
        <w:t xml:space="preserve">The </w:t>
      </w:r>
      <w:r w:rsidR="008F6AA4">
        <w:t>2015 ESC/ERS Guidelines</w:t>
      </w:r>
      <w:r>
        <w:t xml:space="preserve"> state </w:t>
      </w:r>
      <w:proofErr w:type="gramStart"/>
      <w:r>
        <w:t>that:</w:t>
      </w:r>
      <w:proofErr w:type="gramEnd"/>
      <w:r>
        <w:t xml:space="preserve"> </w:t>
      </w:r>
      <w:r w:rsidR="00A31A28" w:rsidRPr="005309C6">
        <w:rPr>
          <w:i/>
        </w:rPr>
        <w:t>Sildenafil has shown efficacy and has been approved in Europe for children 1–17 years of age. Increased mortality using high doses has raised concerns; therefore high doses should not be used in children (high individual doses of sildenafil on a three daily dosing not recommended:</w:t>
      </w:r>
      <w:r w:rsidRPr="005309C6">
        <w:rPr>
          <w:i/>
        </w:rPr>
        <w:t xml:space="preserve"> </w:t>
      </w:r>
      <w:r w:rsidR="00A31A28" w:rsidRPr="005309C6">
        <w:rPr>
          <w:i/>
        </w:rPr>
        <w:t>10 mg/dose with a bodyweight of 8</w:t>
      </w:r>
      <w:r w:rsidR="0040413E">
        <w:rPr>
          <w:i/>
        </w:rPr>
        <w:noBreakHyphen/>
      </w:r>
      <w:r w:rsidR="00A31A28" w:rsidRPr="005309C6">
        <w:rPr>
          <w:i/>
        </w:rPr>
        <w:t>20</w:t>
      </w:r>
      <w:r w:rsidR="0040413E">
        <w:rPr>
          <w:i/>
        </w:rPr>
        <w:t> </w:t>
      </w:r>
      <w:r w:rsidR="00A31A28" w:rsidRPr="005309C6">
        <w:rPr>
          <w:i/>
        </w:rPr>
        <w:t>kg,</w:t>
      </w:r>
      <w:r w:rsidRPr="005309C6">
        <w:rPr>
          <w:i/>
        </w:rPr>
        <w:t xml:space="preserve"> </w:t>
      </w:r>
      <w:r w:rsidR="00A31A28" w:rsidRPr="005309C6">
        <w:rPr>
          <w:i/>
        </w:rPr>
        <w:t>20 mg/dose in children with a bodyweight &gt;</w:t>
      </w:r>
      <w:r w:rsidRPr="005309C6">
        <w:rPr>
          <w:i/>
        </w:rPr>
        <w:t xml:space="preserve">20 kg or </w:t>
      </w:r>
      <w:r w:rsidR="00A31A28" w:rsidRPr="005309C6">
        <w:rPr>
          <w:i/>
        </w:rPr>
        <w:t>1 mg/kg/dose in infants and small children)</w:t>
      </w:r>
      <w:r w:rsidR="00EE1F96">
        <w:rPr>
          <w:i/>
        </w:rPr>
        <w:t>.</w:t>
      </w:r>
    </w:p>
    <w:p w14:paraId="404BF939" w14:textId="77777777" w:rsidR="0061278C" w:rsidRPr="0061278C" w:rsidRDefault="0061278C" w:rsidP="005309C6">
      <w:pPr>
        <w:pStyle w:val="BodyTextnospacebefore"/>
      </w:pPr>
      <w:r w:rsidRPr="00B15FF7">
        <w:t xml:space="preserve">The CHEST Guideline states that it makes no recommendations for children, </w:t>
      </w:r>
      <w:proofErr w:type="spellStart"/>
      <w:r w:rsidR="00BE0957" w:rsidRPr="00B15FF7">
        <w:t>referring</w:t>
      </w:r>
      <w:proofErr w:type="spellEnd"/>
      <w:r w:rsidRPr="00B15FF7">
        <w:t xml:space="preserve"> instead to the Ivy et al., guideline</w:t>
      </w:r>
      <w:r w:rsidR="009C556B" w:rsidRPr="009C556B">
        <w:rPr>
          <w:noProof/>
          <w:vertAlign w:val="superscript"/>
        </w:rPr>
        <w:t>23</w:t>
      </w:r>
      <w:r w:rsidR="00EE1F96">
        <w:t>.</w:t>
      </w:r>
    </w:p>
    <w:p w14:paraId="3DA4C40B" w14:textId="77777777" w:rsidR="00422204" w:rsidRPr="005309C6" w:rsidRDefault="00422204" w:rsidP="00121658">
      <w:pPr>
        <w:pStyle w:val="Heading5"/>
        <w:jc w:val="left"/>
        <w:rPr>
          <w:rFonts w:asciiTheme="minorHAnsi" w:hAnsiTheme="minorHAnsi"/>
        </w:rPr>
      </w:pPr>
      <w:r w:rsidRPr="005309C6">
        <w:rPr>
          <w:rFonts w:asciiTheme="minorHAnsi" w:hAnsiTheme="minorHAnsi"/>
        </w:rPr>
        <w:t>Pharmaceutical forms</w:t>
      </w:r>
    </w:p>
    <w:p w14:paraId="7501A6A5" w14:textId="77777777" w:rsidR="00533AB0" w:rsidRPr="00533AB0" w:rsidRDefault="00F95235" w:rsidP="005309C6">
      <w:pPr>
        <w:pStyle w:val="BodyTextnospacebefore"/>
      </w:pPr>
      <w:r>
        <w:t>PAH medicines</w:t>
      </w:r>
      <w:r w:rsidR="00422204">
        <w:t xml:space="preserve"> that are</w:t>
      </w:r>
      <w:r w:rsidR="00533AB0" w:rsidRPr="00533AB0">
        <w:t xml:space="preserve"> available as tablets</w:t>
      </w:r>
      <w:r w:rsidR="00ED574F">
        <w:t xml:space="preserve"> (</w:t>
      </w:r>
      <w:r w:rsidR="00ED574F" w:rsidRPr="00422204">
        <w:t xml:space="preserve">ERAs, </w:t>
      </w:r>
      <w:r w:rsidR="00ED574F">
        <w:t>PDE</w:t>
      </w:r>
      <w:r w:rsidR="00ED574F">
        <w:noBreakHyphen/>
        <w:t>5</w:t>
      </w:r>
      <w:r w:rsidR="00ED574F" w:rsidRPr="00422204">
        <w:t xml:space="preserve"> inhibitors</w:t>
      </w:r>
      <w:r w:rsidR="00ED574F">
        <w:t xml:space="preserve"> and riociguat (</w:t>
      </w:r>
      <w:proofErr w:type="gramStart"/>
      <w:r w:rsidR="00ED574F">
        <w:t>also selexipag</w:t>
      </w:r>
      <w:proofErr w:type="gramEnd"/>
      <w:r w:rsidR="00ED574F">
        <w:t>))</w:t>
      </w:r>
      <w:r w:rsidR="00533AB0" w:rsidRPr="00533AB0">
        <w:t xml:space="preserve"> would need to be compounded by the pharmacist for children unable to swallow </w:t>
      </w:r>
      <w:r w:rsidR="00ED574F">
        <w:t>a</w:t>
      </w:r>
      <w:r w:rsidR="00533AB0" w:rsidRPr="00533AB0">
        <w:t xml:space="preserve"> tablet</w:t>
      </w:r>
      <w:r w:rsidR="00ED574F">
        <w:t xml:space="preserve"> or where appropriate low-dose strengths are unavailable</w:t>
      </w:r>
      <w:r w:rsidR="00AC5B85">
        <w:t xml:space="preserve">. </w:t>
      </w:r>
      <w:r w:rsidR="00533AB0" w:rsidRPr="00533AB0">
        <w:t xml:space="preserve">Compounded medicines are not eligible for PBS subsidy and </w:t>
      </w:r>
      <w:proofErr w:type="gramStart"/>
      <w:r w:rsidR="00533AB0" w:rsidRPr="00533AB0">
        <w:t>must be obtained</w:t>
      </w:r>
      <w:proofErr w:type="gramEnd"/>
      <w:r w:rsidR="00533AB0" w:rsidRPr="00533AB0">
        <w:t xml:space="preserve"> on a private script (or through schemes that may be available through treating hospitals). Few community pharmacies offer compounding and for those that do, the typical cost per script for a compounded oral suspension </w:t>
      </w:r>
      <w:r w:rsidR="00ED574F">
        <w:t>can be</w:t>
      </w:r>
      <w:r w:rsidR="00533AB0" w:rsidRPr="00533AB0">
        <w:t xml:space="preserve"> $70-$90 per script.</w:t>
      </w:r>
    </w:p>
    <w:p w14:paraId="5B63012D" w14:textId="77777777" w:rsidR="00533AB0" w:rsidRPr="00A60F44" w:rsidRDefault="00533AB0" w:rsidP="00121658">
      <w:pPr>
        <w:rPr>
          <w:rFonts w:asciiTheme="minorHAnsi" w:hAnsiTheme="minorHAnsi"/>
        </w:rPr>
      </w:pPr>
      <w:r w:rsidRPr="00A60F44">
        <w:rPr>
          <w:rFonts w:asciiTheme="minorHAnsi" w:hAnsiTheme="minorHAnsi"/>
        </w:rPr>
        <w:t>Private scripts do not contribute to safety net thresholds nor are they eligible for concessions. Alternatively,</w:t>
      </w:r>
      <w:r w:rsidR="00590373" w:rsidRPr="00A60F44">
        <w:rPr>
          <w:rFonts w:asciiTheme="minorHAnsi" w:hAnsiTheme="minorHAnsi"/>
        </w:rPr>
        <w:t xml:space="preserve"> </w:t>
      </w:r>
      <w:r w:rsidRPr="00A60F44">
        <w:rPr>
          <w:rFonts w:asciiTheme="minorHAnsi" w:hAnsiTheme="minorHAnsi"/>
        </w:rPr>
        <w:t xml:space="preserve">the PBS-subsidised tablets </w:t>
      </w:r>
      <w:proofErr w:type="gramStart"/>
      <w:r w:rsidR="00ED574F" w:rsidRPr="00A60F44">
        <w:rPr>
          <w:rFonts w:asciiTheme="minorHAnsi" w:hAnsiTheme="minorHAnsi"/>
        </w:rPr>
        <w:t>may</w:t>
      </w:r>
      <w:r w:rsidRPr="00A60F44">
        <w:rPr>
          <w:rFonts w:asciiTheme="minorHAnsi" w:hAnsiTheme="minorHAnsi"/>
        </w:rPr>
        <w:t xml:space="preserve"> be crushed and suspended for each dose by the patient’s carer</w:t>
      </w:r>
      <w:r w:rsidR="004F0200" w:rsidRPr="00A60F44">
        <w:rPr>
          <w:rFonts w:asciiTheme="minorHAnsi" w:hAnsiTheme="minorHAnsi"/>
        </w:rPr>
        <w:t xml:space="preserve"> (if an age-</w:t>
      </w:r>
      <w:r w:rsidR="00C40AC4" w:rsidRPr="00A60F44">
        <w:rPr>
          <w:rFonts w:asciiTheme="minorHAnsi" w:hAnsiTheme="minorHAnsi"/>
        </w:rPr>
        <w:t>appropriate</w:t>
      </w:r>
      <w:r w:rsidR="004F0200" w:rsidRPr="00A60F44">
        <w:rPr>
          <w:rFonts w:asciiTheme="minorHAnsi" w:hAnsiTheme="minorHAnsi"/>
        </w:rPr>
        <w:t xml:space="preserve"> tablet strength is available)</w:t>
      </w:r>
      <w:proofErr w:type="gramEnd"/>
      <w:r w:rsidR="00AC5B85" w:rsidRPr="00A60F44">
        <w:rPr>
          <w:rFonts w:asciiTheme="minorHAnsi" w:hAnsiTheme="minorHAnsi"/>
        </w:rPr>
        <w:t xml:space="preserve">. </w:t>
      </w:r>
    </w:p>
    <w:p w14:paraId="0030F14B" w14:textId="77777777" w:rsidR="00422204" w:rsidRPr="00A60F44" w:rsidRDefault="00422204" w:rsidP="005309C6">
      <w:pPr>
        <w:pStyle w:val="BodyTextnospacebefore"/>
      </w:pPr>
      <w:r w:rsidRPr="00A60F44">
        <w:t>Pharmaceutical forms suitable for paediatric administration that are available overseas, such as oral solutions, are not on the market in Australia</w:t>
      </w:r>
      <w:r w:rsidR="00AC5B85" w:rsidRPr="00A60F44">
        <w:t xml:space="preserve">. </w:t>
      </w:r>
      <w:r w:rsidRPr="00A60F44">
        <w:t>Product information for Europe and the USA show that, in both regions, sildenafil is available as powder for oral suspension and bosentan is available as a dispersible tablet. The bosentan dispersible tablet is a lower strength 32</w:t>
      </w:r>
      <w:r w:rsidR="0040413E">
        <w:t> </w:t>
      </w:r>
      <w:r w:rsidRPr="00A60F44">
        <w:t xml:space="preserve">mg tablet that is also </w:t>
      </w:r>
      <w:r w:rsidR="000E442A" w:rsidRPr="00A60F44">
        <w:t>‘</w:t>
      </w:r>
      <w:proofErr w:type="spellStart"/>
      <w:r w:rsidRPr="00A60F44">
        <w:t>quadrisectable</w:t>
      </w:r>
      <w:proofErr w:type="spellEnd"/>
      <w:r w:rsidR="000E442A" w:rsidRPr="00A60F44">
        <w:t>’</w:t>
      </w:r>
      <w:r w:rsidRPr="00A60F44">
        <w:t xml:space="preserve"> into 8</w:t>
      </w:r>
      <w:r w:rsidR="0040413E">
        <w:t> </w:t>
      </w:r>
      <w:r w:rsidRPr="00A60F44">
        <w:t>mg portions to enable dosing of young children with a cor</w:t>
      </w:r>
      <w:r w:rsidR="00EE1F96">
        <w:t>respondingly small body weight.</w:t>
      </w:r>
    </w:p>
    <w:p w14:paraId="70A58AD5" w14:textId="77777777" w:rsidR="00644365" w:rsidRPr="005309C6" w:rsidRDefault="00644365" w:rsidP="00121658">
      <w:pPr>
        <w:pStyle w:val="Heading5"/>
        <w:jc w:val="left"/>
        <w:rPr>
          <w:rFonts w:asciiTheme="minorHAnsi" w:hAnsiTheme="minorHAnsi"/>
        </w:rPr>
      </w:pPr>
      <w:r w:rsidRPr="005309C6">
        <w:rPr>
          <w:rFonts w:asciiTheme="minorHAnsi" w:hAnsiTheme="minorHAnsi"/>
        </w:rPr>
        <w:lastRenderedPageBreak/>
        <w:t>Other PI statements regarding children</w:t>
      </w:r>
    </w:p>
    <w:p w14:paraId="19CBFD40" w14:textId="77777777" w:rsidR="00644365" w:rsidRPr="00422204" w:rsidRDefault="00644365" w:rsidP="005309C6">
      <w:pPr>
        <w:pStyle w:val="BodyTextnospacebefore"/>
      </w:pPr>
      <w:r w:rsidRPr="00422204">
        <w:t xml:space="preserve">The current Australian PI for riociguat states that it </w:t>
      </w:r>
      <w:proofErr w:type="gramStart"/>
      <w:r w:rsidRPr="00422204">
        <w:t>has not been studied</w:t>
      </w:r>
      <w:proofErr w:type="gramEnd"/>
      <w:r w:rsidRPr="00422204">
        <w:t xml:space="preserve"> in children and is therefore not recommended. The European Public Assessment Report (EPAR, 23 January 2014) goes further, and comments that effects of riociguat on bone growth </w:t>
      </w:r>
      <w:proofErr w:type="gramStart"/>
      <w:r w:rsidRPr="00422204">
        <w:t>have been observed</w:t>
      </w:r>
      <w:proofErr w:type="gramEnd"/>
      <w:r w:rsidRPr="00422204">
        <w:t xml:space="preserve"> in both mouse and rat toxicology studies. The EPAR </w:t>
      </w:r>
      <w:proofErr w:type="gramStart"/>
      <w:r w:rsidRPr="00422204">
        <w:t>advises</w:t>
      </w:r>
      <w:proofErr w:type="gramEnd"/>
      <w:r w:rsidRPr="00422204">
        <w:t xml:space="preserve"> </w:t>
      </w:r>
      <w:r w:rsidRPr="00422204">
        <w:rPr>
          <w:i/>
        </w:rPr>
        <w:t>“The implications of the adverse effects on bone encountered in growing rats on paediatric patients in whom the epiphysis is not yet closed are not clear. Until more is known, the use of riociguat in children and in growing adolescents should be avoided”</w:t>
      </w:r>
      <w:r w:rsidRPr="00422204">
        <w:t>.</w:t>
      </w:r>
    </w:p>
    <w:p w14:paraId="41BF4975" w14:textId="77777777" w:rsidR="00590373" w:rsidRPr="005309C6" w:rsidRDefault="00422204" w:rsidP="00121658">
      <w:pPr>
        <w:pStyle w:val="Heading5"/>
        <w:jc w:val="left"/>
        <w:rPr>
          <w:rFonts w:asciiTheme="minorHAnsi" w:hAnsiTheme="minorHAnsi"/>
        </w:rPr>
      </w:pPr>
      <w:bookmarkStart w:id="235" w:name="_Ref506191464"/>
      <w:r w:rsidRPr="005309C6">
        <w:rPr>
          <w:rFonts w:asciiTheme="minorHAnsi" w:hAnsiTheme="minorHAnsi"/>
        </w:rPr>
        <w:t>Use of sildenafil</w:t>
      </w:r>
      <w:r w:rsidR="00590373" w:rsidRPr="005309C6">
        <w:rPr>
          <w:rFonts w:asciiTheme="minorHAnsi" w:hAnsiTheme="minorHAnsi"/>
        </w:rPr>
        <w:t xml:space="preserve"> for PAH in children</w:t>
      </w:r>
      <w:bookmarkEnd w:id="235"/>
    </w:p>
    <w:p w14:paraId="6271D2BC" w14:textId="77777777" w:rsidR="00644365" w:rsidRDefault="00644365" w:rsidP="005309C6">
      <w:pPr>
        <w:pStyle w:val="BodyTextnospacebefore"/>
      </w:pPr>
      <w:r>
        <w:t xml:space="preserve">During preparation of this report it became evident there </w:t>
      </w:r>
      <w:r w:rsidR="004F0200">
        <w:t xml:space="preserve">is </w:t>
      </w:r>
      <w:r w:rsidR="00422204" w:rsidRPr="00422204">
        <w:t xml:space="preserve">a large </w:t>
      </w:r>
      <w:r>
        <w:t>volume</w:t>
      </w:r>
      <w:r w:rsidR="00422204" w:rsidRPr="00422204">
        <w:t xml:space="preserve"> of </w:t>
      </w:r>
      <w:r>
        <w:t>published literature</w:t>
      </w:r>
      <w:r w:rsidR="00422204" w:rsidRPr="00422204">
        <w:t xml:space="preserve"> regarding use of sildenafil in children with PAH</w:t>
      </w:r>
      <w:r w:rsidR="00EE1F96">
        <w:t>.</w:t>
      </w:r>
    </w:p>
    <w:p w14:paraId="43AE7035" w14:textId="77777777" w:rsidR="005309C6" w:rsidRPr="00422204" w:rsidRDefault="00422204" w:rsidP="00807704">
      <w:pPr>
        <w:pStyle w:val="BodyTextnospacebefore"/>
      </w:pPr>
      <w:r>
        <w:t xml:space="preserve">In </w:t>
      </w:r>
      <w:proofErr w:type="gramStart"/>
      <w:r>
        <w:t>2011</w:t>
      </w:r>
      <w:proofErr w:type="gramEnd"/>
      <w:r>
        <w:t xml:space="preserve"> Pfizer sought to extend the indication for sildenafil to include children (1-17 years) and made applications to the TGA</w:t>
      </w:r>
      <w:r w:rsidR="009C556B" w:rsidRPr="009C556B">
        <w:rPr>
          <w:noProof/>
          <w:vertAlign w:val="superscript"/>
        </w:rPr>
        <w:t>39</w:t>
      </w:r>
      <w:r w:rsidR="005309C6">
        <w:t xml:space="preserve"> and regulatory aut</w:t>
      </w:r>
      <w:r w:rsidR="00EE1F96">
        <w:t>horities overseas.</w:t>
      </w:r>
    </w:p>
    <w:p w14:paraId="1613690A" w14:textId="44C28CAF" w:rsidR="005309C6" w:rsidRPr="00422204" w:rsidRDefault="005309C6" w:rsidP="005309C6">
      <w:pPr>
        <w:pStyle w:val="BodyTextnospacebefore"/>
      </w:pPr>
      <w:r w:rsidRPr="00422204">
        <w:t>Pfizer</w:t>
      </w:r>
      <w:r>
        <w:t>’s application to the TGA</w:t>
      </w:r>
      <w:r w:rsidRPr="00422204">
        <w:t xml:space="preserve"> proposed extemporaneous compounding of a 10</w:t>
      </w:r>
      <w:r w:rsidR="00067504">
        <w:t xml:space="preserve"> mg</w:t>
      </w:r>
      <w:r w:rsidRPr="00422204">
        <w:t>/mL oral solution for children unable to swallow a tablet, prepared from 62</w:t>
      </w:r>
      <w:r w:rsidR="0040413E">
        <w:t> </w:t>
      </w:r>
      <w:r w:rsidRPr="00422204">
        <w:t>x</w:t>
      </w:r>
      <w:r w:rsidR="0040413E">
        <w:t> </w:t>
      </w:r>
      <w:r w:rsidRPr="00422204">
        <w:t>20</w:t>
      </w:r>
      <w:r w:rsidR="0040413E">
        <w:t> </w:t>
      </w:r>
      <w:r w:rsidRPr="00422204">
        <w:t xml:space="preserve">mg </w:t>
      </w:r>
      <w:proofErr w:type="spellStart"/>
      <w:r>
        <w:t>Revatio</w:t>
      </w:r>
      <w:proofErr w:type="spellEnd"/>
      <w:r>
        <w:rPr>
          <w:vertAlign w:val="superscript"/>
        </w:rPr>
        <w:t>®</w:t>
      </w:r>
      <w:r w:rsidRPr="00422204">
        <w:t xml:space="preserve"> tablets (the </w:t>
      </w:r>
      <w:r w:rsidR="000D2508" w:rsidRPr="000D2508">
        <w:t xml:space="preserve">Australian public assessment report </w:t>
      </w:r>
      <w:r w:rsidR="000D2508">
        <w:t>(</w:t>
      </w:r>
      <w:proofErr w:type="spellStart"/>
      <w:r w:rsidRPr="00422204">
        <w:t>AusPAR</w:t>
      </w:r>
      <w:proofErr w:type="spellEnd"/>
      <w:r w:rsidR="000D2508">
        <w:t>)</w:t>
      </w:r>
      <w:r w:rsidRPr="00422204">
        <w:t xml:space="preserve"> notes that the same solution could also be prepared using only 12</w:t>
      </w:r>
      <w:r w:rsidR="0040413E">
        <w:t> </w:t>
      </w:r>
      <w:r w:rsidRPr="00422204">
        <w:t>x</w:t>
      </w:r>
      <w:r w:rsidR="0040413E">
        <w:t> </w:t>
      </w:r>
      <w:r w:rsidRPr="00422204">
        <w:t>100</w:t>
      </w:r>
      <w:r w:rsidR="0040413E">
        <w:t> </w:t>
      </w:r>
      <w:r w:rsidRPr="00422204">
        <w:t>mg Viagra tablets)</w:t>
      </w:r>
      <w:r>
        <w:t xml:space="preserve">. </w:t>
      </w:r>
      <w:r w:rsidRPr="00422204">
        <w:t xml:space="preserve">The application </w:t>
      </w:r>
      <w:proofErr w:type="gramStart"/>
      <w:r w:rsidRPr="00422204">
        <w:t>was subsequently withdrawn</w:t>
      </w:r>
      <w:proofErr w:type="gramEnd"/>
      <w:r w:rsidRPr="00422204">
        <w:t xml:space="preserve"> and </w:t>
      </w:r>
      <w:proofErr w:type="spellStart"/>
      <w:r>
        <w:t>Revatio</w:t>
      </w:r>
      <w:proofErr w:type="spellEnd"/>
      <w:r>
        <w:rPr>
          <w:vertAlign w:val="superscript"/>
        </w:rPr>
        <w:t>®</w:t>
      </w:r>
      <w:r w:rsidRPr="00422204">
        <w:t xml:space="preserve"> remains approved for use only in adults in Australia</w:t>
      </w:r>
      <w:r w:rsidR="00EE1F96">
        <w:t>.</w:t>
      </w:r>
    </w:p>
    <w:p w14:paraId="01B15890" w14:textId="77777777" w:rsidR="005309C6" w:rsidRPr="00422204" w:rsidRDefault="005309C6" w:rsidP="005309C6">
      <w:pPr>
        <w:pStyle w:val="BodyTextnospacebefore"/>
      </w:pPr>
      <w:r w:rsidRPr="00422204">
        <w:t>Pfizer</w:t>
      </w:r>
      <w:r>
        <w:t>’s</w:t>
      </w:r>
      <w:r w:rsidRPr="00422204">
        <w:t xml:space="preserve"> application to the US Food and Drug Administration (FDA)</w:t>
      </w:r>
      <w:r>
        <w:t xml:space="preserve"> was for a similar indication but different</w:t>
      </w:r>
      <w:r w:rsidRPr="00422204">
        <w:t xml:space="preserve"> oral dosage form</w:t>
      </w:r>
      <w:r>
        <w:t xml:space="preserve">. </w:t>
      </w:r>
      <w:r w:rsidRPr="00422204">
        <w:t xml:space="preserve">Three paediatric clinical trials including one open label extension study </w:t>
      </w:r>
      <w:proofErr w:type="gramStart"/>
      <w:r w:rsidRPr="00422204">
        <w:t>have been performed</w:t>
      </w:r>
      <w:proofErr w:type="gramEnd"/>
      <w:r w:rsidRPr="00422204">
        <w:t xml:space="preserve"> to investigate sildenafil (as </w:t>
      </w:r>
      <w:proofErr w:type="spellStart"/>
      <w:r>
        <w:t>Revatio</w:t>
      </w:r>
      <w:proofErr w:type="spellEnd"/>
      <w:r>
        <w:rPr>
          <w:vertAlign w:val="superscript"/>
        </w:rPr>
        <w:t>®</w:t>
      </w:r>
      <w:r w:rsidRPr="00422204">
        <w:t>) in children with PAH</w:t>
      </w:r>
      <w:r>
        <w:t xml:space="preserve">. </w:t>
      </w:r>
      <w:r w:rsidRPr="00422204">
        <w:t>These studies found a trend toward increased risk of mortality in children</w:t>
      </w:r>
      <w:r>
        <w:t xml:space="preserve">. </w:t>
      </w:r>
      <w:r w:rsidRPr="00422204">
        <w:t>In addition, this trend was dose-related and associated with long-term use</w:t>
      </w:r>
      <w:r>
        <w:t xml:space="preserve">. </w:t>
      </w:r>
      <w:r w:rsidRPr="00422204">
        <w:t>There was also a suggestion that doses without the risk of these consequences may not be clinically effective</w:t>
      </w:r>
      <w:r>
        <w:t xml:space="preserve">. </w:t>
      </w:r>
      <w:r w:rsidRPr="00422204">
        <w:t xml:space="preserve">In </w:t>
      </w:r>
      <w:proofErr w:type="gramStart"/>
      <w:r w:rsidRPr="00422204">
        <w:t>2012</w:t>
      </w:r>
      <w:proofErr w:type="gramEnd"/>
      <w:r w:rsidRPr="00422204">
        <w:t xml:space="preserve"> the FDA issued a safety warning in relation to this finding</w:t>
      </w:r>
      <w:r w:rsidR="009C556B" w:rsidRPr="009C556B">
        <w:rPr>
          <w:noProof/>
          <w:vertAlign w:val="superscript"/>
        </w:rPr>
        <w:t>40</w:t>
      </w:r>
      <w:r w:rsidRPr="00422204">
        <w:t xml:space="preserve"> and required warnings to be included in the Product Label with clinical trial data in the Prescribing Information (equivalent to the Product Information)</w:t>
      </w:r>
      <w:r>
        <w:t xml:space="preserve">. </w:t>
      </w:r>
      <w:r w:rsidRPr="00422204">
        <w:t>The FDA initiated a full safety and clinical review which it referred to its P</w:t>
      </w:r>
      <w:r w:rsidR="00BE0957">
        <w:t>a</w:t>
      </w:r>
      <w:r w:rsidRPr="00422204">
        <w:t xml:space="preserve">ediatric Advisory </w:t>
      </w:r>
      <w:r w:rsidRPr="005309C6">
        <w:t>Committee</w:t>
      </w:r>
      <w:r w:rsidRPr="00422204">
        <w:t xml:space="preserve"> (meeting of 24 March 2015)</w:t>
      </w:r>
      <w:r w:rsidR="009C556B" w:rsidRPr="009C556B">
        <w:rPr>
          <w:noProof/>
          <w:vertAlign w:val="superscript"/>
        </w:rPr>
        <w:t>41</w:t>
      </w:r>
      <w:r>
        <w:t xml:space="preserve">. </w:t>
      </w:r>
      <w:r w:rsidRPr="00422204">
        <w:t xml:space="preserve">The outcome of this review is that paediatric powder for oral solution remains approved but the </w:t>
      </w:r>
      <w:r w:rsidR="00EE1F96">
        <w:t>extension of indication is not.</w:t>
      </w:r>
    </w:p>
    <w:p w14:paraId="0B9F3B12" w14:textId="77777777" w:rsidR="005309C6" w:rsidRPr="00422204" w:rsidRDefault="005309C6" w:rsidP="005309C6">
      <w:pPr>
        <w:pStyle w:val="BodyTextnospacebefore"/>
      </w:pPr>
      <w:r w:rsidRPr="00422204">
        <w:t xml:space="preserve">The current US Product Label </w:t>
      </w:r>
      <w:proofErr w:type="gramStart"/>
      <w:r w:rsidRPr="00422204">
        <w:t>states</w:t>
      </w:r>
      <w:proofErr w:type="gramEnd"/>
      <w:r w:rsidRPr="00422204">
        <w:t xml:space="preserve"> “Increased mortality with increasing doses in </w:t>
      </w:r>
      <w:proofErr w:type="spellStart"/>
      <w:r w:rsidRPr="00422204">
        <w:t>pediatric</w:t>
      </w:r>
      <w:proofErr w:type="spellEnd"/>
      <w:r w:rsidRPr="00422204">
        <w:t xml:space="preserve"> patients. Not recommended for use in </w:t>
      </w:r>
      <w:proofErr w:type="spellStart"/>
      <w:r w:rsidRPr="00422204">
        <w:t>pediatric</w:t>
      </w:r>
      <w:proofErr w:type="spellEnd"/>
      <w:r w:rsidRPr="00422204">
        <w:t xml:space="preserve"> patients.” The FDA has since defended its decision, </w:t>
      </w:r>
      <w:proofErr w:type="gramStart"/>
      <w:r w:rsidRPr="00422204">
        <w:t>stating that</w:t>
      </w:r>
      <w:proofErr w:type="gramEnd"/>
      <w:r w:rsidRPr="00422204">
        <w:t xml:space="preserve"> “health care professionals must consider whether the benefits of treatment with the drug are likely to outweigh its potential risks for each patient.”</w:t>
      </w:r>
      <w:r w:rsidR="009C556B" w:rsidRPr="009C556B">
        <w:rPr>
          <w:noProof/>
          <w:vertAlign w:val="superscript"/>
        </w:rPr>
        <w:t>42</w:t>
      </w:r>
    </w:p>
    <w:p w14:paraId="76A9E234" w14:textId="77777777" w:rsidR="00590373" w:rsidRPr="00422204" w:rsidRDefault="00590373" w:rsidP="005309C6">
      <w:pPr>
        <w:pStyle w:val="BodyTextnospacebefore"/>
      </w:pPr>
      <w:r w:rsidRPr="00422204">
        <w:t xml:space="preserve">In Europe, the </w:t>
      </w:r>
      <w:r w:rsidR="00D04A4A" w:rsidRPr="002614AE">
        <w:rPr>
          <w:rFonts w:cs="Arial"/>
          <w:color w:val="000000"/>
        </w:rPr>
        <w:t>European Medicines Agency</w:t>
      </w:r>
      <w:r w:rsidR="00D04A4A" w:rsidRPr="00422204">
        <w:t xml:space="preserve"> </w:t>
      </w:r>
      <w:r w:rsidR="00D04A4A">
        <w:t>(</w:t>
      </w:r>
      <w:r w:rsidRPr="00422204">
        <w:t>EMA</w:t>
      </w:r>
      <w:r w:rsidR="00D04A4A">
        <w:t>)</w:t>
      </w:r>
      <w:r w:rsidRPr="00422204">
        <w:t xml:space="preserve"> took a different view and approved sildenafil for PAH in children</w:t>
      </w:r>
      <w:r w:rsidR="00AC5B85">
        <w:t xml:space="preserve">. </w:t>
      </w:r>
      <w:r w:rsidRPr="00422204">
        <w:t xml:space="preserve">The recommended dose in </w:t>
      </w:r>
      <w:r w:rsidRPr="005309C6">
        <w:t>children</w:t>
      </w:r>
      <w:r w:rsidRPr="00422204">
        <w:t xml:space="preserve"> weighing ≤ 20</w:t>
      </w:r>
      <w:r w:rsidR="0040413E">
        <w:t> </w:t>
      </w:r>
      <w:r w:rsidRPr="00422204">
        <w:t>kg is 10</w:t>
      </w:r>
      <w:r w:rsidR="0040413E">
        <w:t> </w:t>
      </w:r>
      <w:r w:rsidRPr="00422204">
        <w:t xml:space="preserve">mg </w:t>
      </w:r>
      <w:proofErr w:type="spellStart"/>
      <w:r w:rsidR="0027496F">
        <w:t>tid</w:t>
      </w:r>
      <w:proofErr w:type="spellEnd"/>
      <w:r w:rsidRPr="00422204">
        <w:t xml:space="preserve"> and for patients &gt; 20</w:t>
      </w:r>
      <w:r w:rsidR="0040413E">
        <w:t> </w:t>
      </w:r>
      <w:r w:rsidRPr="00422204">
        <w:t>kg</w:t>
      </w:r>
      <w:r w:rsidR="00422204">
        <w:t xml:space="preserve"> it</w:t>
      </w:r>
      <w:r w:rsidRPr="00422204">
        <w:t xml:space="preserve"> is 20</w:t>
      </w:r>
      <w:r w:rsidR="0040413E">
        <w:t> </w:t>
      </w:r>
      <w:r w:rsidRPr="00422204">
        <w:t xml:space="preserve">mg </w:t>
      </w:r>
      <w:proofErr w:type="spellStart"/>
      <w:r w:rsidR="0027496F">
        <w:t>tid</w:t>
      </w:r>
      <w:proofErr w:type="spellEnd"/>
      <w:r w:rsidRPr="00422204">
        <w:t xml:space="preserve"> (the same as the adult dose). The </w:t>
      </w:r>
      <w:proofErr w:type="spellStart"/>
      <w:r w:rsidRPr="00422204">
        <w:t>SmPC</w:t>
      </w:r>
      <w:proofErr w:type="spellEnd"/>
      <w:r w:rsidRPr="00422204">
        <w:t xml:space="preserve"> </w:t>
      </w:r>
      <w:r w:rsidR="00422204">
        <w:t xml:space="preserve">notes the </w:t>
      </w:r>
      <w:r w:rsidR="00422204">
        <w:lastRenderedPageBreak/>
        <w:t>mortality risk and warns that</w:t>
      </w:r>
      <w:r w:rsidRPr="00422204">
        <w:t xml:space="preserve"> higher doses </w:t>
      </w:r>
      <w:proofErr w:type="gramStart"/>
      <w:r w:rsidRPr="00422204">
        <w:t>should not be used</w:t>
      </w:r>
      <w:proofErr w:type="gramEnd"/>
      <w:r w:rsidR="00AC5B85">
        <w:t xml:space="preserve">. </w:t>
      </w:r>
      <w:r w:rsidR="00846A5B">
        <w:t>Equivalent information is not contained in the Australian PI</w:t>
      </w:r>
      <w:r w:rsidR="00EE1F96">
        <w:t>.</w:t>
      </w:r>
    </w:p>
    <w:p w14:paraId="6E57CC5B" w14:textId="77777777" w:rsidR="00590373" w:rsidRPr="00422204" w:rsidRDefault="00590373" w:rsidP="005309C6">
      <w:pPr>
        <w:pStyle w:val="BodyTextnospacebefore"/>
      </w:pPr>
      <w:r w:rsidRPr="00422204">
        <w:t xml:space="preserve">On a related point, Pfizer submitted to the EMA two clinical trials performed in children with its IV sildenafil formulation (one in children post-surgery with heart defects and </w:t>
      </w:r>
      <w:r w:rsidR="00422204">
        <w:t>a second in neonates with PPHN)</w:t>
      </w:r>
      <w:r w:rsidR="009C556B" w:rsidRPr="009C556B">
        <w:rPr>
          <w:noProof/>
          <w:vertAlign w:val="superscript"/>
        </w:rPr>
        <w:t>43</w:t>
      </w:r>
      <w:r w:rsidR="00AC5B85">
        <w:t xml:space="preserve">. </w:t>
      </w:r>
      <w:r w:rsidR="00422204">
        <w:t>A</w:t>
      </w:r>
      <w:r w:rsidRPr="00422204">
        <w:t>s the clinical data are in the public domain</w:t>
      </w:r>
      <w:r w:rsidR="00422204">
        <w:t xml:space="preserve"> and the IV form </w:t>
      </w:r>
      <w:proofErr w:type="gramStart"/>
      <w:r w:rsidR="00422204">
        <w:t>is now registered</w:t>
      </w:r>
      <w:proofErr w:type="gramEnd"/>
      <w:r w:rsidR="00422204">
        <w:t xml:space="preserve"> in Australia</w:t>
      </w:r>
      <w:r w:rsidRPr="00422204">
        <w:t>, it is possible that IV sildenafil would be used o</w:t>
      </w:r>
      <w:r w:rsidR="008E457C">
        <w:t>ff-label for these indications.</w:t>
      </w:r>
    </w:p>
    <w:p w14:paraId="3947AA22" w14:textId="77777777" w:rsidR="00B92C85" w:rsidRPr="00FC25C7" w:rsidRDefault="00B92C85" w:rsidP="00121658">
      <w:pPr>
        <w:pStyle w:val="Heading4"/>
        <w:jc w:val="left"/>
        <w:rPr>
          <w:rFonts w:eastAsiaTheme="minorEastAsia"/>
          <w:sz w:val="28"/>
          <w:szCs w:val="22"/>
          <w:lang w:eastAsia="en-AU"/>
        </w:rPr>
      </w:pPr>
      <w:r w:rsidRPr="00FC25C7">
        <w:rPr>
          <w:rFonts w:eastAsiaTheme="minorEastAsia"/>
        </w:rPr>
        <w:t>Prior vasodilator therapy</w:t>
      </w:r>
      <w:r w:rsidR="00876752" w:rsidRPr="00FC25C7">
        <w:rPr>
          <w:rFonts w:eastAsiaTheme="minorEastAsia"/>
        </w:rPr>
        <w:t xml:space="preserve"> with </w:t>
      </w:r>
      <w:r w:rsidR="003E052A" w:rsidRPr="00FC25C7">
        <w:rPr>
          <w:rFonts w:eastAsiaTheme="minorEastAsia"/>
        </w:rPr>
        <w:t>CCBs</w:t>
      </w:r>
    </w:p>
    <w:p w14:paraId="0D56A38F" w14:textId="77777777" w:rsidR="00CD0B52" w:rsidRPr="00BE0957" w:rsidRDefault="00CD0B52" w:rsidP="00121658">
      <w:pPr>
        <w:pStyle w:val="Heading5"/>
        <w:jc w:val="left"/>
        <w:rPr>
          <w:rFonts w:asciiTheme="minorHAnsi" w:hAnsiTheme="minorHAnsi"/>
        </w:rPr>
      </w:pPr>
      <w:r w:rsidRPr="00BE0957">
        <w:rPr>
          <w:rFonts w:asciiTheme="minorHAnsi" w:hAnsiTheme="minorHAnsi"/>
        </w:rPr>
        <w:t xml:space="preserve">Current PBS </w:t>
      </w:r>
      <w:r w:rsidRPr="00FC25C7">
        <w:rPr>
          <w:rFonts w:asciiTheme="minorHAnsi" w:hAnsiTheme="minorHAnsi"/>
        </w:rPr>
        <w:t>requirement</w:t>
      </w:r>
    </w:p>
    <w:p w14:paraId="4FCD6A2F" w14:textId="35ACCD47" w:rsidR="001555D2" w:rsidRPr="00FC25C7" w:rsidRDefault="00183C38" w:rsidP="005309C6">
      <w:pPr>
        <w:pStyle w:val="BodyTextnospacebefore"/>
        <w:rPr>
          <w:b/>
          <w:szCs w:val="22"/>
          <w:lang w:eastAsia="en-AU"/>
        </w:rPr>
      </w:pPr>
      <w:r w:rsidRPr="00FC25C7">
        <w:t>T</w:t>
      </w:r>
      <w:r w:rsidR="001555D2" w:rsidRPr="00FC25C7">
        <w:t xml:space="preserve">he current </w:t>
      </w:r>
      <w:r w:rsidR="00271DD9" w:rsidRPr="00FC25C7">
        <w:t>PAH</w:t>
      </w:r>
      <w:r w:rsidR="001555D2" w:rsidRPr="00FC25C7">
        <w:t xml:space="preserve"> restrictions </w:t>
      </w:r>
      <w:r w:rsidR="001F4168" w:rsidRPr="00FC25C7">
        <w:t>(</w:t>
      </w:r>
      <w:r w:rsidR="00505D99" w:rsidRPr="00FC25C7">
        <w:t>Table 1.</w:t>
      </w:r>
      <w:r w:rsidR="00505D99" w:rsidRPr="00FC25C7">
        <w:rPr>
          <w:noProof/>
        </w:rPr>
        <w:t>18</w:t>
      </w:r>
      <w:r w:rsidR="001F4168" w:rsidRPr="00FC25C7">
        <w:t xml:space="preserve">) </w:t>
      </w:r>
      <w:r w:rsidR="001555D2" w:rsidRPr="00FC25C7">
        <w:t>require a trial and failure of vasodilator therapy</w:t>
      </w:r>
      <w:r w:rsidR="00011758">
        <w:t xml:space="preserve"> </w:t>
      </w:r>
      <w:r w:rsidR="00876752" w:rsidRPr="00FC25C7">
        <w:t xml:space="preserve">with CCBs </w:t>
      </w:r>
      <w:r w:rsidR="001555D2" w:rsidRPr="00FC25C7">
        <w:t xml:space="preserve">prior to commencement on </w:t>
      </w:r>
      <w:r w:rsidR="00F95235" w:rsidRPr="00FC25C7">
        <w:t>PAH medicines</w:t>
      </w:r>
      <w:r w:rsidR="001555D2" w:rsidRPr="00FC25C7">
        <w:t xml:space="preserve"> in all WHO FC III patients whose </w:t>
      </w:r>
      <w:r w:rsidR="004F0200" w:rsidRPr="00FC25C7">
        <w:t xml:space="preserve">(mRAP by RHC is </w:t>
      </w:r>
      <w:proofErr w:type="gramStart"/>
      <w:r w:rsidR="004F0200" w:rsidRPr="00FC25C7">
        <w:t>8</w:t>
      </w:r>
      <w:proofErr w:type="gramEnd"/>
      <w:r w:rsidR="0040413E">
        <w:t> </w:t>
      </w:r>
      <w:r w:rsidR="001555D2" w:rsidRPr="00FC25C7">
        <w:t xml:space="preserve">mmHg or less. This is </w:t>
      </w:r>
      <w:r w:rsidR="00A84C7F" w:rsidRPr="00FC25C7">
        <w:t>not required for access to PBS</w:t>
      </w:r>
      <w:r w:rsidR="001555D2" w:rsidRPr="00FC25C7">
        <w:t xml:space="preserve"> epoprostenol, but applies to iloprost (drug-induced PAH only) and the oral </w:t>
      </w:r>
      <w:r w:rsidR="00F95235" w:rsidRPr="00FC25C7">
        <w:t>PAH medicines</w:t>
      </w:r>
      <w:r w:rsidR="001555D2" w:rsidRPr="00FC25C7">
        <w:t xml:space="preserve"> (</w:t>
      </w:r>
      <w:r w:rsidR="00A84C7F" w:rsidRPr="00FC25C7">
        <w:t xml:space="preserve">for </w:t>
      </w:r>
      <w:r w:rsidR="001555D2" w:rsidRPr="00FC25C7">
        <w:t>all PAH subtypes except PAH</w:t>
      </w:r>
      <w:r w:rsidR="0003499D" w:rsidRPr="00FC25C7">
        <w:t>-</w:t>
      </w:r>
      <w:r w:rsidR="001555D2" w:rsidRPr="00FC25C7">
        <w:t xml:space="preserve">CHD). </w:t>
      </w:r>
      <w:r w:rsidR="008A77C6" w:rsidRPr="00FC25C7">
        <w:t>This requirement does not apply to patients with WHO FC IV disease, or those exceeding the mRAP threshold</w:t>
      </w:r>
      <w:r w:rsidR="00AC5B85" w:rsidRPr="00FC25C7">
        <w:t xml:space="preserve">. </w:t>
      </w:r>
      <w:r w:rsidR="001F4168" w:rsidRPr="00FC25C7">
        <w:t xml:space="preserve">The 2015 DUSC review noted that PHSANZ has previously queried this value as a criterion for CCBs treatment. Further comments are in </w:t>
      </w:r>
      <w:r w:rsidR="00505D99" w:rsidRPr="00FC25C7">
        <w:t>Table 1.</w:t>
      </w:r>
      <w:r w:rsidR="00505D99" w:rsidRPr="00FC25C7">
        <w:rPr>
          <w:noProof/>
        </w:rPr>
        <w:t>18</w:t>
      </w:r>
      <w:r w:rsidR="008E457C">
        <w:t>.</w:t>
      </w:r>
    </w:p>
    <w:p w14:paraId="166F609F" w14:textId="77777777" w:rsidR="001F4168" w:rsidRDefault="001F4168" w:rsidP="005309C6">
      <w:pPr>
        <w:pStyle w:val="BodyTextnospacebefore"/>
      </w:pPr>
      <w:r w:rsidRPr="00FC25C7">
        <w:t xml:space="preserve">Since the requirement for a trial of </w:t>
      </w:r>
      <w:r w:rsidR="00876752" w:rsidRPr="00FC25C7">
        <w:t xml:space="preserve">CCBs </w:t>
      </w:r>
      <w:r w:rsidRPr="00FC25C7">
        <w:t xml:space="preserve">was first introduced (with the listing of bosentan in March 2004), the clinical place for both CCBs and </w:t>
      </w:r>
      <w:r w:rsidR="00F95235" w:rsidRPr="00FC25C7">
        <w:t>PAH medicines</w:t>
      </w:r>
      <w:r w:rsidRPr="00FC25C7">
        <w:t xml:space="preserve"> has changed. High dose CCB therapy is indicated only in a limited patient subset due to safety concerns whereas oral </w:t>
      </w:r>
      <w:r w:rsidR="00F95235" w:rsidRPr="00FC25C7">
        <w:t>PAH medicines</w:t>
      </w:r>
      <w:r w:rsidRPr="00FC25C7">
        <w:t xml:space="preserve"> have become the mainstay of clinical practice.</w:t>
      </w:r>
    </w:p>
    <w:p w14:paraId="49DA7B8B" w14:textId="77777777" w:rsidR="00CD0B52" w:rsidRPr="005309C6" w:rsidRDefault="00CD0B52" w:rsidP="00121658">
      <w:pPr>
        <w:pStyle w:val="Heading5"/>
        <w:jc w:val="left"/>
        <w:rPr>
          <w:rFonts w:asciiTheme="minorHAnsi" w:hAnsiTheme="minorHAnsi"/>
        </w:rPr>
      </w:pPr>
      <w:r w:rsidRPr="005309C6">
        <w:rPr>
          <w:rFonts w:asciiTheme="minorHAnsi" w:hAnsiTheme="minorHAnsi"/>
        </w:rPr>
        <w:t>Guideline recommendations</w:t>
      </w:r>
    </w:p>
    <w:p w14:paraId="5DC25DC8" w14:textId="77777777" w:rsidR="001F4168" w:rsidRDefault="001F4168" w:rsidP="005309C6">
      <w:pPr>
        <w:pStyle w:val="BodyTextnospacebefore"/>
      </w:pPr>
      <w:r>
        <w:t xml:space="preserve">According to guidelines reviewed, high dose CCB treatment is indicated for WHO FC II or lower risk WHO FC III patients with IPAH, heritable PAH </w:t>
      </w:r>
      <w:r w:rsidR="009B04B1">
        <w:t xml:space="preserve">(HPAH) and drug-induced PAH (see </w:t>
      </w:r>
      <w:r w:rsidR="00505D99">
        <w:t>Table 1.</w:t>
      </w:r>
      <w:r w:rsidR="00505D99">
        <w:rPr>
          <w:noProof/>
        </w:rPr>
        <w:t>8</w:t>
      </w:r>
      <w:r>
        <w:t xml:space="preserve">). </w:t>
      </w:r>
      <w:r w:rsidR="00CD0B52">
        <w:t xml:space="preserve">Recommendations were limited to only three drugs, diltiazem, </w:t>
      </w:r>
      <w:proofErr w:type="spellStart"/>
      <w:r w:rsidR="00CD0B52">
        <w:t>nifedipine</w:t>
      </w:r>
      <w:proofErr w:type="spellEnd"/>
      <w:r w:rsidR="00CD0B52">
        <w:t xml:space="preserve"> and amlodipine, and did not extend to </w:t>
      </w:r>
      <w:r w:rsidR="001266C7">
        <w:t xml:space="preserve">any other CCBs. </w:t>
      </w:r>
      <w:r>
        <w:t xml:space="preserve">Patients with the suitable PAH subtypes that are likely to benefit from CCBs must be assessed by acute vasoreactivity testing. CCBs </w:t>
      </w:r>
      <w:proofErr w:type="gramStart"/>
      <w:r>
        <w:t>should not be used</w:t>
      </w:r>
      <w:proofErr w:type="gramEnd"/>
      <w:r>
        <w:t xml:space="preserve"> in the absence of a demonstrated positive result to acute vasoreactivity challenge. Patients with no positive vasoreactivity test, those with other types of PAH, and in higher risk categories, should be commenced on targeted PAH </w:t>
      </w:r>
      <w:r w:rsidR="00BB276C">
        <w:t>medicines</w:t>
      </w:r>
      <w:r w:rsidR="008E457C">
        <w:t>.</w:t>
      </w:r>
    </w:p>
    <w:p w14:paraId="0494BD24" w14:textId="77777777" w:rsidR="001F4168" w:rsidRDefault="001F4168" w:rsidP="005309C6">
      <w:pPr>
        <w:pStyle w:val="BodyTextnospacebefore"/>
      </w:pPr>
      <w:r>
        <w:t xml:space="preserve">The </w:t>
      </w:r>
      <w:r w:rsidR="00D04A4A">
        <w:t xml:space="preserve">2015 </w:t>
      </w:r>
      <w:r>
        <w:t>ESC/ERS guideline</w:t>
      </w:r>
      <w:r w:rsidR="00D04A4A">
        <w:t>s</w:t>
      </w:r>
      <w:r w:rsidR="009C556B" w:rsidRPr="00DC475B">
        <w:rPr>
          <w:noProof/>
          <w:vertAlign w:val="superscript"/>
        </w:rPr>
        <w:t>8</w:t>
      </w:r>
      <w:r>
        <w:t xml:space="preserve"> observe that in all other forms of PAH, vasoreactivity results can be misleading, responders are rare and that only one in ten IPAH patients are likely to benefit from CCB treatment. It stated further that CCBs were not appropriate for patients with Eisenmenger physiology</w:t>
      </w:r>
      <w:r w:rsidR="003C17FA">
        <w:t xml:space="preserve">. </w:t>
      </w:r>
      <w:r>
        <w:t>No guideli</w:t>
      </w:r>
      <w:r w:rsidR="008E457C">
        <w:t>nes recommend CCBs for PAH-CTD.</w:t>
      </w:r>
    </w:p>
    <w:p w14:paraId="5928CEBD" w14:textId="77777777" w:rsidR="001F4168" w:rsidRDefault="001F4168" w:rsidP="005309C6">
      <w:pPr>
        <w:pStyle w:val="BodyTextnospacebefore"/>
      </w:pPr>
      <w:r>
        <w:t xml:space="preserve">There is a risk of hypotensive adverse events from high dose CCBs in unsuitable patients. The severity of potential hypotensive effects on the one hand and the lack of benefit in unsuitable patients on the other has led to strongly worded guideline recommendations on </w:t>
      </w:r>
      <w:r>
        <w:lastRenderedPageBreak/>
        <w:t>the circumstances in which CCBs are indicated, due to the risks to patient safety (</w:t>
      </w:r>
      <w:r w:rsidR="00505D99">
        <w:t>Table 1.</w:t>
      </w:r>
      <w:r w:rsidR="00505D99">
        <w:rPr>
          <w:noProof/>
        </w:rPr>
        <w:t>7</w:t>
      </w:r>
      <w:r>
        <w:t xml:space="preserve">). Further details including contraindications to CCBs </w:t>
      </w:r>
      <w:proofErr w:type="gramStart"/>
      <w:r>
        <w:t>and also</w:t>
      </w:r>
      <w:proofErr w:type="gramEnd"/>
      <w:r>
        <w:t xml:space="preserve"> to vasoreactivity testing, haemodynamic definition of response are in </w:t>
      </w:r>
      <w:r w:rsidR="004937E8">
        <w:t>Table 1.7</w:t>
      </w:r>
      <w:r w:rsidR="008E457C">
        <w:t>.</w:t>
      </w:r>
    </w:p>
    <w:p w14:paraId="0D901F80" w14:textId="77777777" w:rsidR="001F4168" w:rsidRPr="005309C6" w:rsidRDefault="001F4168" w:rsidP="00121658">
      <w:pPr>
        <w:pStyle w:val="Heading5"/>
        <w:jc w:val="left"/>
        <w:rPr>
          <w:rFonts w:asciiTheme="minorHAnsi" w:hAnsiTheme="minorHAnsi"/>
        </w:rPr>
      </w:pPr>
      <w:r w:rsidRPr="005309C6">
        <w:rPr>
          <w:rFonts w:asciiTheme="minorHAnsi" w:hAnsiTheme="minorHAnsi"/>
        </w:rPr>
        <w:t>Pricing context</w:t>
      </w:r>
    </w:p>
    <w:p w14:paraId="6D15281F" w14:textId="77777777" w:rsidR="001F4168" w:rsidRPr="008A77C6" w:rsidRDefault="001F4168" w:rsidP="00807704">
      <w:pPr>
        <w:pStyle w:val="BodyTextnospacebefore"/>
      </w:pPr>
      <w:proofErr w:type="spellStart"/>
      <w:r w:rsidRPr="008A77C6">
        <w:t>Dihydropyridine</w:t>
      </w:r>
      <w:proofErr w:type="spellEnd"/>
      <w:r w:rsidRPr="008A77C6">
        <w:t xml:space="preserve"> CCBs (</w:t>
      </w:r>
      <w:proofErr w:type="spellStart"/>
      <w:r w:rsidRPr="008A77C6">
        <w:t>felodipine</w:t>
      </w:r>
      <w:proofErr w:type="spellEnd"/>
      <w:r w:rsidRPr="008A77C6">
        <w:t xml:space="preserve">, </w:t>
      </w:r>
      <w:proofErr w:type="spellStart"/>
      <w:r w:rsidRPr="008A77C6">
        <w:t>lercanidipine</w:t>
      </w:r>
      <w:proofErr w:type="spellEnd"/>
      <w:r w:rsidRPr="008A77C6">
        <w:t xml:space="preserve">, </w:t>
      </w:r>
      <w:proofErr w:type="spellStart"/>
      <w:r w:rsidRPr="008A77C6">
        <w:t>nifedipine</w:t>
      </w:r>
      <w:proofErr w:type="spellEnd"/>
      <w:r w:rsidRPr="008A77C6">
        <w:t xml:space="preserve">, amlodipine), and the </w:t>
      </w:r>
      <w:proofErr w:type="spellStart"/>
      <w:r w:rsidRPr="008A77C6">
        <w:t>benzothiazapine</w:t>
      </w:r>
      <w:proofErr w:type="spellEnd"/>
      <w:r w:rsidRPr="008A77C6">
        <w:t xml:space="preserve"> drug diltiazem, are unrestricted benefits with a DPMQ per script (for approximately one month’s treatment) that is well under the current patient co-payment threshold of $39.50 (as of 1 January 2018)</w:t>
      </w:r>
      <w:r w:rsidR="008E457C">
        <w:t>.</w:t>
      </w:r>
    </w:p>
    <w:p w14:paraId="5FB1170F" w14:textId="77777777" w:rsidR="002575FC" w:rsidRDefault="001F4168" w:rsidP="005309C6">
      <w:pPr>
        <w:pStyle w:val="BodyTextnospacebefore"/>
      </w:pPr>
      <w:r w:rsidRPr="008A77C6">
        <w:t>At the time that the first PAH drug bosentan was listed on the PBS in March 2004, CCBs were already listed as unrestricted benefit</w:t>
      </w:r>
      <w:r>
        <w:t>s</w:t>
      </w:r>
      <w:r w:rsidRPr="008A77C6">
        <w:t xml:space="preserve">, and </w:t>
      </w:r>
      <w:proofErr w:type="spellStart"/>
      <w:r w:rsidRPr="008A77C6">
        <w:t>dihydropyridine</w:t>
      </w:r>
      <w:proofErr w:type="spellEnd"/>
      <w:r w:rsidRPr="008A77C6">
        <w:t xml:space="preserve"> derivatives were priced as a therapeutic group (that is, the price was set by the lowest price medicine in the group based on the Therapeutic Group Premium Policy)</w:t>
      </w:r>
      <w:r>
        <w:t xml:space="preserve">. </w:t>
      </w:r>
      <w:r w:rsidRPr="008A77C6">
        <w:t>Although these medicines were marginally more expensive in March 2004 than their present day listings, the</w:t>
      </w:r>
      <w:r>
        <w:t xml:space="preserve">se CCBs </w:t>
      </w:r>
      <w:r w:rsidRPr="008A77C6">
        <w:t>still cost no more than $40 per script at that time</w:t>
      </w:r>
      <w:r>
        <w:t xml:space="preserve">. </w:t>
      </w:r>
      <w:r w:rsidRPr="008A77C6">
        <w:t xml:space="preserve">In contrast, when it </w:t>
      </w:r>
      <w:proofErr w:type="gramStart"/>
      <w:r w:rsidRPr="008A77C6">
        <w:t>was first listed</w:t>
      </w:r>
      <w:proofErr w:type="gramEnd"/>
      <w:r w:rsidRPr="008A77C6">
        <w:t xml:space="preserve"> in 2004 the DPMQ for bosentan was $4035</w:t>
      </w:r>
      <w:r>
        <w:t xml:space="preserve">. DPMQs for PAH medicines </w:t>
      </w:r>
      <w:r w:rsidR="00CD0B52">
        <w:t xml:space="preserve">(current at December 2017) </w:t>
      </w:r>
      <w:r>
        <w:t>are given in</w:t>
      </w:r>
      <w:r w:rsidR="00F275ED">
        <w:t xml:space="preserve"> </w:t>
      </w:r>
      <w:r w:rsidR="00505D99">
        <w:t>Appendix 1.</w:t>
      </w:r>
      <w:r w:rsidR="00B37363">
        <w:t>B</w:t>
      </w:r>
      <w:r>
        <w:t xml:space="preserve">, </w:t>
      </w:r>
      <w:r w:rsidR="00505D99" w:rsidRPr="002D2A0A">
        <w:t>Table B.</w:t>
      </w:r>
      <w:r w:rsidR="00505D99">
        <w:rPr>
          <w:noProof/>
        </w:rPr>
        <w:t>9</w:t>
      </w:r>
      <w:r w:rsidR="008E457C">
        <w:t>.</w:t>
      </w:r>
    </w:p>
    <w:p w14:paraId="27CE8693" w14:textId="77777777" w:rsidR="00AD4E55" w:rsidRPr="001A0F96" w:rsidRDefault="00AD4E55" w:rsidP="005309C6">
      <w:pPr>
        <w:pStyle w:val="BodyTextnospacebefore"/>
      </w:pPr>
      <w:r w:rsidRPr="001A0F96">
        <w:t>There have previously been Special Pricing Arrangements in place for several of the PAH medicines including ambrisentan</w:t>
      </w:r>
      <w:r w:rsidR="00B67E85">
        <w:t xml:space="preserve"> </w:t>
      </w:r>
      <w:r w:rsidR="00B67E85" w:rsidRPr="001A0F96">
        <w:t xml:space="preserve">bosentan </w:t>
      </w:r>
      <w:r w:rsidR="00B67E85">
        <w:t>and iloprost</w:t>
      </w:r>
      <w:r w:rsidRPr="001A0F96">
        <w:t xml:space="preserve">, however </w:t>
      </w:r>
      <w:r w:rsidRPr="000D2508">
        <w:t xml:space="preserve">currently </w:t>
      </w:r>
      <w:r w:rsidRPr="00B67E85">
        <w:t>only</w:t>
      </w:r>
      <w:r w:rsidR="002614AE" w:rsidRPr="00B67E85">
        <w:t xml:space="preserve"> </w:t>
      </w:r>
      <w:r w:rsidR="00D04A4A" w:rsidRPr="00B67E85">
        <w:t>riociguat</w:t>
      </w:r>
      <w:r w:rsidRPr="000D2508">
        <w:t xml:space="preserve"> continues to have a Special Pricing Arrangement</w:t>
      </w:r>
      <w:r w:rsidRPr="00B67E85">
        <w:t>.</w:t>
      </w:r>
      <w:r w:rsidRPr="001A0F96">
        <w:t xml:space="preserve"> </w:t>
      </w:r>
      <w:r w:rsidRPr="00B2642B">
        <w:t xml:space="preserve">The main reason for the Commonwealth to enter into a </w:t>
      </w:r>
      <w:r w:rsidRPr="00E01B82">
        <w:t>Special Pricing Arrangement</w:t>
      </w:r>
      <w:r w:rsidRPr="00B2642B">
        <w:t xml:space="preserve"> for the supply of a medicine is so that Australia is able to have access to medicines at a lower cost-effective price without affecting the price for the product in other markets</w:t>
      </w:r>
      <w:r>
        <w:t xml:space="preserve"> resulting in a</w:t>
      </w:r>
      <w:r w:rsidRPr="001A0F96">
        <w:t xml:space="preserve"> ‘published’ versus ‘effective’ pricing component. The difference between the published price in the Schedule of Pharmaceutical Benefits and the price actually paid by the Commonwealth (the ‘effective’ price), is manage</w:t>
      </w:r>
      <w:r w:rsidR="008E457C">
        <w:t>d through a rebate arrangement.</w:t>
      </w:r>
    </w:p>
    <w:p w14:paraId="390D6D00" w14:textId="77777777" w:rsidR="00AD4E55" w:rsidRPr="001A0F96" w:rsidRDefault="00AD4E55" w:rsidP="00121658">
      <w:pPr>
        <w:spacing w:before="0" w:after="150" w:line="300" w:lineRule="atLeast"/>
      </w:pPr>
    </w:p>
    <w:p w14:paraId="531B6A4C" w14:textId="77777777" w:rsidR="00AD4E55" w:rsidRDefault="00AD4E55" w:rsidP="00121658">
      <w:pPr>
        <w:sectPr w:rsidR="00AD4E55" w:rsidSect="00120684">
          <w:headerReference w:type="even" r:id="rId32"/>
          <w:headerReference w:type="default" r:id="rId33"/>
          <w:footerReference w:type="default" r:id="rId34"/>
          <w:headerReference w:type="first" r:id="rId35"/>
          <w:footerReference w:type="first" r:id="rId36"/>
          <w:footnotePr>
            <w:numFmt w:val="chicago"/>
          </w:footnotePr>
          <w:endnotePr>
            <w:numFmt w:val="decimal"/>
          </w:endnotePr>
          <w:pgSz w:w="11906" w:h="16838"/>
          <w:pgMar w:top="1440" w:right="1440" w:bottom="1440" w:left="1440" w:header="708" w:footer="708" w:gutter="0"/>
          <w:cols w:space="708"/>
          <w:titlePg/>
          <w:docGrid w:linePitch="360"/>
        </w:sectPr>
      </w:pPr>
    </w:p>
    <w:p w14:paraId="5DC9C285" w14:textId="77777777" w:rsidR="001F4168" w:rsidRDefault="00F75B8B" w:rsidP="000B7685">
      <w:pPr>
        <w:pStyle w:val="Caption"/>
        <w:ind w:left="0" w:firstLine="0"/>
        <w:jc w:val="left"/>
      </w:pPr>
      <w:bookmarkStart w:id="236" w:name="_Ref510796093"/>
      <w:bookmarkStart w:id="237" w:name="_Ref508901511"/>
      <w:bookmarkStart w:id="238" w:name="_Toc29377265"/>
      <w:r>
        <w:lastRenderedPageBreak/>
        <w:t>Table 1.</w:t>
      </w:r>
      <w:r w:rsidR="00505D99">
        <w:rPr>
          <w:noProof/>
        </w:rPr>
        <w:t>19</w:t>
      </w:r>
      <w:bookmarkEnd w:id="236"/>
      <w:r w:rsidRPr="00F75B8B">
        <w:t xml:space="preserve"> </w:t>
      </w:r>
      <w:r>
        <w:tab/>
        <w:t>Restriction criteria for diagnostic tests and monitoring considered in this review</w:t>
      </w:r>
      <w:bookmarkEnd w:id="237"/>
      <w:bookmarkEnd w:id="238"/>
    </w:p>
    <w:tbl>
      <w:tblPr>
        <w:tblStyle w:val="TableGrid7"/>
        <w:tblpPr w:leftFromText="180" w:rightFromText="180" w:vertAnchor="text" w:tblpY="1"/>
        <w:tblOverlap w:val="never"/>
        <w:tblW w:w="0" w:type="auto"/>
        <w:tblLook w:val="04A0" w:firstRow="1" w:lastRow="0" w:firstColumn="1" w:lastColumn="0" w:noHBand="0" w:noVBand="1"/>
        <w:tblCaption w:val="Restriction criteria for diagnostic tests and monitoring considered in this review"/>
      </w:tblPr>
      <w:tblGrid>
        <w:gridCol w:w="4425"/>
        <w:gridCol w:w="2006"/>
        <w:gridCol w:w="7517"/>
      </w:tblGrid>
      <w:tr w:rsidR="00D567B3" w:rsidRPr="002F3393" w14:paraId="5DB35EB6" w14:textId="77777777" w:rsidTr="00E2645F">
        <w:trPr>
          <w:cantSplit/>
          <w:tblHeader/>
        </w:trPr>
        <w:tc>
          <w:tcPr>
            <w:tcW w:w="4503" w:type="dxa"/>
            <w:shd w:val="clear" w:color="auto" w:fill="BFBFBF" w:themeFill="background1" w:themeFillShade="BF"/>
          </w:tcPr>
          <w:p w14:paraId="20384B26" w14:textId="77777777" w:rsidR="001F4168" w:rsidRPr="005309C6" w:rsidRDefault="001F4168" w:rsidP="005309C6">
            <w:pPr>
              <w:tabs>
                <w:tab w:val="left" w:pos="507"/>
              </w:tabs>
              <w:spacing w:beforeLines="40" w:before="96" w:afterLines="40" w:after="96" w:line="240" w:lineRule="auto"/>
              <w:rPr>
                <w:rFonts w:ascii="Arial" w:hAnsi="Arial" w:cs="Arial"/>
                <w:b/>
                <w:sz w:val="20"/>
                <w:szCs w:val="20"/>
              </w:rPr>
            </w:pPr>
            <w:r w:rsidRPr="005309C6">
              <w:rPr>
                <w:rFonts w:ascii="Arial" w:hAnsi="Arial" w:cs="Arial"/>
                <w:b/>
                <w:sz w:val="20"/>
                <w:szCs w:val="20"/>
              </w:rPr>
              <w:t>Clinical or Prescribing Instruction</w:t>
            </w:r>
          </w:p>
        </w:tc>
        <w:tc>
          <w:tcPr>
            <w:tcW w:w="1984" w:type="dxa"/>
            <w:shd w:val="clear" w:color="auto" w:fill="BFBFBF" w:themeFill="background1" w:themeFillShade="BF"/>
          </w:tcPr>
          <w:p w14:paraId="2AA7BAB0" w14:textId="77777777" w:rsidR="001F4168" w:rsidRPr="005309C6" w:rsidRDefault="00FE35DA" w:rsidP="005309C6">
            <w:pPr>
              <w:spacing w:beforeLines="40" w:before="96" w:afterLines="40" w:after="96" w:line="240" w:lineRule="auto"/>
              <w:rPr>
                <w:rFonts w:ascii="Arial" w:hAnsi="Arial" w:cs="Arial"/>
                <w:b/>
                <w:sz w:val="20"/>
                <w:szCs w:val="20"/>
              </w:rPr>
            </w:pPr>
            <w:r w:rsidRPr="005309C6">
              <w:rPr>
                <w:rFonts w:ascii="Arial" w:hAnsi="Arial" w:cs="Arial"/>
                <w:b/>
                <w:sz w:val="20"/>
                <w:szCs w:val="20"/>
              </w:rPr>
              <w:t>Guideline Recommendations</w:t>
            </w:r>
          </w:p>
        </w:tc>
        <w:tc>
          <w:tcPr>
            <w:tcW w:w="7687" w:type="dxa"/>
            <w:shd w:val="clear" w:color="auto" w:fill="BFBFBF" w:themeFill="background1" w:themeFillShade="BF"/>
          </w:tcPr>
          <w:p w14:paraId="7FB1A928" w14:textId="77777777" w:rsidR="001F4168" w:rsidRPr="005309C6" w:rsidRDefault="001F4168" w:rsidP="005309C6">
            <w:pPr>
              <w:spacing w:beforeLines="40" w:before="96" w:afterLines="40" w:after="96" w:line="240" w:lineRule="auto"/>
              <w:rPr>
                <w:rFonts w:ascii="Arial" w:hAnsi="Arial" w:cs="Arial"/>
                <w:b/>
                <w:sz w:val="20"/>
                <w:szCs w:val="20"/>
              </w:rPr>
            </w:pPr>
            <w:r w:rsidRPr="005309C6">
              <w:rPr>
                <w:rFonts w:ascii="Arial" w:hAnsi="Arial" w:cs="Arial"/>
                <w:b/>
                <w:sz w:val="20"/>
                <w:szCs w:val="20"/>
              </w:rPr>
              <w:t>Consistent with Guidelines?</w:t>
            </w:r>
          </w:p>
        </w:tc>
      </w:tr>
      <w:tr w:rsidR="00632C95" w:rsidRPr="002F3393" w14:paraId="6CB1D751" w14:textId="77777777" w:rsidTr="00574067">
        <w:tc>
          <w:tcPr>
            <w:tcW w:w="4503" w:type="dxa"/>
          </w:tcPr>
          <w:p w14:paraId="45455DA2" w14:textId="77777777" w:rsidR="00FE35DA" w:rsidRPr="005309C6" w:rsidRDefault="00632C95" w:rsidP="005309C6">
            <w:pPr>
              <w:tabs>
                <w:tab w:val="left" w:pos="507"/>
              </w:tabs>
              <w:spacing w:beforeLines="40" w:before="96" w:afterLines="40" w:after="96" w:line="240" w:lineRule="auto"/>
              <w:rPr>
                <w:rFonts w:ascii="Arial" w:hAnsi="Arial" w:cs="Arial"/>
                <w:sz w:val="20"/>
                <w:szCs w:val="20"/>
              </w:rPr>
            </w:pPr>
            <w:r w:rsidRPr="005309C6">
              <w:rPr>
                <w:rFonts w:ascii="Arial" w:hAnsi="Arial" w:cs="Arial"/>
                <w:sz w:val="20"/>
                <w:szCs w:val="20"/>
              </w:rPr>
              <w:t xml:space="preserve">[PAH sub-type] defined as follows: </w:t>
            </w:r>
          </w:p>
          <w:p w14:paraId="1125F0D0" w14:textId="78440C5D" w:rsidR="00FE35DA" w:rsidRPr="005309C6" w:rsidRDefault="00632C95" w:rsidP="005309C6">
            <w:pPr>
              <w:tabs>
                <w:tab w:val="left" w:pos="507"/>
              </w:tabs>
              <w:spacing w:beforeLines="40" w:before="96" w:afterLines="40" w:after="96" w:line="240" w:lineRule="auto"/>
              <w:rPr>
                <w:rFonts w:ascii="Arial" w:hAnsi="Arial" w:cs="Arial"/>
                <w:sz w:val="20"/>
                <w:szCs w:val="20"/>
              </w:rPr>
            </w:pPr>
            <w:r w:rsidRPr="005309C6">
              <w:rPr>
                <w:rFonts w:ascii="Arial" w:hAnsi="Arial" w:cs="Arial"/>
                <w:sz w:val="20"/>
                <w:szCs w:val="20"/>
              </w:rPr>
              <w:t>(</w:t>
            </w:r>
            <w:proofErr w:type="spellStart"/>
            <w:r w:rsidRPr="005309C6">
              <w:rPr>
                <w:rFonts w:ascii="Arial" w:hAnsi="Arial" w:cs="Arial"/>
                <w:sz w:val="20"/>
                <w:szCs w:val="20"/>
              </w:rPr>
              <w:t>i</w:t>
            </w:r>
            <w:proofErr w:type="spellEnd"/>
            <w:r w:rsidRPr="005309C6">
              <w:rPr>
                <w:rFonts w:ascii="Arial" w:hAnsi="Arial" w:cs="Arial"/>
                <w:sz w:val="20"/>
                <w:szCs w:val="20"/>
              </w:rPr>
              <w:t xml:space="preserve">) </w:t>
            </w:r>
            <w:r w:rsidR="00FE35DA" w:rsidRPr="005309C6">
              <w:rPr>
                <w:rFonts w:ascii="Arial" w:hAnsi="Arial" w:cs="Arial"/>
                <w:sz w:val="20"/>
                <w:szCs w:val="20"/>
              </w:rPr>
              <w:t>mean pulmonary artery pressure (mPAP) greater than 25 mmHg at rest and pulmonary artery wedge pre</w:t>
            </w:r>
            <w:r w:rsidR="00067504">
              <w:rPr>
                <w:rFonts w:ascii="Arial" w:hAnsi="Arial" w:cs="Arial"/>
                <w:sz w:val="20"/>
                <w:szCs w:val="20"/>
              </w:rPr>
              <w:t>ssure (PAWP) less than 15 </w:t>
            </w:r>
            <w:r w:rsidR="00EE1F96">
              <w:rPr>
                <w:rFonts w:ascii="Arial" w:hAnsi="Arial" w:cs="Arial"/>
                <w:sz w:val="20"/>
                <w:szCs w:val="20"/>
              </w:rPr>
              <w:t>mmHg;</w:t>
            </w:r>
          </w:p>
        </w:tc>
        <w:tc>
          <w:tcPr>
            <w:tcW w:w="1984" w:type="dxa"/>
          </w:tcPr>
          <w:p w14:paraId="779410AF" w14:textId="77777777" w:rsidR="00FE35DA" w:rsidRPr="00B37363" w:rsidRDefault="00BA2DBB" w:rsidP="00B37363">
            <w:pPr>
              <w:spacing w:beforeLines="40" w:before="96" w:afterLines="40" w:after="96" w:line="240" w:lineRule="auto"/>
              <w:rPr>
                <w:rFonts w:ascii="Arial" w:hAnsi="Arial" w:cs="Arial"/>
                <w:sz w:val="20"/>
                <w:szCs w:val="20"/>
              </w:rPr>
            </w:pPr>
            <w:r w:rsidRPr="00B37363">
              <w:rPr>
                <w:rFonts w:ascii="Arial" w:hAnsi="Arial" w:cs="Arial"/>
                <w:sz w:val="20"/>
                <w:szCs w:val="20"/>
              </w:rPr>
              <w:t xml:space="preserve">See PAH haemodynamic definition in </w:t>
            </w:r>
            <w:r w:rsidR="00505D99" w:rsidRPr="00505D99">
              <w:rPr>
                <w:rFonts w:ascii="Arial" w:hAnsi="Arial" w:cs="Arial"/>
                <w:sz w:val="20"/>
                <w:szCs w:val="20"/>
              </w:rPr>
              <w:t>Table 1.9</w:t>
            </w:r>
            <w:r w:rsidR="00B37363">
              <w:rPr>
                <w:rFonts w:ascii="Arial" w:hAnsi="Arial" w:cs="Arial"/>
                <w:sz w:val="20"/>
                <w:szCs w:val="20"/>
              </w:rPr>
              <w:t>.</w:t>
            </w:r>
            <w:r w:rsidRPr="00B37363">
              <w:rPr>
                <w:rFonts w:ascii="Arial" w:hAnsi="Arial" w:cs="Arial"/>
                <w:sz w:val="20"/>
                <w:szCs w:val="20"/>
              </w:rPr>
              <w:t xml:space="preserve"> </w:t>
            </w:r>
          </w:p>
        </w:tc>
        <w:tc>
          <w:tcPr>
            <w:tcW w:w="7687" w:type="dxa"/>
          </w:tcPr>
          <w:p w14:paraId="06510177" w14:textId="77777777" w:rsidR="00FE35DA" w:rsidRPr="005309C6" w:rsidRDefault="00FE35DA" w:rsidP="005309C6">
            <w:pPr>
              <w:spacing w:beforeLines="40" w:before="96" w:afterLines="40" w:after="96" w:line="240" w:lineRule="auto"/>
              <w:rPr>
                <w:rFonts w:ascii="Arial" w:hAnsi="Arial" w:cs="Arial"/>
                <w:sz w:val="20"/>
                <w:szCs w:val="20"/>
              </w:rPr>
            </w:pPr>
            <w:r w:rsidRPr="005309C6">
              <w:rPr>
                <w:rFonts w:ascii="Arial" w:hAnsi="Arial" w:cs="Arial"/>
                <w:sz w:val="20"/>
                <w:szCs w:val="20"/>
              </w:rPr>
              <w:t xml:space="preserve">Yes – this reflects the current haemodynamic definition for PAH diagnosis and </w:t>
            </w:r>
            <w:proofErr w:type="gramStart"/>
            <w:r w:rsidRPr="005309C6">
              <w:rPr>
                <w:rFonts w:ascii="Arial" w:hAnsi="Arial" w:cs="Arial"/>
                <w:sz w:val="20"/>
                <w:szCs w:val="20"/>
              </w:rPr>
              <w:t>has been recently updated</w:t>
            </w:r>
            <w:proofErr w:type="gramEnd"/>
            <w:r w:rsidR="00AF365F" w:rsidRPr="005309C6">
              <w:rPr>
                <w:rFonts w:ascii="Arial" w:hAnsi="Arial" w:cs="Arial"/>
                <w:sz w:val="20"/>
                <w:szCs w:val="20"/>
              </w:rPr>
              <w:t xml:space="preserve"> (see </w:t>
            </w:r>
            <w:r w:rsidR="00505D99" w:rsidRPr="00505D99">
              <w:rPr>
                <w:rFonts w:ascii="Arial" w:hAnsi="Arial" w:cs="Arial"/>
                <w:i/>
                <w:sz w:val="20"/>
                <w:szCs w:val="20"/>
              </w:rPr>
              <w:t>B.4.5.3 Recent amendments to</w:t>
            </w:r>
            <w:r w:rsidR="00505D99" w:rsidRPr="00505D99">
              <w:rPr>
                <w:rFonts w:ascii="Arial" w:hAnsi="Arial" w:cs="Arial"/>
                <w:sz w:val="20"/>
                <w:szCs w:val="20"/>
              </w:rPr>
              <w:t xml:space="preserve"> PBS Restrictions</w:t>
            </w:r>
            <w:r w:rsidR="00AF365F" w:rsidRPr="005309C6">
              <w:rPr>
                <w:rFonts w:ascii="Arial" w:hAnsi="Arial" w:cs="Arial"/>
                <w:sz w:val="20"/>
                <w:szCs w:val="20"/>
              </w:rPr>
              <w:t>)</w:t>
            </w:r>
            <w:r w:rsidRPr="005309C6">
              <w:rPr>
                <w:rFonts w:ascii="Arial" w:hAnsi="Arial" w:cs="Arial"/>
                <w:sz w:val="20"/>
                <w:szCs w:val="20"/>
              </w:rPr>
              <w:t xml:space="preserve">. </w:t>
            </w:r>
          </w:p>
        </w:tc>
      </w:tr>
      <w:tr w:rsidR="00B15FF7" w:rsidRPr="002F3393" w14:paraId="27DC6835" w14:textId="77777777" w:rsidTr="00574067">
        <w:tc>
          <w:tcPr>
            <w:tcW w:w="4503" w:type="dxa"/>
          </w:tcPr>
          <w:p w14:paraId="7D9E3B41" w14:textId="77777777" w:rsidR="00632C95" w:rsidRPr="005309C6" w:rsidRDefault="00632C95" w:rsidP="005309C6">
            <w:pPr>
              <w:spacing w:beforeLines="40" w:before="96" w:afterLines="40" w:after="96" w:line="240" w:lineRule="auto"/>
              <w:rPr>
                <w:rFonts w:ascii="Arial" w:hAnsi="Arial" w:cs="Arial"/>
                <w:sz w:val="20"/>
                <w:szCs w:val="20"/>
              </w:rPr>
            </w:pPr>
            <w:r w:rsidRPr="005309C6">
              <w:rPr>
                <w:rFonts w:ascii="Arial" w:hAnsi="Arial" w:cs="Arial"/>
                <w:sz w:val="20"/>
                <w:szCs w:val="20"/>
              </w:rPr>
              <w:t xml:space="preserve">[PAH sub-type] defined as follows: </w:t>
            </w:r>
          </w:p>
          <w:p w14:paraId="3A541E21" w14:textId="77777777" w:rsidR="00632C95" w:rsidRPr="005309C6" w:rsidRDefault="00632C95" w:rsidP="005309C6">
            <w:pPr>
              <w:spacing w:beforeLines="40" w:before="96" w:afterLines="40" w:after="96" w:line="240" w:lineRule="auto"/>
              <w:rPr>
                <w:rFonts w:ascii="Arial" w:hAnsi="Arial" w:cs="Arial"/>
                <w:sz w:val="20"/>
                <w:szCs w:val="20"/>
              </w:rPr>
            </w:pPr>
            <w:r w:rsidRPr="005309C6">
              <w:rPr>
                <w:rFonts w:ascii="Arial" w:hAnsi="Arial" w:cs="Arial"/>
                <w:sz w:val="20"/>
                <w:szCs w:val="20"/>
              </w:rPr>
              <w:t xml:space="preserve">(ii) </w:t>
            </w:r>
            <w:proofErr w:type="gramStart"/>
            <w:r w:rsidRPr="005309C6">
              <w:rPr>
                <w:rFonts w:ascii="Arial" w:hAnsi="Arial" w:cs="Arial"/>
                <w:sz w:val="20"/>
                <w:szCs w:val="20"/>
              </w:rPr>
              <w:t>where</w:t>
            </w:r>
            <w:proofErr w:type="gramEnd"/>
            <w:r w:rsidRPr="005309C6">
              <w:rPr>
                <w:rFonts w:ascii="Arial" w:hAnsi="Arial" w:cs="Arial"/>
                <w:sz w:val="20"/>
                <w:szCs w:val="20"/>
              </w:rPr>
              <w:t xml:space="preserve"> a right heart catheter (RHC) cannot be performed on clinical grounds, right ventricular systolic pressure (RVSP), assessed by echocardiography (ECHO), greater than 40 mmHg, with no</w:t>
            </w:r>
            <w:r w:rsidR="00EE1F96">
              <w:rPr>
                <w:rFonts w:ascii="Arial" w:hAnsi="Arial" w:cs="Arial"/>
                <w:sz w:val="20"/>
                <w:szCs w:val="20"/>
              </w:rPr>
              <w:t>rmal left ventricular function.</w:t>
            </w:r>
          </w:p>
        </w:tc>
        <w:tc>
          <w:tcPr>
            <w:tcW w:w="1984" w:type="dxa"/>
          </w:tcPr>
          <w:p w14:paraId="4814B905" w14:textId="77777777" w:rsidR="00632C95" w:rsidRPr="00B37363" w:rsidRDefault="00632C95" w:rsidP="00B37363">
            <w:pPr>
              <w:spacing w:beforeLines="40" w:before="96" w:afterLines="40" w:after="96" w:line="240" w:lineRule="auto"/>
              <w:rPr>
                <w:rFonts w:ascii="Arial" w:hAnsi="Arial" w:cs="Arial"/>
                <w:sz w:val="20"/>
                <w:szCs w:val="20"/>
              </w:rPr>
            </w:pPr>
            <w:r w:rsidRPr="00B37363">
              <w:rPr>
                <w:rFonts w:ascii="Arial" w:hAnsi="Arial" w:cs="Arial"/>
                <w:sz w:val="20"/>
                <w:szCs w:val="20"/>
              </w:rPr>
              <w:t>See PAH haemodynamic definition; RHC contra</w:t>
            </w:r>
            <w:r w:rsidR="00D567B3" w:rsidRPr="00B37363">
              <w:rPr>
                <w:rFonts w:ascii="Arial" w:hAnsi="Arial" w:cs="Arial"/>
                <w:sz w:val="20"/>
                <w:szCs w:val="20"/>
              </w:rPr>
              <w:t>-</w:t>
            </w:r>
            <w:r w:rsidRPr="00B37363">
              <w:rPr>
                <w:rFonts w:ascii="Arial" w:hAnsi="Arial" w:cs="Arial"/>
                <w:sz w:val="20"/>
                <w:szCs w:val="20"/>
              </w:rPr>
              <w:t xml:space="preserve">indications and Clinical features suggestive of PAH in </w:t>
            </w:r>
            <w:r w:rsidR="00505D99" w:rsidRPr="00505D99">
              <w:rPr>
                <w:rFonts w:ascii="Arial" w:hAnsi="Arial" w:cs="Arial"/>
                <w:sz w:val="20"/>
                <w:szCs w:val="20"/>
              </w:rPr>
              <w:t>Table 1.9</w:t>
            </w:r>
            <w:r w:rsidR="00B37363">
              <w:rPr>
                <w:rFonts w:ascii="Arial" w:hAnsi="Arial" w:cs="Arial"/>
                <w:sz w:val="20"/>
                <w:szCs w:val="20"/>
              </w:rPr>
              <w:t>.</w:t>
            </w:r>
          </w:p>
        </w:tc>
        <w:tc>
          <w:tcPr>
            <w:tcW w:w="7687" w:type="dxa"/>
          </w:tcPr>
          <w:p w14:paraId="5E0AD745" w14:textId="77777777" w:rsidR="003C17FA" w:rsidRPr="005309C6" w:rsidRDefault="00632C95" w:rsidP="005309C6">
            <w:pPr>
              <w:spacing w:beforeLines="40" w:before="96" w:afterLines="40" w:after="96" w:line="240" w:lineRule="auto"/>
              <w:rPr>
                <w:rFonts w:ascii="Arial" w:hAnsi="Arial" w:cs="Arial"/>
                <w:sz w:val="20"/>
                <w:szCs w:val="20"/>
              </w:rPr>
            </w:pPr>
            <w:r w:rsidRPr="005309C6">
              <w:rPr>
                <w:rFonts w:ascii="Arial" w:hAnsi="Arial" w:cs="Arial"/>
                <w:sz w:val="20"/>
                <w:szCs w:val="20"/>
              </w:rPr>
              <w:t>No. It is unlikely that the echocardiographic criterion (ii) is current</w:t>
            </w:r>
            <w:r w:rsidR="00496849" w:rsidRPr="005309C6">
              <w:rPr>
                <w:rFonts w:ascii="Arial" w:hAnsi="Arial" w:cs="Arial"/>
                <w:sz w:val="20"/>
                <w:szCs w:val="20"/>
              </w:rPr>
              <w:t>.</w:t>
            </w:r>
          </w:p>
          <w:p w14:paraId="60F165D4" w14:textId="77777777" w:rsidR="00632C95" w:rsidRPr="005309C6" w:rsidRDefault="00632C95" w:rsidP="005A13E2">
            <w:pPr>
              <w:spacing w:beforeLines="40" w:before="96" w:afterLines="40" w:after="96" w:line="240" w:lineRule="auto"/>
              <w:rPr>
                <w:rFonts w:ascii="Arial" w:hAnsi="Arial" w:cs="Arial"/>
                <w:sz w:val="20"/>
                <w:szCs w:val="20"/>
              </w:rPr>
            </w:pPr>
            <w:r w:rsidRPr="005309C6">
              <w:rPr>
                <w:rFonts w:ascii="Arial" w:hAnsi="Arial" w:cs="Arial"/>
                <w:sz w:val="20"/>
                <w:szCs w:val="20"/>
              </w:rPr>
              <w:t xml:space="preserve">The current guidelines recommend measurement of peak TRV as the key </w:t>
            </w:r>
            <w:r w:rsidR="00C40AC4" w:rsidRPr="005309C6">
              <w:rPr>
                <w:rFonts w:ascii="Arial" w:hAnsi="Arial" w:cs="Arial"/>
                <w:sz w:val="20"/>
                <w:szCs w:val="20"/>
              </w:rPr>
              <w:t>echo</w:t>
            </w:r>
            <w:r w:rsidRPr="005309C6">
              <w:rPr>
                <w:rFonts w:ascii="Arial" w:hAnsi="Arial" w:cs="Arial"/>
                <w:sz w:val="20"/>
                <w:szCs w:val="20"/>
              </w:rPr>
              <w:t xml:space="preserve">cardiographic variable predictive of PAH. If RHC is contraindicated, clinical features suggestive of PAH </w:t>
            </w:r>
            <w:r w:rsidR="003C17FA" w:rsidRPr="005309C6">
              <w:rPr>
                <w:rFonts w:ascii="Arial" w:hAnsi="Arial" w:cs="Arial"/>
                <w:sz w:val="20"/>
                <w:szCs w:val="20"/>
              </w:rPr>
              <w:t>on echocardiography</w:t>
            </w:r>
            <w:r w:rsidRPr="005309C6">
              <w:rPr>
                <w:rFonts w:ascii="Arial" w:hAnsi="Arial" w:cs="Arial"/>
                <w:sz w:val="20"/>
                <w:szCs w:val="20"/>
              </w:rPr>
              <w:t xml:space="preserve"> </w:t>
            </w:r>
            <w:proofErr w:type="gramStart"/>
            <w:r w:rsidRPr="005309C6">
              <w:rPr>
                <w:rFonts w:ascii="Arial" w:hAnsi="Arial" w:cs="Arial"/>
                <w:sz w:val="20"/>
                <w:szCs w:val="20"/>
              </w:rPr>
              <w:t>are given</w:t>
            </w:r>
            <w:proofErr w:type="gramEnd"/>
            <w:r w:rsidRPr="005309C6">
              <w:rPr>
                <w:rFonts w:ascii="Arial" w:hAnsi="Arial" w:cs="Arial"/>
                <w:sz w:val="20"/>
                <w:szCs w:val="20"/>
              </w:rPr>
              <w:t xml:space="preserve"> </w:t>
            </w:r>
            <w:r w:rsidRPr="00E70D1B">
              <w:rPr>
                <w:rFonts w:ascii="Arial" w:hAnsi="Arial" w:cs="Arial"/>
                <w:sz w:val="20"/>
                <w:szCs w:val="20"/>
              </w:rPr>
              <w:t xml:space="preserve">in </w:t>
            </w:r>
            <w:r w:rsidR="00505D99" w:rsidRPr="00E70D1B">
              <w:rPr>
                <w:rFonts w:ascii="Arial" w:hAnsi="Arial" w:cs="Arial"/>
                <w:sz w:val="20"/>
                <w:szCs w:val="20"/>
              </w:rPr>
              <w:t xml:space="preserve">Table 1.9 </w:t>
            </w:r>
            <w:r w:rsidR="00505D99" w:rsidRPr="00E70D1B">
              <w:rPr>
                <w:rFonts w:ascii="Arial" w:hAnsi="Arial" w:cs="Arial"/>
                <w:sz w:val="20"/>
                <w:szCs w:val="20"/>
              </w:rPr>
              <w:tab/>
              <w:t>Guideline diagnostic recommendations for PAH</w:t>
            </w:r>
            <w:r w:rsidR="003D386D" w:rsidRPr="005309C6">
              <w:rPr>
                <w:rFonts w:ascii="Arial" w:hAnsi="Arial" w:cs="Arial"/>
                <w:sz w:val="20"/>
                <w:szCs w:val="20"/>
              </w:rPr>
              <w:t xml:space="preserve"> </w:t>
            </w:r>
            <w:r w:rsidRPr="005309C6">
              <w:rPr>
                <w:rFonts w:ascii="Arial" w:hAnsi="Arial" w:cs="Arial"/>
                <w:sz w:val="20"/>
                <w:szCs w:val="20"/>
              </w:rPr>
              <w:t xml:space="preserve">and while a number of similar parameters are cited, RVSP is not </w:t>
            </w:r>
            <w:r w:rsidR="003C17FA" w:rsidRPr="005309C6">
              <w:rPr>
                <w:rFonts w:ascii="Arial" w:hAnsi="Arial" w:cs="Arial"/>
                <w:sz w:val="20"/>
                <w:szCs w:val="20"/>
              </w:rPr>
              <w:t xml:space="preserve">among </w:t>
            </w:r>
            <w:r w:rsidRPr="005309C6">
              <w:rPr>
                <w:rFonts w:ascii="Arial" w:hAnsi="Arial" w:cs="Arial"/>
                <w:sz w:val="20"/>
                <w:szCs w:val="20"/>
              </w:rPr>
              <w:t>them</w:t>
            </w:r>
            <w:r w:rsidR="00EE1F96">
              <w:rPr>
                <w:rFonts w:ascii="Arial" w:hAnsi="Arial" w:cs="Arial"/>
                <w:sz w:val="20"/>
                <w:szCs w:val="20"/>
              </w:rPr>
              <w:t>.</w:t>
            </w:r>
          </w:p>
        </w:tc>
      </w:tr>
      <w:tr w:rsidR="00B15FF7" w:rsidRPr="002F3393" w14:paraId="2A64086B" w14:textId="77777777" w:rsidTr="00574067">
        <w:tc>
          <w:tcPr>
            <w:tcW w:w="4503" w:type="dxa"/>
          </w:tcPr>
          <w:p w14:paraId="4D968C33" w14:textId="77777777" w:rsidR="00B15FF7" w:rsidRPr="005309C6" w:rsidRDefault="00B15FF7" w:rsidP="005309C6">
            <w:pPr>
              <w:spacing w:beforeLines="40" w:before="96" w:afterLines="40" w:after="96" w:line="240" w:lineRule="auto"/>
              <w:rPr>
                <w:rFonts w:ascii="Arial" w:hAnsi="Arial" w:cs="Arial"/>
                <w:sz w:val="20"/>
                <w:szCs w:val="20"/>
              </w:rPr>
            </w:pPr>
            <w:r w:rsidRPr="005309C6">
              <w:rPr>
                <w:rFonts w:ascii="Arial" w:hAnsi="Arial" w:cs="Arial"/>
                <w:sz w:val="20"/>
                <w:szCs w:val="20"/>
              </w:rPr>
              <w:t xml:space="preserve">The restrictions no longer </w:t>
            </w:r>
            <w:r w:rsidR="003C17FA" w:rsidRPr="005309C6">
              <w:rPr>
                <w:rFonts w:ascii="Arial" w:hAnsi="Arial" w:cs="Arial"/>
                <w:sz w:val="20"/>
                <w:szCs w:val="20"/>
              </w:rPr>
              <w:t>require</w:t>
            </w:r>
            <w:r w:rsidRPr="005309C6">
              <w:rPr>
                <w:rFonts w:ascii="Arial" w:hAnsi="Arial" w:cs="Arial"/>
                <w:sz w:val="20"/>
                <w:szCs w:val="20"/>
              </w:rPr>
              <w:t xml:space="preserve"> mPAP obtained during exercise</w:t>
            </w:r>
            <w:r w:rsidR="00EE1F96">
              <w:rPr>
                <w:rFonts w:ascii="Arial" w:hAnsi="Arial" w:cs="Arial"/>
                <w:sz w:val="20"/>
                <w:szCs w:val="20"/>
              </w:rPr>
              <w:t>.</w:t>
            </w:r>
          </w:p>
        </w:tc>
        <w:tc>
          <w:tcPr>
            <w:tcW w:w="1984" w:type="dxa"/>
          </w:tcPr>
          <w:p w14:paraId="238D5D4A" w14:textId="77777777" w:rsidR="00B15FF7" w:rsidRPr="005309C6" w:rsidRDefault="00B15FF7" w:rsidP="005309C6">
            <w:pPr>
              <w:spacing w:beforeLines="40" w:before="96" w:afterLines="40" w:after="96" w:line="240" w:lineRule="auto"/>
              <w:rPr>
                <w:rFonts w:ascii="Arial" w:hAnsi="Arial" w:cs="Arial"/>
                <w:sz w:val="20"/>
                <w:szCs w:val="20"/>
              </w:rPr>
            </w:pPr>
            <w:r w:rsidRPr="005309C6">
              <w:rPr>
                <w:rFonts w:ascii="Arial" w:hAnsi="Arial" w:cs="Arial"/>
                <w:sz w:val="20"/>
                <w:szCs w:val="20"/>
              </w:rPr>
              <w:t>‒</w:t>
            </w:r>
          </w:p>
        </w:tc>
        <w:tc>
          <w:tcPr>
            <w:tcW w:w="7687" w:type="dxa"/>
          </w:tcPr>
          <w:p w14:paraId="0140B4C8" w14:textId="77777777" w:rsidR="00B15FF7" w:rsidRPr="005309C6" w:rsidRDefault="00B15FF7" w:rsidP="005309C6">
            <w:pPr>
              <w:spacing w:beforeLines="40" w:before="96" w:afterLines="40" w:after="96" w:line="240" w:lineRule="auto"/>
              <w:rPr>
                <w:rFonts w:ascii="Arial" w:hAnsi="Arial" w:cs="Arial"/>
                <w:sz w:val="20"/>
                <w:szCs w:val="20"/>
              </w:rPr>
            </w:pPr>
            <w:r w:rsidRPr="005309C6">
              <w:rPr>
                <w:rFonts w:ascii="Arial" w:hAnsi="Arial" w:cs="Arial"/>
                <w:sz w:val="20"/>
                <w:szCs w:val="20"/>
              </w:rPr>
              <w:t>Yes. This has recently been removed from the PAH restrictions</w:t>
            </w:r>
            <w:r w:rsidR="00AF365F" w:rsidRPr="005309C6">
              <w:rPr>
                <w:rFonts w:ascii="Arial" w:hAnsi="Arial" w:cs="Arial"/>
                <w:sz w:val="20"/>
                <w:szCs w:val="20"/>
              </w:rPr>
              <w:t xml:space="preserve"> (see </w:t>
            </w:r>
            <w:r w:rsidR="00505D99" w:rsidRPr="00505D99">
              <w:rPr>
                <w:rFonts w:ascii="Arial" w:hAnsi="Arial" w:cs="Arial"/>
                <w:i/>
                <w:sz w:val="20"/>
                <w:szCs w:val="20"/>
              </w:rPr>
              <w:t>B.4.5.3 Recent amendments to</w:t>
            </w:r>
            <w:r w:rsidR="00505D99" w:rsidRPr="00505D99">
              <w:rPr>
                <w:rFonts w:ascii="Arial" w:hAnsi="Arial" w:cs="Arial"/>
                <w:sz w:val="20"/>
                <w:szCs w:val="20"/>
              </w:rPr>
              <w:t xml:space="preserve"> PBS Restrictions</w:t>
            </w:r>
            <w:r w:rsidR="00AF365F" w:rsidRPr="005309C6">
              <w:rPr>
                <w:rFonts w:ascii="Arial" w:hAnsi="Arial" w:cs="Arial"/>
                <w:sz w:val="20"/>
                <w:szCs w:val="20"/>
              </w:rPr>
              <w:t>)</w:t>
            </w:r>
            <w:r w:rsidRPr="005309C6">
              <w:rPr>
                <w:rFonts w:ascii="Arial" w:hAnsi="Arial" w:cs="Arial"/>
                <w:sz w:val="20"/>
                <w:szCs w:val="20"/>
              </w:rPr>
              <w:t xml:space="preserve">. This reflects a corresponding move away from exercise testing in the guidelines. </w:t>
            </w:r>
          </w:p>
        </w:tc>
      </w:tr>
      <w:tr w:rsidR="00D567B3" w:rsidRPr="002F3393" w14:paraId="3E70F001" w14:textId="77777777" w:rsidTr="00574067">
        <w:tc>
          <w:tcPr>
            <w:tcW w:w="4503" w:type="dxa"/>
          </w:tcPr>
          <w:p w14:paraId="5AA3A758" w14:textId="77777777" w:rsidR="00497F9C" w:rsidRPr="005309C6" w:rsidRDefault="00497F9C" w:rsidP="005309C6">
            <w:pPr>
              <w:tabs>
                <w:tab w:val="left" w:pos="507"/>
              </w:tabs>
              <w:spacing w:beforeLines="40" w:before="96" w:afterLines="40" w:after="96" w:line="240" w:lineRule="auto"/>
              <w:rPr>
                <w:rFonts w:ascii="Arial" w:hAnsi="Arial" w:cs="Arial"/>
                <w:sz w:val="20"/>
                <w:szCs w:val="20"/>
              </w:rPr>
            </w:pPr>
            <w:r w:rsidRPr="005309C6">
              <w:rPr>
                <w:rFonts w:ascii="Arial" w:hAnsi="Arial" w:cs="Arial"/>
                <w:sz w:val="20"/>
                <w:szCs w:val="20"/>
              </w:rPr>
              <w:t>Test requirements to establish baseline for initiation of treatment are as follows:</w:t>
            </w:r>
          </w:p>
          <w:p w14:paraId="5357C255" w14:textId="77777777" w:rsidR="00497F9C" w:rsidRPr="005309C6" w:rsidRDefault="00497F9C" w:rsidP="00807704">
            <w:pPr>
              <w:pStyle w:val="ListParagraph"/>
              <w:numPr>
                <w:ilvl w:val="0"/>
                <w:numId w:val="18"/>
              </w:numPr>
              <w:spacing w:beforeLines="40" w:before="96" w:afterLines="40" w:after="96" w:line="240" w:lineRule="auto"/>
              <w:ind w:left="0" w:firstLine="0"/>
              <w:rPr>
                <w:rFonts w:ascii="Arial" w:hAnsi="Arial" w:cs="Arial"/>
                <w:sz w:val="20"/>
                <w:szCs w:val="20"/>
              </w:rPr>
            </w:pPr>
            <w:r w:rsidRPr="005309C6">
              <w:rPr>
                <w:rFonts w:ascii="Arial" w:hAnsi="Arial" w:cs="Arial"/>
                <w:sz w:val="20"/>
                <w:szCs w:val="20"/>
              </w:rPr>
              <w:t>A right heart catheter (RHC) composite assessment</w:t>
            </w:r>
          </w:p>
          <w:p w14:paraId="68C7137D" w14:textId="77777777" w:rsidR="00497F9C" w:rsidRPr="005309C6" w:rsidRDefault="00497F9C" w:rsidP="00807704">
            <w:pPr>
              <w:pStyle w:val="ListParagraph"/>
              <w:numPr>
                <w:ilvl w:val="0"/>
                <w:numId w:val="18"/>
              </w:numPr>
              <w:spacing w:beforeLines="40" w:before="96" w:afterLines="40" w:after="96" w:line="240" w:lineRule="auto"/>
              <w:ind w:left="0" w:firstLine="0"/>
              <w:rPr>
                <w:rFonts w:ascii="Arial" w:hAnsi="Arial" w:cs="Arial"/>
                <w:sz w:val="20"/>
                <w:szCs w:val="20"/>
              </w:rPr>
            </w:pPr>
            <w:r w:rsidRPr="005309C6">
              <w:rPr>
                <w:rFonts w:ascii="Arial" w:hAnsi="Arial" w:cs="Arial"/>
                <w:sz w:val="20"/>
                <w:szCs w:val="20"/>
              </w:rPr>
              <w:t>An echocardiograph (ECHO) composite assessment,</w:t>
            </w:r>
          </w:p>
          <w:p w14:paraId="38438FBB" w14:textId="77777777" w:rsidR="00497F9C" w:rsidRPr="005309C6" w:rsidRDefault="00497F9C" w:rsidP="00215946">
            <w:pPr>
              <w:pStyle w:val="ListParagraph"/>
              <w:numPr>
                <w:ilvl w:val="0"/>
                <w:numId w:val="18"/>
              </w:numPr>
              <w:spacing w:beforeLines="40" w:before="96" w:afterLines="40" w:after="96" w:line="240" w:lineRule="auto"/>
              <w:ind w:left="0" w:firstLine="0"/>
              <w:rPr>
                <w:rFonts w:ascii="Arial" w:hAnsi="Arial" w:cs="Arial"/>
                <w:sz w:val="20"/>
                <w:szCs w:val="20"/>
              </w:rPr>
            </w:pPr>
            <w:r w:rsidRPr="005309C6">
              <w:rPr>
                <w:rFonts w:ascii="Arial" w:hAnsi="Arial" w:cs="Arial"/>
                <w:sz w:val="20"/>
                <w:szCs w:val="20"/>
              </w:rPr>
              <w:t xml:space="preserve">A </w:t>
            </w:r>
            <w:proofErr w:type="gramStart"/>
            <w:r w:rsidRPr="005309C6">
              <w:rPr>
                <w:rFonts w:ascii="Arial" w:hAnsi="Arial" w:cs="Arial"/>
                <w:sz w:val="20"/>
                <w:szCs w:val="20"/>
              </w:rPr>
              <w:t>6 minute</w:t>
            </w:r>
            <w:proofErr w:type="gramEnd"/>
            <w:r w:rsidRPr="005309C6">
              <w:rPr>
                <w:rFonts w:ascii="Arial" w:hAnsi="Arial" w:cs="Arial"/>
                <w:sz w:val="20"/>
                <w:szCs w:val="20"/>
              </w:rPr>
              <w:t xml:space="preserve"> walk test (6MWT)</w:t>
            </w:r>
            <w:r w:rsidR="00EE1F96">
              <w:rPr>
                <w:rFonts w:ascii="Arial" w:hAnsi="Arial" w:cs="Arial"/>
                <w:sz w:val="20"/>
                <w:szCs w:val="20"/>
              </w:rPr>
              <w:t>.</w:t>
            </w:r>
          </w:p>
        </w:tc>
        <w:tc>
          <w:tcPr>
            <w:tcW w:w="1984" w:type="dxa"/>
          </w:tcPr>
          <w:p w14:paraId="12EDD34D" w14:textId="77777777" w:rsidR="00497F9C" w:rsidRPr="00B37363" w:rsidRDefault="00632C95" w:rsidP="00D5265F">
            <w:pPr>
              <w:spacing w:beforeLines="40" w:before="96" w:afterLines="40" w:after="96" w:line="240" w:lineRule="auto"/>
              <w:rPr>
                <w:rFonts w:ascii="Arial" w:hAnsi="Arial" w:cs="Arial"/>
                <w:sz w:val="20"/>
                <w:szCs w:val="20"/>
              </w:rPr>
            </w:pPr>
            <w:r w:rsidRPr="00D5265F">
              <w:rPr>
                <w:rFonts w:ascii="Arial" w:hAnsi="Arial" w:cs="Arial"/>
                <w:sz w:val="20"/>
                <w:szCs w:val="20"/>
              </w:rPr>
              <w:t xml:space="preserve">See </w:t>
            </w:r>
            <w:r w:rsidR="00505D99" w:rsidRPr="00505D99">
              <w:rPr>
                <w:rFonts w:ascii="Arial" w:hAnsi="Arial" w:cs="Arial"/>
                <w:sz w:val="20"/>
                <w:szCs w:val="20"/>
              </w:rPr>
              <w:t>Table 1.10</w:t>
            </w:r>
            <w:r w:rsidR="00B37363">
              <w:rPr>
                <w:rFonts w:ascii="Arial" w:hAnsi="Arial" w:cs="Arial"/>
                <w:sz w:val="20"/>
                <w:szCs w:val="20"/>
              </w:rPr>
              <w:t>.</w:t>
            </w:r>
          </w:p>
        </w:tc>
        <w:tc>
          <w:tcPr>
            <w:tcW w:w="7687" w:type="dxa"/>
          </w:tcPr>
          <w:p w14:paraId="48CFE6B2" w14:textId="77777777" w:rsidR="00632C95" w:rsidRPr="005309C6" w:rsidRDefault="00632C95" w:rsidP="005309C6">
            <w:pPr>
              <w:spacing w:beforeLines="40" w:before="96" w:afterLines="40" w:after="96" w:line="240" w:lineRule="auto"/>
              <w:rPr>
                <w:rFonts w:ascii="Arial" w:hAnsi="Arial" w:cs="Arial"/>
                <w:sz w:val="20"/>
                <w:szCs w:val="20"/>
              </w:rPr>
            </w:pPr>
            <w:r w:rsidRPr="005309C6">
              <w:rPr>
                <w:rFonts w:ascii="Arial" w:hAnsi="Arial" w:cs="Arial"/>
                <w:sz w:val="20"/>
                <w:szCs w:val="20"/>
              </w:rPr>
              <w:t>Partially. RHC is the gold standard for diagnosis and is essential for diagnosi</w:t>
            </w:r>
            <w:r w:rsidR="00EE1F96">
              <w:rPr>
                <w:rFonts w:ascii="Arial" w:hAnsi="Arial" w:cs="Arial"/>
                <w:sz w:val="20"/>
                <w:szCs w:val="20"/>
              </w:rPr>
              <w:t>s and baseline characteristics.</w:t>
            </w:r>
          </w:p>
          <w:p w14:paraId="6AD21D91" w14:textId="77777777" w:rsidR="00632C95" w:rsidRPr="005309C6" w:rsidRDefault="00632C95" w:rsidP="005309C6">
            <w:pPr>
              <w:spacing w:beforeLines="40" w:before="96" w:afterLines="40" w:after="96" w:line="240" w:lineRule="auto"/>
              <w:rPr>
                <w:rFonts w:ascii="Arial" w:hAnsi="Arial" w:cs="Arial"/>
                <w:sz w:val="20"/>
                <w:szCs w:val="20"/>
              </w:rPr>
            </w:pPr>
            <w:r w:rsidRPr="005309C6">
              <w:rPr>
                <w:rFonts w:ascii="Arial" w:hAnsi="Arial" w:cs="Arial"/>
                <w:sz w:val="20"/>
                <w:szCs w:val="20"/>
              </w:rPr>
              <w:t>If RHC results are available, evidence of echocardiography may not</w:t>
            </w:r>
            <w:r w:rsidR="00C40AC4" w:rsidRPr="005309C6">
              <w:rPr>
                <w:rFonts w:ascii="Arial" w:hAnsi="Arial" w:cs="Arial"/>
                <w:sz w:val="20"/>
                <w:szCs w:val="20"/>
              </w:rPr>
              <w:t xml:space="preserve"> be</w:t>
            </w:r>
            <w:r w:rsidRPr="005309C6">
              <w:rPr>
                <w:rFonts w:ascii="Arial" w:hAnsi="Arial" w:cs="Arial"/>
                <w:sz w:val="20"/>
                <w:szCs w:val="20"/>
              </w:rPr>
              <w:t xml:space="preserve"> required as it should also have been as part of the work-up for RHC</w:t>
            </w:r>
            <w:r w:rsidR="00EE1F96">
              <w:rPr>
                <w:rFonts w:ascii="Arial" w:hAnsi="Arial" w:cs="Arial"/>
                <w:sz w:val="20"/>
                <w:szCs w:val="20"/>
              </w:rPr>
              <w:t>.</w:t>
            </w:r>
          </w:p>
          <w:p w14:paraId="19C53AE4" w14:textId="77777777" w:rsidR="00497F9C" w:rsidRPr="005309C6" w:rsidRDefault="00632C95" w:rsidP="005309C6">
            <w:pPr>
              <w:spacing w:beforeLines="40" w:before="96" w:afterLines="40" w:after="96" w:line="240" w:lineRule="auto"/>
              <w:rPr>
                <w:rFonts w:ascii="Arial" w:hAnsi="Arial" w:cs="Arial"/>
                <w:sz w:val="20"/>
                <w:szCs w:val="20"/>
              </w:rPr>
            </w:pPr>
            <w:r w:rsidRPr="005309C6">
              <w:rPr>
                <w:rFonts w:ascii="Arial" w:hAnsi="Arial" w:cs="Arial"/>
                <w:sz w:val="20"/>
                <w:szCs w:val="20"/>
              </w:rPr>
              <w:t>The 6MWD criterion reflects the use of this measure as an endpoint for clinical trials in PAH but this parameter is not diagnostic of PAH</w:t>
            </w:r>
            <w:r w:rsidR="000E773E" w:rsidRPr="005309C6">
              <w:rPr>
                <w:rFonts w:ascii="Arial" w:hAnsi="Arial" w:cs="Arial"/>
                <w:sz w:val="20"/>
                <w:szCs w:val="20"/>
              </w:rPr>
              <w:t xml:space="preserve"> and is only one of a panel of baseline assessments</w:t>
            </w:r>
            <w:r w:rsidR="003C17FA" w:rsidRPr="005309C6">
              <w:rPr>
                <w:rFonts w:ascii="Arial" w:hAnsi="Arial" w:cs="Arial"/>
                <w:sz w:val="20"/>
                <w:szCs w:val="20"/>
              </w:rPr>
              <w:t xml:space="preserve">. </w:t>
            </w:r>
            <w:r w:rsidRPr="005309C6">
              <w:rPr>
                <w:rFonts w:ascii="Arial" w:hAnsi="Arial" w:cs="Arial"/>
                <w:sz w:val="20"/>
                <w:szCs w:val="20"/>
              </w:rPr>
              <w:t xml:space="preserve">This parameter </w:t>
            </w:r>
            <w:proofErr w:type="gramStart"/>
            <w:r w:rsidRPr="005309C6">
              <w:rPr>
                <w:rFonts w:ascii="Arial" w:hAnsi="Arial" w:cs="Arial"/>
                <w:sz w:val="20"/>
                <w:szCs w:val="20"/>
              </w:rPr>
              <w:t>is not considered</w:t>
            </w:r>
            <w:proofErr w:type="gramEnd"/>
            <w:r w:rsidRPr="005309C6">
              <w:rPr>
                <w:rFonts w:ascii="Arial" w:hAnsi="Arial" w:cs="Arial"/>
                <w:sz w:val="20"/>
                <w:szCs w:val="20"/>
              </w:rPr>
              <w:t xml:space="preserve"> prognostic in</w:t>
            </w:r>
            <w:r w:rsidR="000640EA" w:rsidRPr="005309C6">
              <w:rPr>
                <w:rFonts w:ascii="Arial" w:hAnsi="Arial" w:cs="Arial"/>
                <w:sz w:val="20"/>
                <w:szCs w:val="20"/>
              </w:rPr>
              <w:t xml:space="preserve"> children, though it may prove</w:t>
            </w:r>
            <w:r w:rsidRPr="005309C6">
              <w:rPr>
                <w:rFonts w:ascii="Arial" w:hAnsi="Arial" w:cs="Arial"/>
                <w:sz w:val="20"/>
                <w:szCs w:val="20"/>
              </w:rPr>
              <w:t xml:space="preserve"> informative for monitoring of exercise capacity in some children. Also discussed in </w:t>
            </w:r>
            <w:r w:rsidR="008E457C">
              <w:rPr>
                <w:rFonts w:ascii="Arial" w:hAnsi="Arial" w:cs="Arial"/>
                <w:sz w:val="20"/>
                <w:szCs w:val="20"/>
              </w:rPr>
              <w:t>main text.</w:t>
            </w:r>
          </w:p>
        </w:tc>
      </w:tr>
      <w:tr w:rsidR="00632C95" w:rsidRPr="00A92819" w14:paraId="1C879939" w14:textId="77777777" w:rsidTr="00922EA4">
        <w:trPr>
          <w:cantSplit/>
        </w:trPr>
        <w:tc>
          <w:tcPr>
            <w:tcW w:w="4503" w:type="dxa"/>
          </w:tcPr>
          <w:p w14:paraId="0DB43287" w14:textId="77777777" w:rsidR="00497F9C" w:rsidRPr="005309C6" w:rsidRDefault="00497F9C" w:rsidP="005309C6">
            <w:pPr>
              <w:spacing w:beforeLines="40" w:before="96" w:afterLines="40" w:after="96" w:line="240" w:lineRule="auto"/>
              <w:rPr>
                <w:rFonts w:ascii="Arial" w:hAnsi="Arial" w:cs="Arial"/>
                <w:sz w:val="20"/>
                <w:szCs w:val="20"/>
              </w:rPr>
            </w:pPr>
            <w:r w:rsidRPr="005309C6">
              <w:rPr>
                <w:rFonts w:ascii="Arial" w:hAnsi="Arial" w:cs="Arial"/>
                <w:sz w:val="20"/>
                <w:szCs w:val="20"/>
              </w:rPr>
              <w:t xml:space="preserve">Where it is not possible to perform all 3 tests above on clinical grounds, the following list outlines the preferred test combination, in </w:t>
            </w:r>
            <w:r w:rsidRPr="005309C6">
              <w:rPr>
                <w:rFonts w:ascii="Arial" w:hAnsi="Arial" w:cs="Arial"/>
                <w:sz w:val="20"/>
                <w:szCs w:val="20"/>
              </w:rPr>
              <w:lastRenderedPageBreak/>
              <w:t>descending order, for the purposes of initiation of PBS-subsidised treatment:</w:t>
            </w:r>
          </w:p>
          <w:p w14:paraId="5503288D" w14:textId="77777777" w:rsidR="00497F9C" w:rsidRPr="005309C6" w:rsidRDefault="00497F9C" w:rsidP="005309C6">
            <w:pPr>
              <w:spacing w:beforeLines="40" w:before="96" w:afterLines="40" w:after="96" w:line="240" w:lineRule="auto"/>
              <w:rPr>
                <w:rFonts w:ascii="Arial" w:hAnsi="Arial" w:cs="Arial"/>
                <w:sz w:val="20"/>
                <w:szCs w:val="20"/>
              </w:rPr>
            </w:pPr>
            <w:r w:rsidRPr="005309C6">
              <w:rPr>
                <w:rFonts w:ascii="Arial" w:hAnsi="Arial" w:cs="Arial"/>
                <w:sz w:val="20"/>
                <w:szCs w:val="20"/>
              </w:rPr>
              <w:t>(1) RHC plus ECHO composite assessments;</w:t>
            </w:r>
          </w:p>
          <w:p w14:paraId="75379C4F" w14:textId="77777777" w:rsidR="00497F9C" w:rsidRPr="005309C6" w:rsidRDefault="00497F9C" w:rsidP="005309C6">
            <w:pPr>
              <w:spacing w:beforeLines="40" w:before="96" w:afterLines="40" w:after="96" w:line="240" w:lineRule="auto"/>
              <w:rPr>
                <w:rFonts w:ascii="Arial" w:hAnsi="Arial" w:cs="Arial"/>
                <w:sz w:val="20"/>
                <w:szCs w:val="20"/>
              </w:rPr>
            </w:pPr>
            <w:r w:rsidRPr="005309C6">
              <w:rPr>
                <w:rFonts w:ascii="Arial" w:hAnsi="Arial" w:cs="Arial"/>
                <w:sz w:val="20"/>
                <w:szCs w:val="20"/>
              </w:rPr>
              <w:t>(2) RHC composite assessment plus 6MWT;</w:t>
            </w:r>
          </w:p>
          <w:p w14:paraId="717482E6" w14:textId="77777777" w:rsidR="00497F9C" w:rsidRPr="005309C6" w:rsidRDefault="00497F9C" w:rsidP="005309C6">
            <w:pPr>
              <w:spacing w:beforeLines="40" w:before="96" w:afterLines="40" w:after="96" w:line="240" w:lineRule="auto"/>
              <w:rPr>
                <w:rFonts w:ascii="Arial" w:hAnsi="Arial" w:cs="Arial"/>
                <w:sz w:val="20"/>
                <w:szCs w:val="20"/>
              </w:rPr>
            </w:pPr>
            <w:r w:rsidRPr="005309C6">
              <w:rPr>
                <w:rFonts w:ascii="Arial" w:hAnsi="Arial" w:cs="Arial"/>
                <w:sz w:val="20"/>
                <w:szCs w:val="20"/>
              </w:rPr>
              <w:t>(3) RHC composite assessment only.</w:t>
            </w:r>
          </w:p>
          <w:p w14:paraId="1DCEA9AB" w14:textId="77777777" w:rsidR="00497F9C" w:rsidRPr="005309C6" w:rsidRDefault="00497F9C" w:rsidP="005309C6">
            <w:pPr>
              <w:spacing w:beforeLines="40" w:before="96" w:afterLines="40" w:after="96" w:line="240" w:lineRule="auto"/>
              <w:rPr>
                <w:rFonts w:ascii="Arial" w:hAnsi="Arial" w:cs="Arial"/>
                <w:sz w:val="20"/>
                <w:szCs w:val="20"/>
              </w:rPr>
            </w:pPr>
            <w:r w:rsidRPr="005309C6">
              <w:rPr>
                <w:rFonts w:ascii="Arial" w:hAnsi="Arial" w:cs="Arial"/>
                <w:sz w:val="20"/>
                <w:szCs w:val="20"/>
              </w:rPr>
              <w:t>In circumstances where a RHC cannot be performed on clinical grounds, applications may be submitted for consideration based on the results of the following test combinations, which are listed in descending order of preference:</w:t>
            </w:r>
          </w:p>
          <w:p w14:paraId="1C4FBF31" w14:textId="77777777" w:rsidR="00497F9C" w:rsidRPr="005309C6" w:rsidRDefault="00497F9C" w:rsidP="005309C6">
            <w:pPr>
              <w:spacing w:beforeLines="40" w:before="96" w:afterLines="40" w:after="96" w:line="240" w:lineRule="auto"/>
              <w:rPr>
                <w:rFonts w:ascii="Arial" w:hAnsi="Arial" w:cs="Arial"/>
                <w:sz w:val="20"/>
                <w:szCs w:val="20"/>
              </w:rPr>
            </w:pPr>
            <w:r w:rsidRPr="005309C6">
              <w:rPr>
                <w:rFonts w:ascii="Arial" w:hAnsi="Arial" w:cs="Arial"/>
                <w:sz w:val="20"/>
                <w:szCs w:val="20"/>
              </w:rPr>
              <w:t>(1) ECHO composite assessment plus 6MWT;</w:t>
            </w:r>
          </w:p>
          <w:p w14:paraId="3A668BE0" w14:textId="77777777" w:rsidR="00497F9C" w:rsidRPr="005309C6" w:rsidRDefault="00497F9C" w:rsidP="005309C6">
            <w:pPr>
              <w:spacing w:beforeLines="40" w:before="96" w:afterLines="40" w:after="96" w:line="240" w:lineRule="auto"/>
              <w:rPr>
                <w:rFonts w:ascii="Arial" w:hAnsi="Arial" w:cs="Arial"/>
                <w:sz w:val="20"/>
                <w:szCs w:val="20"/>
              </w:rPr>
            </w:pPr>
            <w:r w:rsidRPr="005309C6">
              <w:rPr>
                <w:rFonts w:ascii="Arial" w:hAnsi="Arial" w:cs="Arial"/>
                <w:sz w:val="20"/>
                <w:szCs w:val="20"/>
              </w:rPr>
              <w:t>(2) ECHO composite assessment only.</w:t>
            </w:r>
          </w:p>
          <w:p w14:paraId="0B10D862" w14:textId="77777777" w:rsidR="00497F9C" w:rsidRPr="005309C6" w:rsidRDefault="00497F9C" w:rsidP="005309C6">
            <w:pPr>
              <w:tabs>
                <w:tab w:val="left" w:pos="507"/>
              </w:tabs>
              <w:spacing w:beforeLines="40" w:before="96" w:afterLines="40" w:after="96" w:line="240" w:lineRule="auto"/>
              <w:rPr>
                <w:rFonts w:ascii="Arial" w:hAnsi="Arial" w:cs="Arial"/>
                <w:sz w:val="20"/>
                <w:szCs w:val="20"/>
              </w:rPr>
            </w:pPr>
            <w:r w:rsidRPr="005309C6">
              <w:rPr>
                <w:rFonts w:ascii="Arial" w:hAnsi="Arial" w:cs="Arial"/>
                <w:sz w:val="20"/>
                <w:szCs w:val="20"/>
              </w:rPr>
              <w:t xml:space="preserve">Where fewer than 3 tests </w:t>
            </w:r>
            <w:proofErr w:type="gramStart"/>
            <w:r w:rsidRPr="005309C6">
              <w:rPr>
                <w:rFonts w:ascii="Arial" w:hAnsi="Arial" w:cs="Arial"/>
                <w:sz w:val="20"/>
                <w:szCs w:val="20"/>
              </w:rPr>
              <w:t>are able to</w:t>
            </w:r>
            <w:proofErr w:type="gramEnd"/>
            <w:r w:rsidRPr="005309C6">
              <w:rPr>
                <w:rFonts w:ascii="Arial" w:hAnsi="Arial" w:cs="Arial"/>
                <w:sz w:val="20"/>
                <w:szCs w:val="20"/>
              </w:rPr>
              <w:t xml:space="preserve"> be performed on clinical grounds, a patient specific reason outlining why the particular test(s) could not be conducted must be provided </w:t>
            </w:r>
            <w:r w:rsidR="00EE1F96">
              <w:rPr>
                <w:rFonts w:ascii="Arial" w:hAnsi="Arial" w:cs="Arial"/>
                <w:sz w:val="20"/>
                <w:szCs w:val="20"/>
              </w:rPr>
              <w:t>with the authority application.</w:t>
            </w:r>
          </w:p>
        </w:tc>
        <w:tc>
          <w:tcPr>
            <w:tcW w:w="1984" w:type="dxa"/>
          </w:tcPr>
          <w:p w14:paraId="2049F06F" w14:textId="77777777" w:rsidR="00497F9C" w:rsidRPr="005309C6" w:rsidRDefault="00632C95" w:rsidP="00D5265F">
            <w:pPr>
              <w:spacing w:beforeLines="40" w:before="96" w:afterLines="40" w:after="96" w:line="240" w:lineRule="auto"/>
              <w:rPr>
                <w:rFonts w:ascii="Arial" w:hAnsi="Arial" w:cs="Arial"/>
                <w:sz w:val="20"/>
                <w:szCs w:val="20"/>
              </w:rPr>
            </w:pPr>
            <w:r w:rsidRPr="005309C6">
              <w:rPr>
                <w:rFonts w:ascii="Arial" w:hAnsi="Arial" w:cs="Arial"/>
                <w:sz w:val="20"/>
                <w:szCs w:val="20"/>
              </w:rPr>
              <w:lastRenderedPageBreak/>
              <w:t xml:space="preserve">See RHC contraindications and Clinical </w:t>
            </w:r>
            <w:r w:rsidRPr="005309C6">
              <w:rPr>
                <w:rFonts w:ascii="Arial" w:hAnsi="Arial" w:cs="Arial"/>
                <w:sz w:val="20"/>
                <w:szCs w:val="20"/>
              </w:rPr>
              <w:lastRenderedPageBreak/>
              <w:t xml:space="preserve">features suggestive of PAH in </w:t>
            </w:r>
            <w:r w:rsidR="00505D99" w:rsidRPr="00505D99">
              <w:rPr>
                <w:rFonts w:ascii="Arial" w:hAnsi="Arial" w:cs="Arial"/>
                <w:sz w:val="20"/>
                <w:szCs w:val="20"/>
              </w:rPr>
              <w:t>Table 1.9</w:t>
            </w:r>
            <w:r w:rsidR="00D5265F">
              <w:rPr>
                <w:rFonts w:ascii="Arial" w:hAnsi="Arial" w:cs="Arial"/>
                <w:sz w:val="20"/>
                <w:szCs w:val="20"/>
              </w:rPr>
              <w:t>.</w:t>
            </w:r>
          </w:p>
        </w:tc>
        <w:tc>
          <w:tcPr>
            <w:tcW w:w="7687" w:type="dxa"/>
          </w:tcPr>
          <w:p w14:paraId="4F999B14" w14:textId="77777777" w:rsidR="00497F9C" w:rsidRPr="005309C6" w:rsidRDefault="00497F9C" w:rsidP="005309C6">
            <w:pPr>
              <w:spacing w:beforeLines="40" w:before="96" w:afterLines="40" w:after="96" w:line="240" w:lineRule="auto"/>
              <w:rPr>
                <w:rFonts w:ascii="Arial" w:hAnsi="Arial" w:cs="Arial"/>
                <w:sz w:val="20"/>
                <w:szCs w:val="20"/>
              </w:rPr>
            </w:pPr>
            <w:r w:rsidRPr="005309C6">
              <w:rPr>
                <w:rFonts w:ascii="Arial" w:hAnsi="Arial" w:cs="Arial"/>
                <w:sz w:val="20"/>
                <w:szCs w:val="20"/>
              </w:rPr>
              <w:lastRenderedPageBreak/>
              <w:t>No. Echocardiography should be performed prior to RHC th</w:t>
            </w:r>
            <w:r w:rsidR="00632C95" w:rsidRPr="005309C6">
              <w:rPr>
                <w:rFonts w:ascii="Arial" w:hAnsi="Arial" w:cs="Arial"/>
                <w:sz w:val="20"/>
                <w:szCs w:val="20"/>
              </w:rPr>
              <w:t xml:space="preserve">us availability of RHC without echocardiography </w:t>
            </w:r>
            <w:r w:rsidRPr="005309C6">
              <w:rPr>
                <w:rFonts w:ascii="Arial" w:hAnsi="Arial" w:cs="Arial"/>
                <w:sz w:val="20"/>
                <w:szCs w:val="20"/>
              </w:rPr>
              <w:t xml:space="preserve">would be unusual. Given that ECHO is a </w:t>
            </w:r>
            <w:r w:rsidR="002F0F70" w:rsidRPr="005309C6">
              <w:rPr>
                <w:rFonts w:ascii="Arial" w:hAnsi="Arial" w:cs="Arial"/>
                <w:sz w:val="20"/>
                <w:szCs w:val="20"/>
              </w:rPr>
              <w:t>non-invasive</w:t>
            </w:r>
            <w:r w:rsidRPr="005309C6">
              <w:rPr>
                <w:rFonts w:ascii="Arial" w:hAnsi="Arial" w:cs="Arial"/>
                <w:sz w:val="20"/>
                <w:szCs w:val="20"/>
              </w:rPr>
              <w:t xml:space="preserve"> imaging test conducted at rest there are relatively few obstacles to co</w:t>
            </w:r>
            <w:r w:rsidR="00EE1F96">
              <w:rPr>
                <w:rFonts w:ascii="Arial" w:hAnsi="Arial" w:cs="Arial"/>
                <w:sz w:val="20"/>
                <w:szCs w:val="20"/>
              </w:rPr>
              <w:t>nducting this in a PAH patient.</w:t>
            </w:r>
          </w:p>
          <w:p w14:paraId="52DF366A" w14:textId="77777777" w:rsidR="00497F9C" w:rsidRPr="005309C6" w:rsidRDefault="00497F9C" w:rsidP="005309C6">
            <w:pPr>
              <w:spacing w:beforeLines="40" w:before="96" w:afterLines="40" w:after="96" w:line="240" w:lineRule="auto"/>
              <w:rPr>
                <w:rFonts w:ascii="Arial" w:hAnsi="Arial" w:cs="Arial"/>
                <w:sz w:val="20"/>
                <w:szCs w:val="20"/>
              </w:rPr>
            </w:pPr>
            <w:r w:rsidRPr="005309C6">
              <w:rPr>
                <w:rFonts w:ascii="Arial" w:hAnsi="Arial" w:cs="Arial"/>
                <w:sz w:val="20"/>
                <w:szCs w:val="20"/>
              </w:rPr>
              <w:lastRenderedPageBreak/>
              <w:t xml:space="preserve">These requirements remain largely unchanged from their first appearance with the listing of bosentan in March 2004. </w:t>
            </w:r>
          </w:p>
          <w:p w14:paraId="58376CC7" w14:textId="77777777" w:rsidR="00497F9C" w:rsidRPr="00E70D1B" w:rsidRDefault="00497F9C" w:rsidP="005309C6">
            <w:pPr>
              <w:spacing w:beforeLines="40" w:before="96" w:afterLines="40" w:after="96" w:line="240" w:lineRule="auto"/>
              <w:rPr>
                <w:rFonts w:ascii="Arial" w:hAnsi="Arial" w:cs="Arial"/>
                <w:sz w:val="20"/>
                <w:szCs w:val="20"/>
              </w:rPr>
            </w:pPr>
            <w:r w:rsidRPr="005309C6">
              <w:rPr>
                <w:rFonts w:ascii="Arial" w:hAnsi="Arial" w:cs="Arial"/>
                <w:sz w:val="20"/>
                <w:szCs w:val="20"/>
              </w:rPr>
              <w:t xml:space="preserve">RHC </w:t>
            </w:r>
            <w:proofErr w:type="gramStart"/>
            <w:r w:rsidRPr="005309C6">
              <w:rPr>
                <w:rFonts w:ascii="Arial" w:hAnsi="Arial" w:cs="Arial"/>
                <w:sz w:val="20"/>
                <w:szCs w:val="20"/>
              </w:rPr>
              <w:t>is considered</w:t>
            </w:r>
            <w:proofErr w:type="gramEnd"/>
            <w:r w:rsidRPr="005309C6">
              <w:rPr>
                <w:rFonts w:ascii="Arial" w:hAnsi="Arial" w:cs="Arial"/>
                <w:sz w:val="20"/>
                <w:szCs w:val="20"/>
              </w:rPr>
              <w:t xml:space="preserve"> essential for diagnosis of PAH</w:t>
            </w:r>
            <w:r w:rsidR="003C17FA" w:rsidRPr="005309C6">
              <w:rPr>
                <w:rFonts w:ascii="Arial" w:hAnsi="Arial" w:cs="Arial"/>
                <w:sz w:val="20"/>
                <w:szCs w:val="20"/>
              </w:rPr>
              <w:t xml:space="preserve"> (based on reading of the guidelines)</w:t>
            </w:r>
            <w:r w:rsidRPr="005309C6">
              <w:rPr>
                <w:rFonts w:ascii="Arial" w:hAnsi="Arial" w:cs="Arial"/>
                <w:sz w:val="20"/>
                <w:szCs w:val="20"/>
              </w:rPr>
              <w:t>, there are some contraindications but it is unlikely that many patients will be diagnosed without RHC</w:t>
            </w:r>
            <w:r w:rsidR="003C17FA" w:rsidRPr="005309C6">
              <w:rPr>
                <w:rFonts w:ascii="Arial" w:hAnsi="Arial" w:cs="Arial"/>
                <w:sz w:val="20"/>
                <w:szCs w:val="20"/>
              </w:rPr>
              <w:t xml:space="preserve">. </w:t>
            </w:r>
            <w:r w:rsidR="00632C95" w:rsidRPr="005309C6">
              <w:rPr>
                <w:rFonts w:ascii="Arial" w:hAnsi="Arial" w:cs="Arial"/>
                <w:sz w:val="20"/>
                <w:szCs w:val="20"/>
              </w:rPr>
              <w:t xml:space="preserve">If RHC </w:t>
            </w:r>
            <w:proofErr w:type="gramStart"/>
            <w:r w:rsidR="00632C95" w:rsidRPr="005309C6">
              <w:rPr>
                <w:rFonts w:ascii="Arial" w:hAnsi="Arial" w:cs="Arial"/>
                <w:sz w:val="20"/>
                <w:szCs w:val="20"/>
              </w:rPr>
              <w:t>is contraindicated</w:t>
            </w:r>
            <w:proofErr w:type="gramEnd"/>
            <w:r w:rsidR="00632C95" w:rsidRPr="005309C6">
              <w:rPr>
                <w:rFonts w:ascii="Arial" w:hAnsi="Arial" w:cs="Arial"/>
                <w:sz w:val="20"/>
                <w:szCs w:val="20"/>
              </w:rPr>
              <w:t xml:space="preserve"> however, clinical features suggestive of PAH </w:t>
            </w:r>
            <w:r w:rsidR="003C17FA" w:rsidRPr="005309C6">
              <w:rPr>
                <w:rFonts w:ascii="Arial" w:hAnsi="Arial" w:cs="Arial"/>
                <w:sz w:val="20"/>
                <w:szCs w:val="20"/>
              </w:rPr>
              <w:t>on echocardiography</w:t>
            </w:r>
            <w:r w:rsidR="00632C95" w:rsidRPr="005309C6">
              <w:rPr>
                <w:rFonts w:ascii="Arial" w:hAnsi="Arial" w:cs="Arial"/>
                <w:sz w:val="20"/>
                <w:szCs w:val="20"/>
              </w:rPr>
              <w:t xml:space="preserve"> are given in </w:t>
            </w:r>
            <w:r w:rsidR="00505D99" w:rsidRPr="00E70D1B">
              <w:rPr>
                <w:rFonts w:ascii="Arial" w:hAnsi="Arial" w:cs="Arial"/>
                <w:sz w:val="20"/>
                <w:szCs w:val="20"/>
              </w:rPr>
              <w:t xml:space="preserve">Table 1.9 </w:t>
            </w:r>
            <w:r w:rsidR="00505D99" w:rsidRPr="00E70D1B">
              <w:rPr>
                <w:rFonts w:ascii="Arial" w:hAnsi="Arial" w:cs="Arial"/>
                <w:sz w:val="20"/>
                <w:szCs w:val="20"/>
              </w:rPr>
              <w:tab/>
              <w:t>Guideline diagnostic recommendations for PAH</w:t>
            </w:r>
            <w:r w:rsidR="003C17FA" w:rsidRPr="00E70D1B">
              <w:rPr>
                <w:rFonts w:ascii="Arial" w:hAnsi="Arial" w:cs="Arial"/>
                <w:sz w:val="20"/>
                <w:szCs w:val="20"/>
              </w:rPr>
              <w:t xml:space="preserve">. </w:t>
            </w:r>
          </w:p>
          <w:p w14:paraId="6154FA30" w14:textId="77777777" w:rsidR="00497F9C" w:rsidRPr="005309C6" w:rsidRDefault="00632C95" w:rsidP="005309C6">
            <w:pPr>
              <w:spacing w:beforeLines="40" w:before="96" w:afterLines="40" w:after="96" w:line="240" w:lineRule="auto"/>
              <w:rPr>
                <w:rFonts w:ascii="Arial" w:hAnsi="Arial" w:cs="Arial"/>
                <w:sz w:val="20"/>
                <w:szCs w:val="20"/>
              </w:rPr>
            </w:pPr>
            <w:r w:rsidRPr="005309C6">
              <w:rPr>
                <w:rFonts w:ascii="Arial" w:hAnsi="Arial" w:cs="Arial"/>
                <w:sz w:val="20"/>
                <w:szCs w:val="20"/>
              </w:rPr>
              <w:t xml:space="preserve">See comments above regarding 6MWD – </w:t>
            </w:r>
            <w:r w:rsidR="003C17FA" w:rsidRPr="005309C6">
              <w:rPr>
                <w:rFonts w:ascii="Arial" w:hAnsi="Arial" w:cs="Arial"/>
                <w:sz w:val="20"/>
                <w:szCs w:val="20"/>
              </w:rPr>
              <w:t xml:space="preserve">see also </w:t>
            </w:r>
            <w:r w:rsidR="00751CE1" w:rsidRPr="005309C6">
              <w:rPr>
                <w:rFonts w:ascii="Arial" w:hAnsi="Arial" w:cs="Arial"/>
                <w:sz w:val="20"/>
                <w:szCs w:val="20"/>
              </w:rPr>
              <w:t>main text.</w:t>
            </w:r>
          </w:p>
          <w:p w14:paraId="140EF2DC" w14:textId="77777777" w:rsidR="00497F9C" w:rsidRPr="005309C6" w:rsidRDefault="00497F9C" w:rsidP="005309C6">
            <w:pPr>
              <w:spacing w:beforeLines="40" w:before="96" w:afterLines="40" w:after="96" w:line="240" w:lineRule="auto"/>
              <w:rPr>
                <w:rFonts w:ascii="Arial" w:hAnsi="Arial" w:cs="Arial"/>
                <w:sz w:val="20"/>
                <w:szCs w:val="20"/>
              </w:rPr>
            </w:pPr>
          </w:p>
        </w:tc>
      </w:tr>
      <w:tr w:rsidR="00D567B3" w:rsidRPr="008E2EAB" w14:paraId="39EC38CA" w14:textId="77777777" w:rsidTr="00574067">
        <w:tc>
          <w:tcPr>
            <w:tcW w:w="4503" w:type="dxa"/>
          </w:tcPr>
          <w:p w14:paraId="190DD522" w14:textId="77777777" w:rsidR="00497F9C" w:rsidRPr="005309C6" w:rsidRDefault="00497F9C" w:rsidP="005309C6">
            <w:pPr>
              <w:tabs>
                <w:tab w:val="left" w:pos="507"/>
              </w:tabs>
              <w:spacing w:beforeLines="40" w:before="96" w:afterLines="40" w:after="96" w:line="240" w:lineRule="auto"/>
              <w:rPr>
                <w:rFonts w:ascii="Arial" w:hAnsi="Arial" w:cs="Arial"/>
                <w:sz w:val="20"/>
                <w:szCs w:val="20"/>
              </w:rPr>
            </w:pPr>
            <w:r w:rsidRPr="005309C6">
              <w:rPr>
                <w:rFonts w:ascii="Arial" w:hAnsi="Arial" w:cs="Arial"/>
                <w:sz w:val="20"/>
                <w:szCs w:val="20"/>
              </w:rPr>
              <w:lastRenderedPageBreak/>
              <w:t xml:space="preserve">Patient </w:t>
            </w:r>
            <w:proofErr w:type="gramStart"/>
            <w:r w:rsidRPr="005309C6">
              <w:rPr>
                <w:rFonts w:ascii="Arial" w:hAnsi="Arial" w:cs="Arial"/>
                <w:sz w:val="20"/>
                <w:szCs w:val="20"/>
              </w:rPr>
              <w:t>must have been assessed</w:t>
            </w:r>
            <w:proofErr w:type="gramEnd"/>
            <w:r w:rsidRPr="005309C6">
              <w:rPr>
                <w:rFonts w:ascii="Arial" w:hAnsi="Arial" w:cs="Arial"/>
                <w:sz w:val="20"/>
                <w:szCs w:val="20"/>
              </w:rPr>
              <w:t xml:space="preserve"> […] to have achieved a response to the PBS-subsidised initial course of treatment</w:t>
            </w:r>
            <w:r w:rsidR="00EE1F96">
              <w:rPr>
                <w:rFonts w:ascii="Arial" w:hAnsi="Arial" w:cs="Arial"/>
                <w:sz w:val="20"/>
                <w:szCs w:val="20"/>
              </w:rPr>
              <w:t>.</w:t>
            </w:r>
          </w:p>
        </w:tc>
        <w:tc>
          <w:tcPr>
            <w:tcW w:w="1984" w:type="dxa"/>
          </w:tcPr>
          <w:p w14:paraId="42B64062" w14:textId="77777777" w:rsidR="00497F9C" w:rsidRPr="005309C6" w:rsidRDefault="00497F9C" w:rsidP="00B37363">
            <w:pPr>
              <w:spacing w:beforeLines="40" w:before="96" w:afterLines="40" w:after="96" w:line="240" w:lineRule="auto"/>
              <w:rPr>
                <w:rFonts w:ascii="Arial" w:hAnsi="Arial" w:cs="Arial"/>
                <w:sz w:val="20"/>
                <w:szCs w:val="20"/>
              </w:rPr>
            </w:pPr>
            <w:r w:rsidRPr="005309C6">
              <w:rPr>
                <w:rFonts w:ascii="Arial" w:hAnsi="Arial" w:cs="Arial"/>
                <w:sz w:val="20"/>
                <w:szCs w:val="20"/>
              </w:rPr>
              <w:t xml:space="preserve">See </w:t>
            </w:r>
            <w:r w:rsidR="00505D99" w:rsidRPr="00505D99">
              <w:rPr>
                <w:rFonts w:ascii="Arial" w:hAnsi="Arial" w:cs="Arial"/>
                <w:sz w:val="20"/>
                <w:szCs w:val="20"/>
              </w:rPr>
              <w:t>Table 1.9</w:t>
            </w:r>
            <w:r w:rsidR="00B37363" w:rsidRPr="00D5265F">
              <w:rPr>
                <w:rFonts w:ascii="Arial" w:hAnsi="Arial" w:cs="Arial"/>
                <w:sz w:val="20"/>
                <w:szCs w:val="20"/>
              </w:rPr>
              <w:t xml:space="preserve"> </w:t>
            </w:r>
            <w:r w:rsidRPr="00D5265F">
              <w:rPr>
                <w:rFonts w:ascii="Arial" w:hAnsi="Arial" w:cs="Arial"/>
                <w:sz w:val="20"/>
                <w:szCs w:val="20"/>
              </w:rPr>
              <w:t xml:space="preserve">and specifically frequency of assessments in </w:t>
            </w:r>
            <w:r w:rsidR="00505D99" w:rsidRPr="00505D99">
              <w:rPr>
                <w:rFonts w:ascii="Arial" w:hAnsi="Arial" w:cs="Arial"/>
                <w:sz w:val="20"/>
                <w:szCs w:val="20"/>
              </w:rPr>
              <w:t>Table 1.13</w:t>
            </w:r>
            <w:r w:rsidR="00D5265F">
              <w:rPr>
                <w:rFonts w:ascii="Arial" w:hAnsi="Arial" w:cs="Arial"/>
                <w:sz w:val="20"/>
                <w:szCs w:val="20"/>
              </w:rPr>
              <w:t>.</w:t>
            </w:r>
          </w:p>
        </w:tc>
        <w:tc>
          <w:tcPr>
            <w:tcW w:w="7687" w:type="dxa"/>
          </w:tcPr>
          <w:p w14:paraId="64D0D0EE" w14:textId="77777777" w:rsidR="00497F9C" w:rsidRPr="005309C6" w:rsidRDefault="00497F9C" w:rsidP="008573E5">
            <w:pPr>
              <w:spacing w:beforeLines="40" w:before="96" w:afterLines="40" w:after="96" w:line="240" w:lineRule="auto"/>
              <w:rPr>
                <w:rFonts w:ascii="Arial" w:hAnsi="Arial" w:cs="Arial"/>
                <w:sz w:val="20"/>
                <w:szCs w:val="20"/>
              </w:rPr>
            </w:pPr>
            <w:r w:rsidRPr="005309C6">
              <w:rPr>
                <w:rFonts w:ascii="Arial" w:hAnsi="Arial" w:cs="Arial"/>
                <w:sz w:val="20"/>
                <w:szCs w:val="20"/>
              </w:rPr>
              <w:t xml:space="preserve">The need for a response – yes, but the timing of evaluation – unclear. Response evaluation </w:t>
            </w:r>
            <w:proofErr w:type="gramStart"/>
            <w:r w:rsidRPr="005309C6">
              <w:rPr>
                <w:rFonts w:ascii="Arial" w:hAnsi="Arial" w:cs="Arial"/>
                <w:sz w:val="20"/>
                <w:szCs w:val="20"/>
              </w:rPr>
              <w:t>is driven</w:t>
            </w:r>
            <w:proofErr w:type="gramEnd"/>
            <w:r w:rsidRPr="005309C6">
              <w:rPr>
                <w:rFonts w:ascii="Arial" w:hAnsi="Arial" w:cs="Arial"/>
                <w:sz w:val="20"/>
                <w:szCs w:val="20"/>
              </w:rPr>
              <w:t xml:space="preserve"> by the 6-month </w:t>
            </w:r>
            <w:r w:rsidR="003C17FA" w:rsidRPr="005309C6">
              <w:rPr>
                <w:rFonts w:ascii="Arial" w:hAnsi="Arial" w:cs="Arial"/>
                <w:sz w:val="20"/>
                <w:szCs w:val="20"/>
              </w:rPr>
              <w:t>duration of treatment for each a</w:t>
            </w:r>
            <w:r w:rsidRPr="005309C6">
              <w:rPr>
                <w:rFonts w:ascii="Arial" w:hAnsi="Arial" w:cs="Arial"/>
                <w:sz w:val="20"/>
                <w:szCs w:val="20"/>
              </w:rPr>
              <w:t>uthority</w:t>
            </w:r>
            <w:r w:rsidR="003C17FA" w:rsidRPr="005309C6">
              <w:rPr>
                <w:rFonts w:ascii="Arial" w:hAnsi="Arial" w:cs="Arial"/>
                <w:sz w:val="20"/>
                <w:szCs w:val="20"/>
              </w:rPr>
              <w:t xml:space="preserve"> application</w:t>
            </w:r>
            <w:r w:rsidRPr="005309C6">
              <w:rPr>
                <w:rFonts w:ascii="Arial" w:hAnsi="Arial" w:cs="Arial"/>
                <w:sz w:val="20"/>
                <w:szCs w:val="20"/>
              </w:rPr>
              <w:t xml:space="preserve">, rather than by clinical need. Dose titration, monitoring, differing therapy goals and long lead times for outpatient clinic appointments may make this </w:t>
            </w:r>
            <w:r w:rsidR="003C17FA" w:rsidRPr="005309C6">
              <w:rPr>
                <w:rFonts w:ascii="Arial" w:hAnsi="Arial" w:cs="Arial"/>
                <w:sz w:val="20"/>
                <w:szCs w:val="20"/>
              </w:rPr>
              <w:t>difficult to achieve for some patients</w:t>
            </w:r>
            <w:r w:rsidR="00EE1F96">
              <w:rPr>
                <w:rFonts w:ascii="Arial" w:hAnsi="Arial" w:cs="Arial"/>
                <w:sz w:val="20"/>
                <w:szCs w:val="20"/>
              </w:rPr>
              <w:t>.</w:t>
            </w:r>
          </w:p>
        </w:tc>
      </w:tr>
      <w:tr w:rsidR="00632C95" w:rsidRPr="002F3393" w14:paraId="61230768" w14:textId="77777777" w:rsidTr="00574067">
        <w:tc>
          <w:tcPr>
            <w:tcW w:w="4503" w:type="dxa"/>
          </w:tcPr>
          <w:p w14:paraId="364B80AA" w14:textId="77777777" w:rsidR="00497F9C" w:rsidRPr="005309C6" w:rsidRDefault="00497F9C" w:rsidP="005309C6">
            <w:pPr>
              <w:tabs>
                <w:tab w:val="left" w:pos="507"/>
              </w:tabs>
              <w:spacing w:beforeLines="40" w:before="96" w:afterLines="40" w:after="96" w:line="240" w:lineRule="auto"/>
              <w:rPr>
                <w:rFonts w:ascii="Arial" w:hAnsi="Arial" w:cs="Arial"/>
                <w:sz w:val="20"/>
                <w:szCs w:val="20"/>
              </w:rPr>
            </w:pPr>
            <w:r w:rsidRPr="005309C6">
              <w:rPr>
                <w:rFonts w:ascii="Arial" w:hAnsi="Arial" w:cs="Arial"/>
                <w:sz w:val="20"/>
                <w:szCs w:val="20"/>
              </w:rPr>
              <w:t>Response to a PAH agent is defined as follows:</w:t>
            </w:r>
          </w:p>
          <w:p w14:paraId="0993C716" w14:textId="77777777" w:rsidR="00497F9C" w:rsidRPr="005309C6" w:rsidRDefault="00497F9C" w:rsidP="005309C6">
            <w:pPr>
              <w:tabs>
                <w:tab w:val="left" w:pos="507"/>
              </w:tabs>
              <w:spacing w:beforeLines="40" w:before="96" w:afterLines="40" w:after="96" w:line="240" w:lineRule="auto"/>
              <w:rPr>
                <w:rFonts w:ascii="Arial" w:hAnsi="Arial" w:cs="Arial"/>
                <w:sz w:val="20"/>
                <w:szCs w:val="20"/>
              </w:rPr>
            </w:pPr>
            <w:r w:rsidRPr="005309C6">
              <w:rPr>
                <w:rFonts w:ascii="Arial" w:hAnsi="Arial" w:cs="Arial"/>
                <w:sz w:val="20"/>
                <w:szCs w:val="20"/>
              </w:rPr>
              <w:t xml:space="preserve">For patients with two or more baseline tests, response to treatment </w:t>
            </w:r>
            <w:proofErr w:type="gramStart"/>
            <w:r w:rsidRPr="005309C6">
              <w:rPr>
                <w:rFonts w:ascii="Arial" w:hAnsi="Arial" w:cs="Arial"/>
                <w:sz w:val="20"/>
                <w:szCs w:val="20"/>
              </w:rPr>
              <w:t>is defined</w:t>
            </w:r>
            <w:proofErr w:type="gramEnd"/>
            <w:r w:rsidRPr="005309C6">
              <w:rPr>
                <w:rFonts w:ascii="Arial" w:hAnsi="Arial" w:cs="Arial"/>
                <w:sz w:val="20"/>
                <w:szCs w:val="20"/>
              </w:rPr>
              <w:t xml:space="preserve"> as two or more tests demonstrating stability or improvement of disease, as assessed by a physician from a designated hospital.</w:t>
            </w:r>
          </w:p>
          <w:p w14:paraId="05495BDB" w14:textId="77777777" w:rsidR="00497F9C" w:rsidRPr="005309C6" w:rsidRDefault="00497F9C" w:rsidP="005309C6">
            <w:pPr>
              <w:tabs>
                <w:tab w:val="left" w:pos="507"/>
              </w:tabs>
              <w:spacing w:beforeLines="40" w:before="96" w:afterLines="40" w:after="96" w:line="240" w:lineRule="auto"/>
              <w:rPr>
                <w:rFonts w:ascii="Arial" w:hAnsi="Arial" w:cs="Arial"/>
                <w:sz w:val="20"/>
                <w:szCs w:val="20"/>
              </w:rPr>
            </w:pPr>
            <w:r w:rsidRPr="005309C6">
              <w:rPr>
                <w:rFonts w:ascii="Arial" w:hAnsi="Arial" w:cs="Arial"/>
                <w:sz w:val="20"/>
                <w:szCs w:val="20"/>
              </w:rPr>
              <w:t xml:space="preserve">For patients with a RHC composite assessment alone at baseline, response to treatment </w:t>
            </w:r>
            <w:proofErr w:type="gramStart"/>
            <w:r w:rsidRPr="005309C6">
              <w:rPr>
                <w:rFonts w:ascii="Arial" w:hAnsi="Arial" w:cs="Arial"/>
                <w:sz w:val="20"/>
                <w:szCs w:val="20"/>
              </w:rPr>
              <w:t>is defined</w:t>
            </w:r>
            <w:proofErr w:type="gramEnd"/>
            <w:r w:rsidRPr="005309C6">
              <w:rPr>
                <w:rFonts w:ascii="Arial" w:hAnsi="Arial" w:cs="Arial"/>
                <w:sz w:val="20"/>
                <w:szCs w:val="20"/>
              </w:rPr>
              <w:t xml:space="preserve"> as a RHC result </w:t>
            </w:r>
            <w:r w:rsidRPr="005309C6">
              <w:rPr>
                <w:rFonts w:ascii="Arial" w:hAnsi="Arial" w:cs="Arial"/>
                <w:sz w:val="20"/>
                <w:szCs w:val="20"/>
              </w:rPr>
              <w:lastRenderedPageBreak/>
              <w:t>demonstrating stability or improvement of disease, as assessed by a physician from a designated hospital.</w:t>
            </w:r>
          </w:p>
          <w:p w14:paraId="6A559142" w14:textId="77777777" w:rsidR="00497F9C" w:rsidRPr="005309C6" w:rsidRDefault="00497F9C" w:rsidP="005309C6">
            <w:pPr>
              <w:tabs>
                <w:tab w:val="left" w:pos="507"/>
              </w:tabs>
              <w:spacing w:beforeLines="40" w:before="96" w:afterLines="40" w:after="96" w:line="240" w:lineRule="auto"/>
              <w:rPr>
                <w:rFonts w:ascii="Arial" w:hAnsi="Arial" w:cs="Arial"/>
                <w:sz w:val="20"/>
                <w:szCs w:val="20"/>
              </w:rPr>
            </w:pPr>
            <w:r w:rsidRPr="005309C6">
              <w:rPr>
                <w:rFonts w:ascii="Arial" w:hAnsi="Arial" w:cs="Arial"/>
                <w:sz w:val="20"/>
                <w:szCs w:val="20"/>
              </w:rPr>
              <w:t xml:space="preserve">For patients with an ECHO composite assessment alone at baseline, response to treatment </w:t>
            </w:r>
            <w:proofErr w:type="gramStart"/>
            <w:r w:rsidRPr="005309C6">
              <w:rPr>
                <w:rFonts w:ascii="Arial" w:hAnsi="Arial" w:cs="Arial"/>
                <w:sz w:val="20"/>
                <w:szCs w:val="20"/>
              </w:rPr>
              <w:t>is defined</w:t>
            </w:r>
            <w:proofErr w:type="gramEnd"/>
            <w:r w:rsidRPr="005309C6">
              <w:rPr>
                <w:rFonts w:ascii="Arial" w:hAnsi="Arial" w:cs="Arial"/>
                <w:sz w:val="20"/>
                <w:szCs w:val="20"/>
              </w:rPr>
              <w:t xml:space="preserve"> as an ECHO result demonstrating stability or improvement of disease, as assessed by a physician from a designated hospital.</w:t>
            </w:r>
          </w:p>
          <w:p w14:paraId="6FB293B9" w14:textId="77777777" w:rsidR="00497F9C" w:rsidRPr="005309C6" w:rsidRDefault="00497F9C" w:rsidP="005309C6">
            <w:pPr>
              <w:tabs>
                <w:tab w:val="left" w:pos="507"/>
              </w:tabs>
              <w:spacing w:beforeLines="40" w:before="96" w:afterLines="40" w:after="96" w:line="240" w:lineRule="auto"/>
              <w:rPr>
                <w:rFonts w:ascii="Arial" w:hAnsi="Arial" w:cs="Arial"/>
                <w:sz w:val="20"/>
                <w:szCs w:val="20"/>
              </w:rPr>
            </w:pPr>
            <w:r w:rsidRPr="005309C6">
              <w:rPr>
                <w:rFonts w:ascii="Arial" w:hAnsi="Arial" w:cs="Arial"/>
                <w:sz w:val="20"/>
                <w:szCs w:val="20"/>
              </w:rPr>
              <w:t xml:space="preserve">For patients aged less than 18 years, response to treatment </w:t>
            </w:r>
            <w:proofErr w:type="gramStart"/>
            <w:r w:rsidRPr="005309C6">
              <w:rPr>
                <w:rFonts w:ascii="Arial" w:hAnsi="Arial" w:cs="Arial"/>
                <w:sz w:val="20"/>
                <w:szCs w:val="20"/>
              </w:rPr>
              <w:t>is defined</w:t>
            </w:r>
            <w:proofErr w:type="gramEnd"/>
            <w:r w:rsidRPr="005309C6">
              <w:rPr>
                <w:rFonts w:ascii="Arial" w:hAnsi="Arial" w:cs="Arial"/>
                <w:sz w:val="20"/>
                <w:szCs w:val="20"/>
              </w:rPr>
              <w:t xml:space="preserve"> as at least one of the baseline tests demonstrating stability or improvement of disease, as assessed by a physic</w:t>
            </w:r>
            <w:r w:rsidR="00EE1F96">
              <w:rPr>
                <w:rFonts w:ascii="Arial" w:hAnsi="Arial" w:cs="Arial"/>
                <w:sz w:val="20"/>
                <w:szCs w:val="20"/>
              </w:rPr>
              <w:t>ian from a designated hospital.</w:t>
            </w:r>
          </w:p>
        </w:tc>
        <w:tc>
          <w:tcPr>
            <w:tcW w:w="1984" w:type="dxa"/>
          </w:tcPr>
          <w:p w14:paraId="30DA1EFD" w14:textId="77777777" w:rsidR="00497F9C" w:rsidRPr="005309C6" w:rsidRDefault="00497F9C" w:rsidP="00D5265F">
            <w:pPr>
              <w:spacing w:beforeLines="40" w:before="96" w:afterLines="40" w:after="96" w:line="240" w:lineRule="auto"/>
              <w:rPr>
                <w:rFonts w:ascii="Arial" w:hAnsi="Arial" w:cs="Arial"/>
                <w:sz w:val="20"/>
                <w:szCs w:val="20"/>
              </w:rPr>
            </w:pPr>
            <w:r w:rsidRPr="005309C6">
              <w:rPr>
                <w:rFonts w:ascii="Arial" w:hAnsi="Arial" w:cs="Arial"/>
                <w:sz w:val="20"/>
                <w:szCs w:val="20"/>
              </w:rPr>
              <w:lastRenderedPageBreak/>
              <w:t xml:space="preserve">See recommendations </w:t>
            </w:r>
            <w:r w:rsidRPr="00D5265F">
              <w:rPr>
                <w:rFonts w:ascii="Arial" w:hAnsi="Arial" w:cs="Arial"/>
                <w:sz w:val="20"/>
                <w:szCs w:val="20"/>
              </w:rPr>
              <w:t xml:space="preserve">in </w:t>
            </w:r>
            <w:r w:rsidR="00505D99" w:rsidRPr="00505D99">
              <w:rPr>
                <w:rFonts w:ascii="Arial" w:hAnsi="Arial" w:cs="Arial"/>
                <w:sz w:val="20"/>
                <w:szCs w:val="20"/>
              </w:rPr>
              <w:t>Table 1.10</w:t>
            </w:r>
            <w:r w:rsidR="00D5265F" w:rsidRPr="00D5265F">
              <w:rPr>
                <w:rFonts w:ascii="Arial" w:hAnsi="Arial" w:cs="Arial"/>
                <w:sz w:val="20"/>
                <w:szCs w:val="20"/>
              </w:rPr>
              <w:t>.</w:t>
            </w:r>
          </w:p>
        </w:tc>
        <w:tc>
          <w:tcPr>
            <w:tcW w:w="7687" w:type="dxa"/>
          </w:tcPr>
          <w:p w14:paraId="3AE39046" w14:textId="77777777" w:rsidR="00497F9C" w:rsidRPr="005309C6" w:rsidRDefault="00497F9C" w:rsidP="005309C6">
            <w:pPr>
              <w:spacing w:beforeLines="40" w:before="96" w:afterLines="40" w:after="96" w:line="240" w:lineRule="auto"/>
              <w:rPr>
                <w:rFonts w:ascii="Arial" w:hAnsi="Arial" w:cs="Arial"/>
                <w:sz w:val="20"/>
                <w:szCs w:val="20"/>
              </w:rPr>
            </w:pPr>
            <w:r w:rsidRPr="005309C6">
              <w:rPr>
                <w:rFonts w:ascii="Arial" w:hAnsi="Arial" w:cs="Arial"/>
                <w:sz w:val="20"/>
                <w:szCs w:val="20"/>
              </w:rPr>
              <w:t xml:space="preserve">Partially. Assessment of response would not be limited to RHC, but would include monitoring parameters given in </w:t>
            </w:r>
            <w:r w:rsidR="00505D99" w:rsidRPr="00505D99">
              <w:rPr>
                <w:rFonts w:ascii="Arial" w:hAnsi="Arial" w:cs="Arial"/>
                <w:sz w:val="20"/>
                <w:szCs w:val="20"/>
              </w:rPr>
              <w:t>Table 1.12</w:t>
            </w:r>
            <w:r w:rsidRPr="006314DA">
              <w:rPr>
                <w:rFonts w:ascii="Arial" w:hAnsi="Arial" w:cs="Arial"/>
                <w:sz w:val="20"/>
                <w:szCs w:val="20"/>
              </w:rPr>
              <w:t>.</w:t>
            </w:r>
            <w:r w:rsidRPr="005309C6">
              <w:rPr>
                <w:rFonts w:ascii="Arial" w:hAnsi="Arial" w:cs="Arial"/>
                <w:sz w:val="20"/>
                <w:szCs w:val="20"/>
              </w:rPr>
              <w:t xml:space="preserve"> </w:t>
            </w:r>
            <w:r w:rsidR="000E773E" w:rsidRPr="005309C6">
              <w:rPr>
                <w:rFonts w:ascii="Arial" w:hAnsi="Arial" w:cs="Arial"/>
                <w:sz w:val="20"/>
                <w:szCs w:val="20"/>
              </w:rPr>
              <w:t>See above comments about relationship be</w:t>
            </w:r>
            <w:r w:rsidR="00EE1F96">
              <w:rPr>
                <w:rFonts w:ascii="Arial" w:hAnsi="Arial" w:cs="Arial"/>
                <w:sz w:val="20"/>
                <w:szCs w:val="20"/>
              </w:rPr>
              <w:t>tween RHC and echocardiography.</w:t>
            </w:r>
          </w:p>
          <w:p w14:paraId="4722A864" w14:textId="77777777" w:rsidR="00497F9C" w:rsidRPr="005309C6" w:rsidRDefault="00497F9C" w:rsidP="005309C6">
            <w:pPr>
              <w:spacing w:beforeLines="40" w:before="96" w:afterLines="40" w:after="96" w:line="240" w:lineRule="auto"/>
              <w:rPr>
                <w:rFonts w:ascii="Arial" w:hAnsi="Arial" w:cs="Arial"/>
                <w:sz w:val="20"/>
                <w:szCs w:val="20"/>
              </w:rPr>
            </w:pPr>
          </w:p>
          <w:p w14:paraId="17A2F1CD" w14:textId="77777777" w:rsidR="00497F9C" w:rsidRPr="005309C6" w:rsidRDefault="00497F9C" w:rsidP="005309C6">
            <w:pPr>
              <w:spacing w:beforeLines="40" w:before="96" w:afterLines="40" w:after="96" w:line="240" w:lineRule="auto"/>
              <w:rPr>
                <w:rFonts w:ascii="Arial" w:hAnsi="Arial" w:cs="Arial"/>
                <w:sz w:val="20"/>
                <w:szCs w:val="20"/>
              </w:rPr>
            </w:pPr>
            <w:r w:rsidRPr="005309C6">
              <w:rPr>
                <w:rFonts w:ascii="Arial" w:hAnsi="Arial" w:cs="Arial"/>
                <w:sz w:val="20"/>
                <w:szCs w:val="20"/>
              </w:rPr>
              <w:t xml:space="preserve">The requirements for demonstration of a response have a certain logic (if 2 baseline tests, then 2 tests to show response; if RHC baseline only, then RHC only to show response </w:t>
            </w:r>
            <w:proofErr w:type="spellStart"/>
            <w:r w:rsidRPr="005309C6">
              <w:rPr>
                <w:rFonts w:ascii="Arial" w:hAnsi="Arial" w:cs="Arial"/>
                <w:sz w:val="20"/>
                <w:szCs w:val="20"/>
              </w:rPr>
              <w:t>etc</w:t>
            </w:r>
            <w:proofErr w:type="spellEnd"/>
            <w:r w:rsidRPr="005309C6">
              <w:rPr>
                <w:rFonts w:ascii="Arial" w:hAnsi="Arial" w:cs="Arial"/>
                <w:sz w:val="20"/>
                <w:szCs w:val="20"/>
              </w:rPr>
              <w:t>), but these</w:t>
            </w:r>
            <w:r w:rsidR="003C17FA" w:rsidRPr="005309C6">
              <w:rPr>
                <w:rFonts w:ascii="Arial" w:hAnsi="Arial" w:cs="Arial"/>
                <w:sz w:val="20"/>
                <w:szCs w:val="20"/>
              </w:rPr>
              <w:t xml:space="preserve"> have no basis in the available</w:t>
            </w:r>
            <w:r w:rsidRPr="005309C6">
              <w:rPr>
                <w:rFonts w:ascii="Arial" w:hAnsi="Arial" w:cs="Arial"/>
                <w:sz w:val="20"/>
                <w:szCs w:val="20"/>
              </w:rPr>
              <w:t xml:space="preserve"> PAH guidelines. </w:t>
            </w:r>
            <w:r w:rsidR="003C17FA" w:rsidRPr="005309C6">
              <w:rPr>
                <w:rFonts w:ascii="Arial" w:hAnsi="Arial" w:cs="Arial"/>
                <w:sz w:val="20"/>
                <w:szCs w:val="20"/>
              </w:rPr>
              <w:t>It would useful to understand from treating specialists whether</w:t>
            </w:r>
            <w:r w:rsidRPr="005309C6">
              <w:rPr>
                <w:rFonts w:ascii="Arial" w:hAnsi="Arial" w:cs="Arial"/>
                <w:sz w:val="20"/>
                <w:szCs w:val="20"/>
              </w:rPr>
              <w:t xml:space="preserve"> certain tests are </w:t>
            </w:r>
            <w:r w:rsidR="00C40AC4" w:rsidRPr="005309C6">
              <w:rPr>
                <w:rFonts w:ascii="Arial" w:hAnsi="Arial" w:cs="Arial"/>
                <w:sz w:val="20"/>
                <w:szCs w:val="20"/>
              </w:rPr>
              <w:t xml:space="preserve">ever </w:t>
            </w:r>
            <w:r w:rsidRPr="005309C6">
              <w:rPr>
                <w:rFonts w:ascii="Arial" w:hAnsi="Arial" w:cs="Arial"/>
                <w:sz w:val="20"/>
                <w:szCs w:val="20"/>
              </w:rPr>
              <w:t xml:space="preserve">unavailable or unsuitable for specific patients </w:t>
            </w:r>
            <w:r w:rsidR="003C17FA" w:rsidRPr="005309C6">
              <w:rPr>
                <w:rFonts w:ascii="Arial" w:hAnsi="Arial" w:cs="Arial"/>
                <w:sz w:val="20"/>
                <w:szCs w:val="20"/>
              </w:rPr>
              <w:t>in light of</w:t>
            </w:r>
            <w:r w:rsidRPr="005309C6">
              <w:rPr>
                <w:rFonts w:ascii="Arial" w:hAnsi="Arial" w:cs="Arial"/>
                <w:sz w:val="20"/>
                <w:szCs w:val="20"/>
              </w:rPr>
              <w:t xml:space="preserve"> the imperative to assess response in time to make the next authority application.</w:t>
            </w:r>
          </w:p>
        </w:tc>
      </w:tr>
      <w:tr w:rsidR="00632C95" w:rsidRPr="002F3393" w14:paraId="5F2DB04D" w14:textId="77777777" w:rsidTr="00574067">
        <w:tc>
          <w:tcPr>
            <w:tcW w:w="4503" w:type="dxa"/>
          </w:tcPr>
          <w:p w14:paraId="17E01AFE" w14:textId="77777777" w:rsidR="00632C95" w:rsidRPr="005309C6" w:rsidRDefault="00632C95" w:rsidP="005309C6">
            <w:pPr>
              <w:tabs>
                <w:tab w:val="left" w:pos="507"/>
              </w:tabs>
              <w:spacing w:beforeLines="40" w:before="96" w:afterLines="40" w:after="96" w:line="240" w:lineRule="auto"/>
              <w:rPr>
                <w:rFonts w:ascii="Arial" w:hAnsi="Arial" w:cs="Arial"/>
                <w:sz w:val="20"/>
                <w:szCs w:val="20"/>
              </w:rPr>
            </w:pPr>
            <w:proofErr w:type="gramStart"/>
            <w:r w:rsidRPr="005309C6">
              <w:rPr>
                <w:rFonts w:ascii="Arial" w:hAnsi="Arial" w:cs="Arial"/>
                <w:sz w:val="20"/>
                <w:szCs w:val="20"/>
              </w:rPr>
              <w:t>Patient must have been assessed by a physician at a designated hospital</w:t>
            </w:r>
            <w:proofErr w:type="gramEnd"/>
            <w:r w:rsidR="00EE1F96">
              <w:rPr>
                <w:rFonts w:ascii="Arial" w:hAnsi="Arial" w:cs="Arial"/>
                <w:sz w:val="20"/>
                <w:szCs w:val="20"/>
              </w:rPr>
              <w:t>.</w:t>
            </w:r>
          </w:p>
        </w:tc>
        <w:tc>
          <w:tcPr>
            <w:tcW w:w="1984" w:type="dxa"/>
          </w:tcPr>
          <w:p w14:paraId="0B783F91" w14:textId="77777777" w:rsidR="00632C95" w:rsidRPr="005309C6" w:rsidRDefault="00E54AF3" w:rsidP="005309C6">
            <w:pPr>
              <w:spacing w:beforeLines="40" w:before="96" w:afterLines="40" w:after="96" w:line="240" w:lineRule="auto"/>
              <w:rPr>
                <w:rFonts w:ascii="Arial" w:hAnsi="Arial" w:cs="Arial"/>
                <w:sz w:val="20"/>
                <w:szCs w:val="20"/>
              </w:rPr>
            </w:pPr>
            <w:r w:rsidRPr="005309C6">
              <w:rPr>
                <w:rFonts w:ascii="Arial" w:hAnsi="Arial" w:cs="Arial"/>
                <w:sz w:val="20"/>
                <w:szCs w:val="20"/>
              </w:rPr>
              <w:t xml:space="preserve">See discussion in </w:t>
            </w:r>
            <w:r w:rsidR="00505D99" w:rsidRPr="00505D99">
              <w:rPr>
                <w:rFonts w:ascii="Arial" w:hAnsi="Arial" w:cs="Arial"/>
                <w:i/>
                <w:sz w:val="20"/>
                <w:szCs w:val="20"/>
              </w:rPr>
              <w:t>Treatment setting and PAH treatment centres</w:t>
            </w:r>
          </w:p>
        </w:tc>
        <w:tc>
          <w:tcPr>
            <w:tcW w:w="7687" w:type="dxa"/>
          </w:tcPr>
          <w:p w14:paraId="1F2B677C" w14:textId="77777777" w:rsidR="00632C95" w:rsidRPr="005309C6" w:rsidRDefault="00632C95" w:rsidP="005309C6">
            <w:pPr>
              <w:spacing w:beforeLines="40" w:before="96" w:afterLines="40" w:after="96" w:line="240" w:lineRule="auto"/>
              <w:rPr>
                <w:rFonts w:ascii="Arial" w:hAnsi="Arial" w:cs="Arial"/>
                <w:sz w:val="20"/>
                <w:szCs w:val="20"/>
              </w:rPr>
            </w:pPr>
            <w:r w:rsidRPr="005309C6">
              <w:rPr>
                <w:rFonts w:ascii="Arial" w:hAnsi="Arial" w:cs="Arial"/>
                <w:sz w:val="20"/>
                <w:szCs w:val="20"/>
              </w:rPr>
              <w:t>Unclear. The large number of centres in the list of designated hospitals (and submission from PHSANZ to this review) suggests many centres are likely to be unable to meet guideline requirements in terms of numbers of PAH patients treated to meet a ‘critical mass’ of PAH expertise. The number of patients seen at each centre were not available for this review.</w:t>
            </w:r>
          </w:p>
        </w:tc>
      </w:tr>
    </w:tbl>
    <w:p w14:paraId="76D152E9" w14:textId="77777777" w:rsidR="00711D76" w:rsidRPr="005309C6" w:rsidRDefault="001F4168" w:rsidP="00121658">
      <w:pPr>
        <w:pStyle w:val="Tablenote"/>
        <w:rPr>
          <w:rFonts w:ascii="Arial" w:hAnsi="Arial" w:cs="Arial"/>
        </w:rPr>
      </w:pPr>
      <w:r w:rsidRPr="005309C6">
        <w:rPr>
          <w:rFonts w:ascii="Arial" w:hAnsi="Arial" w:cs="Arial"/>
        </w:rPr>
        <w:t>Source: Table compiled for this review</w:t>
      </w:r>
    </w:p>
    <w:p w14:paraId="5766A5C9" w14:textId="77777777" w:rsidR="00711D76" w:rsidRDefault="00711D76" w:rsidP="00121658">
      <w:pPr>
        <w:sectPr w:rsidR="00711D76" w:rsidSect="00711D76">
          <w:footnotePr>
            <w:numFmt w:val="chicago"/>
          </w:footnotePr>
          <w:pgSz w:w="16838" w:h="11906" w:orient="landscape"/>
          <w:pgMar w:top="1440" w:right="1440" w:bottom="1440" w:left="1440" w:header="708" w:footer="708" w:gutter="0"/>
          <w:cols w:space="708"/>
          <w:titlePg/>
          <w:docGrid w:linePitch="360"/>
        </w:sectPr>
      </w:pPr>
    </w:p>
    <w:p w14:paraId="17F2F4A7" w14:textId="77777777" w:rsidR="00533AB0" w:rsidRDefault="00533AB0" w:rsidP="00121658">
      <w:pPr>
        <w:pStyle w:val="Heading3"/>
        <w:jc w:val="left"/>
      </w:pPr>
      <w:bookmarkStart w:id="239" w:name="_Toc38377511"/>
      <w:r>
        <w:lastRenderedPageBreak/>
        <w:t>PAH diagnostic and monitoring recommendations</w:t>
      </w:r>
      <w:bookmarkEnd w:id="239"/>
    </w:p>
    <w:p w14:paraId="5EA05BF8" w14:textId="77777777" w:rsidR="00533AB0" w:rsidRDefault="00533AB0" w:rsidP="00121658">
      <w:pPr>
        <w:pStyle w:val="Heading4"/>
        <w:jc w:val="left"/>
        <w:rPr>
          <w:rFonts w:eastAsiaTheme="minorEastAsia"/>
          <w:sz w:val="28"/>
          <w:szCs w:val="22"/>
          <w:lang w:eastAsia="en-AU"/>
        </w:rPr>
      </w:pPr>
      <w:bookmarkStart w:id="240" w:name="_Toc503811612"/>
      <w:bookmarkStart w:id="241" w:name="_Toc503800659"/>
      <w:r>
        <w:rPr>
          <w:rFonts w:eastAsiaTheme="minorEastAsia"/>
        </w:rPr>
        <w:t>Haemodynamic criteria, definition of response and monitoring requirements</w:t>
      </w:r>
      <w:bookmarkEnd w:id="240"/>
      <w:bookmarkEnd w:id="241"/>
    </w:p>
    <w:p w14:paraId="48F526DD" w14:textId="77777777" w:rsidR="003C17FA" w:rsidRPr="00BE0957" w:rsidRDefault="003C17FA" w:rsidP="00121658">
      <w:pPr>
        <w:pStyle w:val="Heading5"/>
        <w:jc w:val="left"/>
        <w:rPr>
          <w:rFonts w:asciiTheme="minorHAnsi" w:hAnsiTheme="minorHAnsi"/>
        </w:rPr>
      </w:pPr>
      <w:r w:rsidRPr="00BE0957">
        <w:rPr>
          <w:rFonts w:asciiTheme="minorHAnsi" w:hAnsiTheme="minorHAnsi"/>
        </w:rPr>
        <w:t>Current PBS requirement</w:t>
      </w:r>
    </w:p>
    <w:p w14:paraId="7FE0CA18" w14:textId="77777777" w:rsidR="00C0071D" w:rsidRDefault="003C17FA" w:rsidP="005211F4">
      <w:pPr>
        <w:pStyle w:val="BodyTextnospacebefore"/>
      </w:pPr>
      <w:r>
        <w:t xml:space="preserve">Current diagnostic and monitoring criteria in the PBS restrictions </w:t>
      </w:r>
      <w:proofErr w:type="gramStart"/>
      <w:r>
        <w:t>are given</w:t>
      </w:r>
      <w:proofErr w:type="gramEnd"/>
      <w:r>
        <w:t xml:space="preserve"> in </w:t>
      </w:r>
      <w:r w:rsidR="00505D99">
        <w:t>Table 1.</w:t>
      </w:r>
      <w:r w:rsidR="00505D99">
        <w:rPr>
          <w:noProof/>
        </w:rPr>
        <w:t>19</w:t>
      </w:r>
      <w:r>
        <w:t xml:space="preserve"> along with comments regarding their currency compared with the guidelines. </w:t>
      </w:r>
      <w:r w:rsidR="00C0071D">
        <w:t xml:space="preserve">Key issues </w:t>
      </w:r>
      <w:proofErr w:type="gramStart"/>
      <w:r w:rsidR="00C0071D">
        <w:t>are discussed</w:t>
      </w:r>
      <w:proofErr w:type="gramEnd"/>
      <w:r w:rsidR="00C0071D">
        <w:t xml:space="preserve"> below – a small number of relatively minor issues are covered in the table alone</w:t>
      </w:r>
      <w:r w:rsidR="00EE1F96">
        <w:t>.</w:t>
      </w:r>
    </w:p>
    <w:p w14:paraId="6DB5E471" w14:textId="77777777" w:rsidR="003C17FA" w:rsidRDefault="00C0071D" w:rsidP="005211F4">
      <w:pPr>
        <w:pStyle w:val="BodyTextnospacebefore"/>
      </w:pPr>
      <w:r w:rsidRPr="00FC25C7">
        <w:t>Diagnostic recommendations</w:t>
      </w:r>
      <w:r w:rsidR="003C17FA" w:rsidRPr="00FC25C7">
        <w:t xml:space="preserve"> for</w:t>
      </w:r>
      <w:r w:rsidRPr="00FC25C7">
        <w:t xml:space="preserve"> eligibility to receive</w:t>
      </w:r>
      <w:r w:rsidR="003C17FA" w:rsidRPr="00FC25C7">
        <w:t xml:space="preserve"> vasodilator therapy </w:t>
      </w:r>
      <w:r w:rsidR="00B0148D" w:rsidRPr="00FC25C7">
        <w:t xml:space="preserve">with CCBs </w:t>
      </w:r>
      <w:proofErr w:type="gramStart"/>
      <w:r w:rsidR="003C17FA" w:rsidRPr="00FC25C7">
        <w:t>have been</w:t>
      </w:r>
      <w:r w:rsidR="003C17FA">
        <w:t xml:space="preserve"> considered</w:t>
      </w:r>
      <w:proofErr w:type="gramEnd"/>
      <w:r w:rsidR="003C17FA">
        <w:t xml:space="preserve"> </w:t>
      </w:r>
      <w:r>
        <w:t xml:space="preserve">above, </w:t>
      </w:r>
      <w:r w:rsidR="003C17FA">
        <w:t>along with the treatment recommendations</w:t>
      </w:r>
      <w:r>
        <w:t xml:space="preserve"> for CCBs</w:t>
      </w:r>
      <w:r w:rsidR="003C17FA">
        <w:t xml:space="preserve"> (</w:t>
      </w:r>
      <w:r w:rsidR="00505D99">
        <w:t>Table 1.</w:t>
      </w:r>
      <w:r w:rsidR="00505D99">
        <w:rPr>
          <w:noProof/>
        </w:rPr>
        <w:t>18</w:t>
      </w:r>
      <w:r w:rsidR="00EE1F96">
        <w:t>).</w:t>
      </w:r>
    </w:p>
    <w:p w14:paraId="7609A847" w14:textId="77777777" w:rsidR="003C17FA" w:rsidRPr="005211F4" w:rsidRDefault="003C17FA" w:rsidP="00121658">
      <w:pPr>
        <w:pStyle w:val="Heading5"/>
        <w:jc w:val="left"/>
        <w:rPr>
          <w:rFonts w:asciiTheme="minorHAnsi" w:hAnsiTheme="minorHAnsi"/>
        </w:rPr>
      </w:pPr>
      <w:r w:rsidRPr="005211F4">
        <w:rPr>
          <w:rFonts w:asciiTheme="minorHAnsi" w:hAnsiTheme="minorHAnsi"/>
        </w:rPr>
        <w:t>Guideline Recommendations</w:t>
      </w:r>
    </w:p>
    <w:p w14:paraId="6B8994EA" w14:textId="77777777" w:rsidR="003C17FA" w:rsidRDefault="003C17FA" w:rsidP="005211F4">
      <w:pPr>
        <w:pStyle w:val="BodyTextnospacebefore"/>
      </w:pPr>
      <w:r>
        <w:t>Guideline recommendations for diagnosis of PAH (</w:t>
      </w:r>
      <w:r w:rsidR="00505D99">
        <w:t>Table 1.</w:t>
      </w:r>
      <w:r w:rsidR="00505D99">
        <w:rPr>
          <w:noProof/>
        </w:rPr>
        <w:t>9</w:t>
      </w:r>
      <w:r>
        <w:t>) and monitoring of patients (</w:t>
      </w:r>
      <w:r w:rsidR="00505D99">
        <w:t>Table 1.</w:t>
      </w:r>
      <w:r w:rsidR="00505D99">
        <w:rPr>
          <w:noProof/>
        </w:rPr>
        <w:t>10</w:t>
      </w:r>
      <w:r>
        <w:t>) have been cross-reference</w:t>
      </w:r>
      <w:r w:rsidR="00C40AC4">
        <w:t>d</w:t>
      </w:r>
      <w:r>
        <w:t xml:space="preserve"> in the tables with th</w:t>
      </w:r>
      <w:r w:rsidR="00EE1F96">
        <w:t>e PBS restriction requirements.</w:t>
      </w:r>
    </w:p>
    <w:p w14:paraId="1822CF38" w14:textId="77777777" w:rsidR="00533AB0" w:rsidRPr="00533AB0" w:rsidRDefault="00533AB0" w:rsidP="005211F4">
      <w:pPr>
        <w:pStyle w:val="BodyTextnospacebefore"/>
        <w:rPr>
          <w:rFonts w:eastAsiaTheme="minorHAnsi"/>
        </w:rPr>
      </w:pPr>
      <w:r w:rsidRPr="00533AB0">
        <w:t>The PAH restrictions contain diagnostic requirements that must be satisfied either to meet the definition of PAH, or the definition of response to treatment</w:t>
      </w:r>
      <w:r w:rsidR="00AC5B85">
        <w:t xml:space="preserve">. </w:t>
      </w:r>
      <w:r w:rsidR="00CA51FC">
        <w:t>A number of these</w:t>
      </w:r>
      <w:r w:rsidRPr="00533AB0">
        <w:t xml:space="preserve"> date </w:t>
      </w:r>
      <w:r w:rsidR="00C0071D">
        <w:t>from</w:t>
      </w:r>
      <w:r w:rsidRPr="00533AB0">
        <w:t xml:space="preserve"> the original listing of bosentan in March 2004</w:t>
      </w:r>
      <w:r w:rsidR="00183C38">
        <w:t>. S</w:t>
      </w:r>
      <w:r w:rsidRPr="00533AB0">
        <w:t xml:space="preserve">ome key values and terms </w:t>
      </w:r>
      <w:proofErr w:type="gramStart"/>
      <w:r w:rsidRPr="00533AB0">
        <w:t>have been updated</w:t>
      </w:r>
      <w:proofErr w:type="gramEnd"/>
      <w:r w:rsidRPr="00533AB0">
        <w:t xml:space="preserve"> in r</w:t>
      </w:r>
      <w:r w:rsidR="00183C38">
        <w:t>esponse to requests from PHSANZ;</w:t>
      </w:r>
      <w:r w:rsidRPr="00533AB0">
        <w:t xml:space="preserve"> others are unchanged since 2004</w:t>
      </w:r>
      <w:r w:rsidR="00EE1F96">
        <w:t>.</w:t>
      </w:r>
    </w:p>
    <w:p w14:paraId="0A7454B7" w14:textId="77777777" w:rsidR="00533AB0" w:rsidRPr="00533AB0" w:rsidRDefault="00533AB0" w:rsidP="005211F4">
      <w:pPr>
        <w:pStyle w:val="BodyTextnospacebefore"/>
      </w:pPr>
      <w:r w:rsidRPr="00381D5D">
        <w:t>A</w:t>
      </w:r>
      <w:r w:rsidR="00183C38" w:rsidRPr="00381D5D">
        <w:t xml:space="preserve"> </w:t>
      </w:r>
      <w:r w:rsidRPr="00381D5D">
        <w:t>minimum set of criteria</w:t>
      </w:r>
      <w:r w:rsidR="00B15FF7" w:rsidRPr="00381D5D">
        <w:t xml:space="preserve"> to determine treatment decisions (based on a synthesis of the guideline recommendations)</w:t>
      </w:r>
      <w:r w:rsidR="00027324" w:rsidRPr="00381D5D">
        <w:t xml:space="preserve"> is presented in the synthesis section</w:t>
      </w:r>
      <w:r w:rsidR="00C0071D" w:rsidRPr="00381D5D">
        <w:t>, noting that these are somewhat different to the three key tests required for access to PBS medicines</w:t>
      </w:r>
      <w:r w:rsidR="00496849" w:rsidRPr="00381D5D">
        <w:t>.</w:t>
      </w:r>
    </w:p>
    <w:p w14:paraId="2BE29AE4" w14:textId="77777777" w:rsidR="003C17FA" w:rsidRPr="005211F4" w:rsidRDefault="003C17FA" w:rsidP="00121658">
      <w:pPr>
        <w:pStyle w:val="Heading5"/>
        <w:jc w:val="left"/>
        <w:rPr>
          <w:rFonts w:asciiTheme="minorHAnsi" w:hAnsiTheme="minorHAnsi"/>
        </w:rPr>
      </w:pPr>
      <w:r w:rsidRPr="005211F4">
        <w:rPr>
          <w:rFonts w:asciiTheme="minorHAnsi" w:hAnsiTheme="minorHAnsi"/>
        </w:rPr>
        <w:t>Role of RHC and Echocardiography in PAH diagnosis</w:t>
      </w:r>
    </w:p>
    <w:p w14:paraId="2F5CEF53" w14:textId="77777777" w:rsidR="002E4B66" w:rsidRPr="00533AB0" w:rsidRDefault="002E4B66" w:rsidP="005211F4">
      <w:pPr>
        <w:pStyle w:val="BodyTextnospacebefore"/>
      </w:pPr>
      <w:r w:rsidRPr="00F53D1B">
        <w:t>The guideline</w:t>
      </w:r>
      <w:r>
        <w:t>s</w:t>
      </w:r>
      <w:r w:rsidRPr="00F53D1B">
        <w:t xml:space="preserve"> recommend echocardiography, prior to </w:t>
      </w:r>
      <w:proofErr w:type="gramStart"/>
      <w:r w:rsidRPr="00F53D1B">
        <w:t>RHC</w:t>
      </w:r>
      <w:proofErr w:type="gramEnd"/>
      <w:r w:rsidRPr="00F53D1B">
        <w:t xml:space="preserve"> to establish a likelihood of PAH based on </w:t>
      </w:r>
      <w:r>
        <w:t>TRV</w:t>
      </w:r>
      <w:r w:rsidRPr="00F53D1B">
        <w:t xml:space="preserve"> and other factors suggestive of PAH</w:t>
      </w:r>
      <w:r>
        <w:t xml:space="preserve"> (</w:t>
      </w:r>
      <w:r w:rsidR="00505D99">
        <w:t>Table 1.</w:t>
      </w:r>
      <w:r w:rsidR="00505D99">
        <w:rPr>
          <w:noProof/>
        </w:rPr>
        <w:t>9</w:t>
      </w:r>
      <w:r w:rsidR="0014637C">
        <w:t>).</w:t>
      </w:r>
      <w:r>
        <w:t xml:space="preserve"> </w:t>
      </w:r>
      <w:r w:rsidR="0014637C">
        <w:t>It is</w:t>
      </w:r>
      <w:r w:rsidR="0014637C" w:rsidRPr="00533AB0">
        <w:t xml:space="preserve"> unlikely that RHC </w:t>
      </w:r>
      <w:proofErr w:type="gramStart"/>
      <w:r w:rsidR="0014637C" w:rsidRPr="00533AB0">
        <w:t>would be performed</w:t>
      </w:r>
      <w:proofErr w:type="gramEnd"/>
      <w:r w:rsidR="0014637C" w:rsidRPr="00533AB0">
        <w:t xml:space="preserve"> without first</w:t>
      </w:r>
      <w:r w:rsidR="0014637C">
        <w:t xml:space="preserve"> administering an echocardiograph</w:t>
      </w:r>
      <w:r w:rsidR="0014637C" w:rsidRPr="00533AB0">
        <w:t xml:space="preserve"> as an essential preliminary test to establish </w:t>
      </w:r>
      <w:r w:rsidR="0014637C">
        <w:t>whether RHC should be performed</w:t>
      </w:r>
      <w:r w:rsidR="0014637C" w:rsidRPr="00533AB0">
        <w:t xml:space="preserve"> and to determine parameters for measurement during RHC</w:t>
      </w:r>
      <w:r w:rsidR="0014637C">
        <w:t xml:space="preserve">. </w:t>
      </w:r>
      <w:r w:rsidRPr="00F53D1B">
        <w:t>RHC is then definitive for the diagnosis</w:t>
      </w:r>
      <w:r>
        <w:t xml:space="preserve"> and </w:t>
      </w:r>
      <w:proofErr w:type="gramStart"/>
      <w:r>
        <w:t>is used</w:t>
      </w:r>
      <w:proofErr w:type="gramEnd"/>
      <w:r>
        <w:t xml:space="preserve"> to measure a number of parameters in addition to the measuremen</w:t>
      </w:r>
      <w:r w:rsidR="002D7AC6">
        <w:t xml:space="preserve">t of PAP (such as </w:t>
      </w:r>
      <w:r w:rsidR="0003499D" w:rsidRPr="0003499D">
        <w:rPr>
          <w:rFonts w:cs="Arial"/>
          <w:color w:val="000000"/>
          <w:szCs w:val="20"/>
        </w:rPr>
        <w:t>SvO</w:t>
      </w:r>
      <w:r w:rsidR="0003499D" w:rsidRPr="0003499D">
        <w:rPr>
          <w:rFonts w:cs="Arial"/>
          <w:color w:val="000000"/>
          <w:szCs w:val="20"/>
          <w:vertAlign w:val="subscript"/>
        </w:rPr>
        <w:t>2</w:t>
      </w:r>
      <w:r>
        <w:t>, cardiac output</w:t>
      </w:r>
      <w:r w:rsidR="0003499D">
        <w:t>,</w:t>
      </w:r>
      <w:r w:rsidR="0014637C">
        <w:t xml:space="preserve"> evidence of right ventricular deterioration</w:t>
      </w:r>
      <w:r>
        <w:t>) which provide a prognostic picture of the patient</w:t>
      </w:r>
      <w:r w:rsidR="00EE1F96">
        <w:t>.</w:t>
      </w:r>
    </w:p>
    <w:p w14:paraId="1B561C78" w14:textId="77777777" w:rsidR="002E4B66" w:rsidRDefault="00533AB0" w:rsidP="005211F4">
      <w:pPr>
        <w:pStyle w:val="BodyTextnospacebefore"/>
      </w:pPr>
      <w:r w:rsidRPr="00533AB0">
        <w:t>T</w:t>
      </w:r>
      <w:r w:rsidR="00B15FF7">
        <w:t xml:space="preserve">he current </w:t>
      </w:r>
      <w:r w:rsidR="002E4B66">
        <w:t xml:space="preserve">PAH </w:t>
      </w:r>
      <w:r w:rsidR="00B15FF7">
        <w:t>restrictions specify</w:t>
      </w:r>
      <w:r w:rsidRPr="00533AB0">
        <w:t xml:space="preserve"> RHC,</w:t>
      </w:r>
      <w:r w:rsidR="003C17FA">
        <w:t xml:space="preserve"> echoc</w:t>
      </w:r>
      <w:r w:rsidR="002E4B66">
        <w:t>ardiography</w:t>
      </w:r>
      <w:r w:rsidRPr="00533AB0">
        <w:t xml:space="preserve"> and </w:t>
      </w:r>
      <w:r w:rsidR="00C010DB">
        <w:t>6MWD</w:t>
      </w:r>
      <w:r w:rsidR="00B15FF7">
        <w:t xml:space="preserve"> as required </w:t>
      </w:r>
      <w:r w:rsidR="00A71B36">
        <w:t>assessments</w:t>
      </w:r>
      <w:r w:rsidR="0050286E">
        <w:t xml:space="preserve"> to establish the patient’s baseline measurements</w:t>
      </w:r>
      <w:r w:rsidR="00AC5B85">
        <w:t xml:space="preserve">. </w:t>
      </w:r>
      <w:r w:rsidRPr="00533AB0">
        <w:t xml:space="preserve">However only RHC is definitive for a PAH diagnosis – it should be conducted as the final test after all the </w:t>
      </w:r>
      <w:r w:rsidR="002F0F70">
        <w:t>non-invasive</w:t>
      </w:r>
      <w:r w:rsidRPr="00533AB0">
        <w:t xml:space="preserve"> assessment are complete</w:t>
      </w:r>
      <w:r w:rsidR="00EE1F96">
        <w:t>.</w:t>
      </w:r>
    </w:p>
    <w:p w14:paraId="518EEEDA" w14:textId="77777777" w:rsidR="00F33A44" w:rsidRDefault="00533AB0" w:rsidP="002D2A0A">
      <w:pPr>
        <w:pStyle w:val="BodyTextnospacebefore"/>
      </w:pPr>
      <w:r w:rsidRPr="00533AB0">
        <w:t xml:space="preserve">It is </w:t>
      </w:r>
      <w:r w:rsidR="00B15FF7">
        <w:t>unknown</w:t>
      </w:r>
      <w:r w:rsidRPr="00533AB0">
        <w:t xml:space="preserve"> how many Australian patients </w:t>
      </w:r>
      <w:proofErr w:type="gramStart"/>
      <w:r w:rsidRPr="00533AB0">
        <w:t>would be contraindicated</w:t>
      </w:r>
      <w:proofErr w:type="gramEnd"/>
      <w:r w:rsidRPr="00533AB0">
        <w:t xml:space="preserve"> for RHC such that an initial diagnostic RHC was unavailable. The PBS restrictions state that if RHC is not possible, the right ventricular systolic pressure (RVSP) </w:t>
      </w:r>
      <w:proofErr w:type="gramStart"/>
      <w:r w:rsidRPr="00533AB0">
        <w:t>should be estimated</w:t>
      </w:r>
      <w:proofErr w:type="gramEnd"/>
      <w:r w:rsidRPr="00533AB0">
        <w:t xml:space="preserve"> by echocardiography to be at least greater than 40 mmHg, with normal left ventricular function</w:t>
      </w:r>
      <w:r w:rsidR="00AC5B85">
        <w:t xml:space="preserve">. </w:t>
      </w:r>
      <w:r w:rsidRPr="00533AB0">
        <w:t>This alternative has been a feature of PAH restrictions since the original list</w:t>
      </w:r>
      <w:r w:rsidR="00EE1F96">
        <w:t>ing for bosentan in March 2004.</w:t>
      </w:r>
    </w:p>
    <w:p w14:paraId="736DF111" w14:textId="77777777" w:rsidR="00533AB0" w:rsidRPr="00533AB0" w:rsidRDefault="00533AB0" w:rsidP="002D2A0A">
      <w:pPr>
        <w:pStyle w:val="BodyTextnospacebefore"/>
      </w:pPr>
      <w:r w:rsidRPr="00533AB0">
        <w:lastRenderedPageBreak/>
        <w:t>This criterion is included in the 2009 AHA consensus statement as a criterion warranting further investigation (high suspicion of PAH</w:t>
      </w:r>
      <w:r w:rsidR="009C556B" w:rsidRPr="009C556B">
        <w:rPr>
          <w:noProof/>
          <w:vertAlign w:val="superscript"/>
        </w:rPr>
        <w:t>20</w:t>
      </w:r>
      <w:r w:rsidRPr="00533AB0">
        <w:t xml:space="preserve">) but it is not diagnostic of PAH and this criterion for decision-making </w:t>
      </w:r>
      <w:proofErr w:type="gramStart"/>
      <w:r w:rsidRPr="00533AB0">
        <w:t>is not reflected</w:t>
      </w:r>
      <w:proofErr w:type="gramEnd"/>
      <w:r w:rsidRPr="00533AB0">
        <w:t xml:space="preserve"> in any of the more recent guidelines</w:t>
      </w:r>
      <w:r w:rsidR="00AC5B85">
        <w:t xml:space="preserve">. </w:t>
      </w:r>
      <w:r w:rsidR="00F33A44">
        <w:t xml:space="preserve">In the past, RVSP was </w:t>
      </w:r>
      <w:r w:rsidR="00695D0F">
        <w:t xml:space="preserve">a surrogate </w:t>
      </w:r>
      <w:r w:rsidR="00F33A44">
        <w:t xml:space="preserve">used to estimate </w:t>
      </w:r>
      <w:r w:rsidR="00546064">
        <w:t>p</w:t>
      </w:r>
      <w:r w:rsidR="00546064" w:rsidRPr="00533AB0">
        <w:t xml:space="preserve">ulmonary </w:t>
      </w:r>
      <w:r w:rsidR="00546064">
        <w:t>a</w:t>
      </w:r>
      <w:r w:rsidR="00F33A44" w:rsidRPr="00533AB0">
        <w:t xml:space="preserve">rtery </w:t>
      </w:r>
      <w:r w:rsidR="00546064">
        <w:t>s</w:t>
      </w:r>
      <w:r w:rsidR="00F33A44" w:rsidRPr="00533AB0">
        <w:t xml:space="preserve">ystolic </w:t>
      </w:r>
      <w:r w:rsidR="00546064">
        <w:t>p</w:t>
      </w:r>
      <w:r w:rsidR="00F33A44" w:rsidRPr="00533AB0">
        <w:t>ressure</w:t>
      </w:r>
      <w:r w:rsidR="00546064">
        <w:t xml:space="preserve"> (PASP</w:t>
      </w:r>
      <w:r w:rsidR="00F33A44" w:rsidRPr="00533AB0">
        <w:t>)</w:t>
      </w:r>
      <w:r w:rsidR="009C556B" w:rsidRPr="009C556B">
        <w:rPr>
          <w:noProof/>
          <w:vertAlign w:val="superscript"/>
        </w:rPr>
        <w:t>44</w:t>
      </w:r>
      <w:r w:rsidR="00F33A44">
        <w:t xml:space="preserve"> as the two values were typically equivalent</w:t>
      </w:r>
      <w:r w:rsidR="009E2688">
        <w:t>,</w:t>
      </w:r>
      <w:r w:rsidR="00695D0F">
        <w:t xml:space="preserve"> noting that </w:t>
      </w:r>
      <w:r w:rsidR="00BC6BFD">
        <w:t>m</w:t>
      </w:r>
      <w:r w:rsidR="00695D0F">
        <w:t>PAP is</w:t>
      </w:r>
      <w:r w:rsidR="009E2688">
        <w:t xml:space="preserve"> a mean value</w:t>
      </w:r>
      <w:r w:rsidR="00695D0F">
        <w:t>, whereas PASP is at the peak</w:t>
      </w:r>
      <w:r w:rsidR="00EE1F96">
        <w:t>.</w:t>
      </w:r>
    </w:p>
    <w:p w14:paraId="5BC60B24" w14:textId="77777777" w:rsidR="00533AB0" w:rsidRDefault="00F33A44" w:rsidP="002D2A0A">
      <w:pPr>
        <w:pStyle w:val="BodyTextnospacebefore"/>
        <w:rPr>
          <w:szCs w:val="22"/>
        </w:rPr>
      </w:pPr>
      <w:r>
        <w:t>However, t</w:t>
      </w:r>
      <w:r w:rsidR="00533AB0" w:rsidRPr="00533AB0">
        <w:t xml:space="preserve">he </w:t>
      </w:r>
      <w:r w:rsidR="008F6AA4">
        <w:t>2015 ESC/ERS Guidelines</w:t>
      </w:r>
      <w:r w:rsidR="009C556B" w:rsidRPr="00DC475B">
        <w:rPr>
          <w:noProof/>
          <w:vertAlign w:val="superscript"/>
        </w:rPr>
        <w:t>8</w:t>
      </w:r>
      <w:r w:rsidR="00533AB0" w:rsidRPr="00533AB0">
        <w:t xml:space="preserve"> recommend that the main variable measured by chest ECHO should be TRV and not the estimated PASP</w:t>
      </w:r>
      <w:r w:rsidR="00695D0F">
        <w:t>.</w:t>
      </w:r>
      <w:r w:rsidR="00533AB0" w:rsidRPr="00533AB0">
        <w:t xml:space="preserve"> </w:t>
      </w:r>
      <w:r>
        <w:t>TRV</w:t>
      </w:r>
      <w:r w:rsidR="00533AB0" w:rsidRPr="00533AB0">
        <w:t xml:space="preserve"> </w:t>
      </w:r>
      <w:proofErr w:type="gramStart"/>
      <w:r w:rsidR="00533AB0" w:rsidRPr="00533AB0">
        <w:t>should</w:t>
      </w:r>
      <w:r w:rsidR="00695D0F">
        <w:t xml:space="preserve"> instead</w:t>
      </w:r>
      <w:r w:rsidR="00533AB0" w:rsidRPr="00533AB0">
        <w:t xml:space="preserve"> be used</w:t>
      </w:r>
      <w:proofErr w:type="gramEnd"/>
      <w:r w:rsidR="00533AB0" w:rsidRPr="00533AB0">
        <w:t xml:space="preserve"> for assigning the echocardiographic probability of PH</w:t>
      </w:r>
      <w:r w:rsidR="00AC5B85">
        <w:t xml:space="preserve">. </w:t>
      </w:r>
      <w:r w:rsidR="00533AB0" w:rsidRPr="00533AB0">
        <w:t xml:space="preserve">A recommendation for </w:t>
      </w:r>
      <w:r>
        <w:t>either of these parameters</w:t>
      </w:r>
      <w:r w:rsidR="00533AB0" w:rsidRPr="00533AB0">
        <w:t xml:space="preserve"> on echocardiography as diagnostic of PAH </w:t>
      </w:r>
      <w:proofErr w:type="gramStart"/>
      <w:r w:rsidR="00533AB0" w:rsidRPr="00533AB0">
        <w:t>was not found</w:t>
      </w:r>
      <w:proofErr w:type="gramEnd"/>
      <w:r w:rsidR="00533AB0" w:rsidRPr="00533AB0">
        <w:t xml:space="preserve"> in any of the supporting guidelines on imaging. The current </w:t>
      </w:r>
      <w:r w:rsidR="008F6AA4">
        <w:t>2015 ESC/ERS Guidelines</w:t>
      </w:r>
      <w:r w:rsidR="00533AB0" w:rsidRPr="00533AB0">
        <w:t xml:space="preserve"> recommend measurement of peak TRV and </w:t>
      </w:r>
      <w:r w:rsidR="003C17FA">
        <w:t xml:space="preserve">other </w:t>
      </w:r>
      <w:r w:rsidR="003C17FA" w:rsidRPr="000E773E">
        <w:rPr>
          <w:szCs w:val="22"/>
        </w:rPr>
        <w:t>factors suggestive of PAH</w:t>
      </w:r>
      <w:r w:rsidR="00533AB0" w:rsidRPr="000E773E">
        <w:rPr>
          <w:szCs w:val="22"/>
        </w:rPr>
        <w:t xml:space="preserve"> </w:t>
      </w:r>
      <w:r w:rsidR="000E773E" w:rsidRPr="000E773E">
        <w:rPr>
          <w:szCs w:val="22"/>
        </w:rPr>
        <w:t xml:space="preserve">(see </w:t>
      </w:r>
      <w:r w:rsidR="00505D99">
        <w:t>Table 1.</w:t>
      </w:r>
      <w:r w:rsidR="00505D99">
        <w:rPr>
          <w:noProof/>
        </w:rPr>
        <w:t>9</w:t>
      </w:r>
      <w:r w:rsidR="000E773E" w:rsidRPr="000E773E">
        <w:rPr>
          <w:rFonts w:cstheme="minorHAnsi"/>
          <w:szCs w:val="22"/>
        </w:rPr>
        <w:t xml:space="preserve">) </w:t>
      </w:r>
      <w:r w:rsidR="00533AB0" w:rsidRPr="000E773E">
        <w:rPr>
          <w:szCs w:val="22"/>
        </w:rPr>
        <w:t>as the key haemodyn</w:t>
      </w:r>
      <w:r w:rsidR="00AC5B85" w:rsidRPr="000E773E">
        <w:rPr>
          <w:szCs w:val="22"/>
        </w:rPr>
        <w:t>a</w:t>
      </w:r>
      <w:r w:rsidR="00E70D1B">
        <w:rPr>
          <w:szCs w:val="22"/>
        </w:rPr>
        <w:t>mic variable predictive of PAH.</w:t>
      </w:r>
    </w:p>
    <w:p w14:paraId="57A6488E" w14:textId="77777777" w:rsidR="00F24DA7" w:rsidRPr="000E773E" w:rsidRDefault="00F24DA7" w:rsidP="002D2A0A">
      <w:pPr>
        <w:pStyle w:val="BodyTextnospacebefore"/>
      </w:pPr>
      <w:bookmarkStart w:id="242" w:name="_Ref506202968"/>
      <w:r>
        <w:t xml:space="preserve">This report has not considered other means of imaging. </w:t>
      </w:r>
      <w:r w:rsidR="0055334C">
        <w:t>Cardiac m</w:t>
      </w:r>
      <w:r>
        <w:t>agnetic resonance imaging (MRI) may be informative in diagnosis and assessment of PAH patients, but it is not among the principle recommended methods (nor is it subsidised through Medica</w:t>
      </w:r>
      <w:r w:rsidR="00E70D1B">
        <w:t>re for this use in Australia).</w:t>
      </w:r>
    </w:p>
    <w:p w14:paraId="213A5FAE" w14:textId="77777777" w:rsidR="00C6661C" w:rsidRPr="002D2A0A" w:rsidRDefault="003C17FA" w:rsidP="00121658">
      <w:pPr>
        <w:pStyle w:val="Heading5"/>
        <w:jc w:val="left"/>
        <w:rPr>
          <w:rFonts w:asciiTheme="minorHAnsi" w:eastAsiaTheme="minorEastAsia" w:hAnsiTheme="minorHAnsi"/>
          <w:sz w:val="28"/>
          <w:szCs w:val="22"/>
          <w:lang w:eastAsia="en-AU"/>
        </w:rPr>
      </w:pPr>
      <w:r w:rsidRPr="002D2A0A">
        <w:rPr>
          <w:rFonts w:asciiTheme="minorHAnsi" w:eastAsiaTheme="minorEastAsia" w:hAnsiTheme="minorHAnsi"/>
        </w:rPr>
        <w:t xml:space="preserve">Role of </w:t>
      </w:r>
      <w:r w:rsidR="00C6661C" w:rsidRPr="002D2A0A">
        <w:rPr>
          <w:rFonts w:asciiTheme="minorHAnsi" w:eastAsiaTheme="minorEastAsia" w:hAnsiTheme="minorHAnsi"/>
        </w:rPr>
        <w:t>6MWD</w:t>
      </w:r>
      <w:r w:rsidRPr="002D2A0A">
        <w:rPr>
          <w:rFonts w:asciiTheme="minorHAnsi" w:eastAsiaTheme="minorEastAsia" w:hAnsiTheme="minorHAnsi"/>
        </w:rPr>
        <w:t xml:space="preserve"> in PAH diagnosis and monitoring</w:t>
      </w:r>
      <w:bookmarkEnd w:id="242"/>
    </w:p>
    <w:p w14:paraId="577565DC" w14:textId="77777777" w:rsidR="003C17FA" w:rsidRPr="00533AB0" w:rsidRDefault="003C17FA" w:rsidP="002D2A0A">
      <w:pPr>
        <w:pStyle w:val="BodyTextnospacebefore"/>
      </w:pPr>
      <w:r w:rsidRPr="002E4B66">
        <w:t xml:space="preserve">The 6MWD as a measure of exercise capacity </w:t>
      </w:r>
      <w:proofErr w:type="gramStart"/>
      <w:r w:rsidRPr="002E4B66">
        <w:t>is considered</w:t>
      </w:r>
      <w:proofErr w:type="gramEnd"/>
      <w:r w:rsidRPr="002E4B66">
        <w:t xml:space="preserve"> a useful prognostic test both at baseline and for monitoring. It is recommended as one of a suite of factors that should be monitored during the patient’s treatment</w:t>
      </w:r>
      <w:r w:rsidR="002F0F70">
        <w:t xml:space="preserve">, however there is no </w:t>
      </w:r>
      <w:r w:rsidR="00027324">
        <w:t>absolute distance</w:t>
      </w:r>
      <w:r w:rsidR="002F0F70">
        <w:t xml:space="preserve"> that is applicable for all patients</w:t>
      </w:r>
      <w:r w:rsidR="009C556B" w:rsidRPr="00DC475B">
        <w:rPr>
          <w:noProof/>
          <w:vertAlign w:val="superscript"/>
        </w:rPr>
        <w:t>8</w:t>
      </w:r>
      <w:r>
        <w:t xml:space="preserve"> (</w:t>
      </w:r>
      <w:r w:rsidR="00505D99">
        <w:t>Table 1.</w:t>
      </w:r>
      <w:r w:rsidR="00505D99">
        <w:rPr>
          <w:noProof/>
        </w:rPr>
        <w:t>10</w:t>
      </w:r>
      <w:r>
        <w:t>)</w:t>
      </w:r>
      <w:r w:rsidRPr="002E4B66">
        <w:t xml:space="preserve">. The prominence in the PAH restriction may reflect the importance of 6MWD as an endpoint in clinical trial data at the time. If 6MWD </w:t>
      </w:r>
      <w:proofErr w:type="gramStart"/>
      <w:r w:rsidRPr="002E4B66">
        <w:t>is not administered</w:t>
      </w:r>
      <w:proofErr w:type="gramEnd"/>
      <w:r w:rsidRPr="002E4B66">
        <w:t>, another measure of exercise capacity should be obtained –</w:t>
      </w:r>
      <w:r w:rsidR="008D3756">
        <w:t>c</w:t>
      </w:r>
      <w:r w:rsidRPr="002E4B66">
        <w:t xml:space="preserve">ardiopulmonary </w:t>
      </w:r>
      <w:r w:rsidR="008D3756">
        <w:t>e</w:t>
      </w:r>
      <w:r w:rsidRPr="002E4B66">
        <w:t xml:space="preserve">xercise </w:t>
      </w:r>
      <w:r w:rsidR="008D3756">
        <w:t>t</w:t>
      </w:r>
      <w:r w:rsidRPr="002E4B66">
        <w:t>esting can substitute for 6MWD according to guidelines. There are many other tests and test parameters that are equally informative but that are not cited in the restrictions (BNP or NT-</w:t>
      </w:r>
      <w:proofErr w:type="spellStart"/>
      <w:r w:rsidRPr="002E4B66">
        <w:t>proBNP</w:t>
      </w:r>
      <w:proofErr w:type="spellEnd"/>
      <w:r w:rsidRPr="002E4B66">
        <w:t>, blood gases; dyspnoea score, cardiac output</w:t>
      </w:r>
      <w:r w:rsidR="000E773E">
        <w:t>)</w:t>
      </w:r>
      <w:r w:rsidRPr="002E4B66">
        <w:t xml:space="preserve"> some of these m</w:t>
      </w:r>
      <w:r w:rsidR="00E70D1B">
        <w:t>ay also be measured during RHC.</w:t>
      </w:r>
    </w:p>
    <w:p w14:paraId="4DD185FB" w14:textId="77777777" w:rsidR="003C17FA" w:rsidRPr="00533AB0" w:rsidRDefault="003C17FA" w:rsidP="002D2A0A">
      <w:pPr>
        <w:pStyle w:val="BodyTextnospacebefore"/>
      </w:pPr>
      <w:proofErr w:type="spellStart"/>
      <w:r>
        <w:t>B</w:t>
      </w:r>
      <w:r w:rsidRPr="00533AB0">
        <w:t>agga</w:t>
      </w:r>
      <w:proofErr w:type="spellEnd"/>
      <w:r w:rsidRPr="00533AB0">
        <w:t xml:space="preserve"> </w:t>
      </w:r>
      <w:proofErr w:type="gramStart"/>
      <w:r w:rsidRPr="00533AB0">
        <w:rPr>
          <w:i/>
        </w:rPr>
        <w:t>et</w:t>
      </w:r>
      <w:proofErr w:type="gramEnd"/>
      <w:r w:rsidRPr="00533AB0">
        <w:rPr>
          <w:i/>
        </w:rPr>
        <w:t xml:space="preserve"> al</w:t>
      </w:r>
      <w:r w:rsidR="009C556B" w:rsidRPr="009C556B">
        <w:rPr>
          <w:noProof/>
          <w:vertAlign w:val="superscript"/>
        </w:rPr>
        <w:t>38</w:t>
      </w:r>
      <w:r w:rsidRPr="00533AB0">
        <w:t xml:space="preserve"> </w:t>
      </w:r>
      <w:r>
        <w:t>observed</w:t>
      </w:r>
      <w:r w:rsidRPr="00533AB0">
        <w:t xml:space="preserve"> that “ongoing PBS-subsidized supply of medication is dependent on a less than 20% deterioration in 6MWD and PAP on transthoracic echocardiography”. This information was reportedly specified in the then Medicare PAH Physician’s Guide which is no longer available</w:t>
      </w:r>
      <w:r>
        <w:t xml:space="preserve"> and </w:t>
      </w:r>
      <w:r w:rsidR="006C5A64">
        <w:t>Services Australia</w:t>
      </w:r>
      <w:r>
        <w:t xml:space="preserve"> has confirmed that such a document is no longer in use. </w:t>
      </w:r>
      <w:r w:rsidR="006C5A64">
        <w:t>Services Australia</w:t>
      </w:r>
      <w:r>
        <w:t xml:space="preserve"> stated that it is up to the prescriber to justify their asse</w:t>
      </w:r>
      <w:r w:rsidR="00E70D1B">
        <w:t>ssment of the patient’s status.</w:t>
      </w:r>
    </w:p>
    <w:p w14:paraId="7A0DDEF3" w14:textId="77777777" w:rsidR="00C6661C" w:rsidRPr="00533AB0" w:rsidRDefault="00C6661C" w:rsidP="002D2A0A">
      <w:pPr>
        <w:pStyle w:val="BodyTextnospacebefore"/>
      </w:pPr>
      <w:r w:rsidRPr="00533AB0">
        <w:t xml:space="preserve">In children, the 6MWD </w:t>
      </w:r>
      <w:proofErr w:type="gramStart"/>
      <w:r w:rsidRPr="00533AB0">
        <w:t>is still recommended</w:t>
      </w:r>
      <w:proofErr w:type="gramEnd"/>
      <w:r w:rsidRPr="00533AB0">
        <w:t xml:space="preserve"> at baseline but as a point of comparison for monitoring and follow-up</w:t>
      </w:r>
      <w:r w:rsidR="009C556B" w:rsidRPr="009C556B">
        <w:rPr>
          <w:noProof/>
          <w:vertAlign w:val="superscript"/>
        </w:rPr>
        <w:t>8</w:t>
      </w:r>
      <w:r w:rsidR="003B01AE">
        <w:rPr>
          <w:noProof/>
          <w:vertAlign w:val="superscript"/>
        </w:rPr>
        <w:t>,</w:t>
      </w:r>
      <w:r w:rsidR="009C556B" w:rsidRPr="009C556B">
        <w:rPr>
          <w:noProof/>
          <w:vertAlign w:val="superscript"/>
        </w:rPr>
        <w:t>23</w:t>
      </w:r>
      <w:r w:rsidRPr="00533AB0">
        <w:t xml:space="preserve">. Children generally walk further than </w:t>
      </w:r>
      <w:proofErr w:type="gramStart"/>
      <w:r w:rsidRPr="00533AB0">
        <w:t>adults</w:t>
      </w:r>
      <w:proofErr w:type="gramEnd"/>
      <w:r w:rsidRPr="00533AB0">
        <w:t xml:space="preserve"> on the test and the distance ranges quoted for adults in low versus high risk categories for this outcome are not considered relevant for children</w:t>
      </w:r>
      <w:r w:rsidR="00AC5B85">
        <w:t xml:space="preserve">. </w:t>
      </w:r>
      <w:r w:rsidRPr="00533AB0">
        <w:t xml:space="preserve">As </w:t>
      </w:r>
      <w:proofErr w:type="gramStart"/>
      <w:r w:rsidRPr="00533AB0">
        <w:t>such</w:t>
      </w:r>
      <w:proofErr w:type="gramEnd"/>
      <w:r w:rsidRPr="00533AB0">
        <w:t xml:space="preserve"> 6MWD is not a prognostic factor for children, but </w:t>
      </w:r>
      <w:r w:rsidR="003C17FA">
        <w:t xml:space="preserve">in older children </w:t>
      </w:r>
      <w:r w:rsidRPr="00533AB0">
        <w:t>it can be used to assess changes in exercise tolerance over time</w:t>
      </w:r>
      <w:r w:rsidR="00E70D1B">
        <w:t>.</w:t>
      </w:r>
    </w:p>
    <w:p w14:paraId="012EF848" w14:textId="77777777" w:rsidR="00C6661C" w:rsidRDefault="00C6661C" w:rsidP="00121658">
      <w:pPr>
        <w:pStyle w:val="Heading3"/>
        <w:jc w:val="left"/>
      </w:pPr>
      <w:bookmarkStart w:id="243" w:name="_Toc38377512"/>
      <w:r>
        <w:lastRenderedPageBreak/>
        <w:t>Other issues</w:t>
      </w:r>
      <w:bookmarkEnd w:id="243"/>
    </w:p>
    <w:p w14:paraId="01F79A22" w14:textId="77777777" w:rsidR="00C6661C" w:rsidRDefault="00C6661C" w:rsidP="00121658">
      <w:pPr>
        <w:pStyle w:val="Heading4"/>
        <w:jc w:val="left"/>
        <w:rPr>
          <w:rFonts w:eastAsiaTheme="minorEastAsia"/>
          <w:sz w:val="28"/>
          <w:szCs w:val="22"/>
          <w:lang w:eastAsia="en-AU"/>
        </w:rPr>
      </w:pPr>
      <w:bookmarkStart w:id="244" w:name="_Ref506187851"/>
      <w:r>
        <w:rPr>
          <w:rFonts w:eastAsiaTheme="minorEastAsia"/>
        </w:rPr>
        <w:t>Treatment setting and PAH treatment centres</w:t>
      </w:r>
      <w:bookmarkEnd w:id="244"/>
    </w:p>
    <w:p w14:paraId="12E0B1C5" w14:textId="77777777" w:rsidR="00C6661C" w:rsidRPr="002D2A0A" w:rsidRDefault="00C6661C" w:rsidP="00121658">
      <w:pPr>
        <w:pStyle w:val="Heading5"/>
        <w:jc w:val="left"/>
        <w:rPr>
          <w:rFonts w:asciiTheme="minorHAnsi" w:hAnsiTheme="minorHAnsi"/>
        </w:rPr>
      </w:pPr>
      <w:r w:rsidRPr="002D2A0A">
        <w:rPr>
          <w:rFonts w:asciiTheme="minorHAnsi" w:hAnsiTheme="minorHAnsi"/>
        </w:rPr>
        <w:t>Current PBS requirement</w:t>
      </w:r>
    </w:p>
    <w:p w14:paraId="51108002" w14:textId="77777777" w:rsidR="00C6661C" w:rsidRDefault="00C6661C" w:rsidP="002D2A0A">
      <w:pPr>
        <w:pStyle w:val="BodyTextnospacebefore"/>
      </w:pPr>
      <w:proofErr w:type="gramStart"/>
      <w:r>
        <w:t>PAH</w:t>
      </w:r>
      <w:proofErr w:type="gramEnd"/>
      <w:r>
        <w:t xml:space="preserve"> drugs may only be prescribed within the hospital system and the specific hospital must be one of the designated hospitals accepted by </w:t>
      </w:r>
      <w:r w:rsidR="006C5A64">
        <w:t>Services Australia</w:t>
      </w:r>
      <w:r>
        <w:t xml:space="preserve"> for PAH prescribing</w:t>
      </w:r>
      <w:r w:rsidR="00AC5B85">
        <w:t xml:space="preserve">. </w:t>
      </w:r>
      <w:r>
        <w:t>As of January 2018, 61</w:t>
      </w:r>
      <w:r w:rsidRPr="00C6661C">
        <w:t xml:space="preserve"> centres </w:t>
      </w:r>
      <w:r>
        <w:t>we</w:t>
      </w:r>
      <w:r w:rsidRPr="00C6661C">
        <w:t xml:space="preserve">re included in the </w:t>
      </w:r>
      <w:r w:rsidR="006C5A64">
        <w:t>Services Australia</w:t>
      </w:r>
      <w:r>
        <w:t xml:space="preserve"> </w:t>
      </w:r>
      <w:r w:rsidRPr="00C6661C">
        <w:t>list of designated hospitals. The centres represent both public and private hospitals</w:t>
      </w:r>
      <w:r w:rsidR="00E70D1B">
        <w:t>.</w:t>
      </w:r>
    </w:p>
    <w:p w14:paraId="010BA914" w14:textId="77777777" w:rsidR="00C6661C" w:rsidRPr="00533AB0" w:rsidRDefault="00C6661C" w:rsidP="002D2A0A">
      <w:pPr>
        <w:pStyle w:val="BodyTextnospacebefore"/>
      </w:pPr>
      <w:r w:rsidRPr="00C6661C">
        <w:t xml:space="preserve">Unlike some other s100 HSD complex authority required drugs, the prescriber specialties are not explicit. </w:t>
      </w:r>
      <w:r>
        <w:t>G</w:t>
      </w:r>
      <w:r w:rsidRPr="00C6661C">
        <w:t xml:space="preserve">iven s100 HSD items are ‘hospital only’ listings, this </w:t>
      </w:r>
      <w:r w:rsidR="00E70D1B">
        <w:t>excludes general practitioners.</w:t>
      </w:r>
    </w:p>
    <w:p w14:paraId="3762260E" w14:textId="77777777" w:rsidR="00C6661C" w:rsidRPr="002D2A0A" w:rsidRDefault="00C6661C" w:rsidP="00121658">
      <w:pPr>
        <w:pStyle w:val="Heading5"/>
        <w:jc w:val="left"/>
        <w:rPr>
          <w:rFonts w:asciiTheme="minorHAnsi" w:hAnsiTheme="minorHAnsi"/>
        </w:rPr>
      </w:pPr>
      <w:r w:rsidRPr="002D2A0A">
        <w:rPr>
          <w:rFonts w:asciiTheme="minorHAnsi" w:hAnsiTheme="minorHAnsi"/>
        </w:rPr>
        <w:t>Guideline recommendations</w:t>
      </w:r>
    </w:p>
    <w:p w14:paraId="4B5AACFF" w14:textId="77777777" w:rsidR="00C6661C" w:rsidRPr="00C6661C" w:rsidRDefault="00364153" w:rsidP="002D2A0A">
      <w:pPr>
        <w:pStyle w:val="BodyTextnospacebefore"/>
      </w:pPr>
      <w:r>
        <w:t>Recommendations for staff, facilities and numbers of patients seen per year for PAH treatme</w:t>
      </w:r>
      <w:r w:rsidR="001266C7">
        <w:t xml:space="preserve">nt centres </w:t>
      </w:r>
      <w:proofErr w:type="gramStart"/>
      <w:r w:rsidR="001266C7">
        <w:t>are given</w:t>
      </w:r>
      <w:proofErr w:type="gramEnd"/>
      <w:r w:rsidR="001266C7">
        <w:t xml:space="preserve"> in Section </w:t>
      </w:r>
      <w:r w:rsidR="00505D99" w:rsidRPr="00505D99">
        <w:rPr>
          <w:i/>
        </w:rPr>
        <w:t>PAH treatment centres</w:t>
      </w:r>
      <w:r w:rsidR="003C17FA">
        <w:t xml:space="preserve">. </w:t>
      </w:r>
      <w:r w:rsidR="00C6661C" w:rsidRPr="00C6661C">
        <w:t xml:space="preserve">It is not known whether these objectives are achievable for regional and rural centres in </w:t>
      </w:r>
      <w:proofErr w:type="gramStart"/>
      <w:r w:rsidR="00C6661C" w:rsidRPr="00C6661C">
        <w:t>Australia,</w:t>
      </w:r>
      <w:proofErr w:type="gramEnd"/>
      <w:r w:rsidR="00C6661C" w:rsidRPr="00C6661C">
        <w:t xml:space="preserve"> however it would be more likely that a tertiary referral centre in the capital cities could meet these criteria</w:t>
      </w:r>
      <w:r w:rsidR="00EE1F96">
        <w:t>.</w:t>
      </w:r>
    </w:p>
    <w:p w14:paraId="70AB83A2" w14:textId="77777777" w:rsidR="00C6661C" w:rsidRPr="00C6661C" w:rsidRDefault="00C6661C" w:rsidP="002D2A0A">
      <w:pPr>
        <w:pStyle w:val="BodyTextnospacebefore"/>
      </w:pPr>
      <w:r w:rsidRPr="00C6661C">
        <w:t>This is a much larger number than would be expected even allowing for geographical constraints and equity of access concerns</w:t>
      </w:r>
      <w:r w:rsidR="00AC5B85">
        <w:t xml:space="preserve">. </w:t>
      </w:r>
      <w:r w:rsidRPr="00C6661C">
        <w:t>Numbers of PAH centres are much lower in other countries such as the United Kingdom (eight) and Ireland (one</w:t>
      </w:r>
      <w:proofErr w:type="gramStart"/>
      <w:r w:rsidRPr="00C6661C">
        <w:t>)</w:t>
      </w:r>
      <w:r w:rsidR="009C556B" w:rsidRPr="009C556B">
        <w:rPr>
          <w:noProof/>
          <w:vertAlign w:val="superscript"/>
        </w:rPr>
        <w:t>45</w:t>
      </w:r>
      <w:proofErr w:type="gramEnd"/>
      <w:r w:rsidRPr="00C6661C">
        <w:t>; Sweden (eight)</w:t>
      </w:r>
      <w:r w:rsidR="009C556B" w:rsidRPr="009C556B">
        <w:rPr>
          <w:noProof/>
          <w:vertAlign w:val="superscript"/>
        </w:rPr>
        <w:t>46</w:t>
      </w:r>
      <w:r w:rsidRPr="00C6661C">
        <w:t xml:space="preserve"> and Canada (16 PAH centres plus four for paediatric patients)</w:t>
      </w:r>
      <w:r w:rsidR="009C556B" w:rsidRPr="009C556B">
        <w:rPr>
          <w:noProof/>
          <w:vertAlign w:val="superscript"/>
        </w:rPr>
        <w:t>47</w:t>
      </w:r>
      <w:r w:rsidR="00EE1F96">
        <w:t>.</w:t>
      </w:r>
    </w:p>
    <w:p w14:paraId="7EE5C540" w14:textId="77777777" w:rsidR="00C6661C" w:rsidRPr="00C6661C" w:rsidRDefault="00C6661C" w:rsidP="002D2A0A">
      <w:pPr>
        <w:pStyle w:val="BodyTextnospacebefore"/>
      </w:pPr>
      <w:proofErr w:type="gramStart"/>
      <w:r w:rsidRPr="00C6661C">
        <w:t xml:space="preserve">Although figures of PAH patients treated per designated hospital per year were not available for this review, it </w:t>
      </w:r>
      <w:r w:rsidR="002876D0">
        <w:t>is not consistent with PAH epidemiology</w:t>
      </w:r>
      <w:r w:rsidRPr="00C6661C">
        <w:t xml:space="preserve"> that these centres </w:t>
      </w:r>
      <w:r w:rsidR="002876D0">
        <w:t>would all</w:t>
      </w:r>
      <w:r w:rsidRPr="00C6661C">
        <w:t xml:space="preserve"> be seeing the number of patients to meet </w:t>
      </w:r>
      <w:r w:rsidRPr="002D2A0A">
        <w:t>international</w:t>
      </w:r>
      <w:r w:rsidRPr="00C6661C">
        <w:t xml:space="preserve"> guidance of a minimum 300 referred patients (including 50 paediatric patients) per centre per year in order to maintain expertise in PAH diagnosis, care and prescribi</w:t>
      </w:r>
      <w:r w:rsidR="00364153">
        <w:t>ng practices</w:t>
      </w:r>
      <w:r w:rsidR="00AC5B85">
        <w:t>.</w:t>
      </w:r>
      <w:proofErr w:type="gramEnd"/>
      <w:r w:rsidR="00AC5B85">
        <w:t xml:space="preserve"> </w:t>
      </w:r>
      <w:proofErr w:type="gramStart"/>
      <w:r w:rsidRPr="00C6661C">
        <w:t>Furthermore, recommendations for RHC, vasoreactivity testing and other invasive procedures and imaging are predicated on these being performed in expert tertiary referral centres, focused on PH/PAH care, and seeing the specified minimum number of patients per month to maintain a core of expertise such that any complications leading to morbidity and mortality are within the ranges outlined in international guidelines</w:t>
      </w:r>
      <w:r w:rsidR="00EE1F96">
        <w:t>.</w:t>
      </w:r>
      <w:proofErr w:type="gramEnd"/>
    </w:p>
    <w:p w14:paraId="4FCD1B90" w14:textId="77777777" w:rsidR="00C6661C" w:rsidRPr="00C6661C" w:rsidRDefault="00C6661C" w:rsidP="002D2A0A">
      <w:pPr>
        <w:pStyle w:val="BodyTextnospacebefore"/>
      </w:pPr>
      <w:r w:rsidRPr="00C6661C">
        <w:t xml:space="preserve">The current list of </w:t>
      </w:r>
      <w:r w:rsidR="006C5A64">
        <w:t>Services Australia</w:t>
      </w:r>
      <w:r w:rsidRPr="00C6661C">
        <w:t xml:space="preserve"> designated centres does not identify which centres are outpatient clinics that see some PAH patients</w:t>
      </w:r>
      <w:r>
        <w:t xml:space="preserve"> as a small portion of their total intake</w:t>
      </w:r>
      <w:r w:rsidRPr="00C6661C">
        <w:t xml:space="preserve"> and those </w:t>
      </w:r>
      <w:proofErr w:type="gramStart"/>
      <w:r w:rsidRPr="00C6661C">
        <w:t>that are tertiary referral centres that specialise in PAH and related conditions</w:t>
      </w:r>
      <w:proofErr w:type="gramEnd"/>
      <w:r w:rsidR="00EE1F96">
        <w:t>.</w:t>
      </w:r>
    </w:p>
    <w:p w14:paraId="0AA75223" w14:textId="77777777" w:rsidR="00C6661C" w:rsidRPr="00C6661C" w:rsidRDefault="00C6661C" w:rsidP="002D2A0A">
      <w:pPr>
        <w:pStyle w:val="BodyTextnospacebefore"/>
      </w:pPr>
      <w:r w:rsidRPr="00C6661C">
        <w:t>In submissions to this post-market review, both PHSANZ and TSANZ comment that what constitutes a designated ce</w:t>
      </w:r>
      <w:r w:rsidR="00EE1F96">
        <w:t>ntre would benefit from review.</w:t>
      </w:r>
    </w:p>
    <w:p w14:paraId="5006AEA1" w14:textId="77777777" w:rsidR="00C6661C" w:rsidRDefault="00C6661C" w:rsidP="002D2A0A">
      <w:pPr>
        <w:pStyle w:val="BodyTextnospacebefore"/>
      </w:pPr>
      <w:r w:rsidRPr="00C6661C">
        <w:t>The websites for both the Pulmonary Hypertension Association of Australia and the Pulmonary Hypertension Network Australia differentiate between PH specialist or treatment centres on the one hand and ‘prescribing centres’ on the other</w:t>
      </w:r>
      <w:r w:rsidR="00AC5B85">
        <w:t xml:space="preserve">. </w:t>
      </w:r>
      <w:r w:rsidRPr="00C6661C">
        <w:t xml:space="preserve">Both websites provide the </w:t>
      </w:r>
      <w:r w:rsidR="006C5A64">
        <w:t xml:space="preserve">Services Australia </w:t>
      </w:r>
      <w:r w:rsidRPr="00C6661C">
        <w:t xml:space="preserve">list of designated hospitals (the prescribing centres) as a list separate to the much smaller list of </w:t>
      </w:r>
      <w:r w:rsidRPr="00C6661C">
        <w:lastRenderedPageBreak/>
        <w:t>centres in which patients can receive PH treatment</w:t>
      </w:r>
      <w:r w:rsidR="009C556B" w:rsidRPr="009C556B">
        <w:rPr>
          <w:noProof/>
          <w:vertAlign w:val="superscript"/>
        </w:rPr>
        <w:t>48-50</w:t>
      </w:r>
      <w:r w:rsidR="00AC5B85">
        <w:t xml:space="preserve">. </w:t>
      </w:r>
      <w:r w:rsidRPr="00C6661C">
        <w:t xml:space="preserve">This would benefit from feedback from these and other relevant organisations </w:t>
      </w:r>
      <w:r w:rsidR="0014637C">
        <w:t>in case this information is in</w:t>
      </w:r>
      <w:r w:rsidRPr="00C6661C">
        <w:t xml:space="preserve">complete, or </w:t>
      </w:r>
      <w:r w:rsidR="0014637C">
        <w:t xml:space="preserve">out of </w:t>
      </w:r>
      <w:r w:rsidR="00EE1F96">
        <w:t>date.</w:t>
      </w:r>
    </w:p>
    <w:p w14:paraId="2B662CE2" w14:textId="77777777" w:rsidR="00C6661C" w:rsidRPr="00C6661C" w:rsidRDefault="00B92ADC" w:rsidP="002D2A0A">
      <w:pPr>
        <w:pStyle w:val="BodyTextnospacebefore"/>
      </w:pPr>
      <w:r>
        <w:t xml:space="preserve">No information on </w:t>
      </w:r>
      <w:r w:rsidR="00412B24">
        <w:t>PAH patient</w:t>
      </w:r>
      <w:r w:rsidR="000E773E">
        <w:t xml:space="preserve"> number</w:t>
      </w:r>
      <w:r w:rsidR="00412B24">
        <w:t xml:space="preserve">s or PBS prescriptions </w:t>
      </w:r>
      <w:r>
        <w:t>per desi</w:t>
      </w:r>
      <w:r w:rsidR="00CD0B52">
        <w:t xml:space="preserve">gnated hospital was available. </w:t>
      </w:r>
      <w:r w:rsidR="006C5A64">
        <w:t xml:space="preserve">Services Australia </w:t>
      </w:r>
      <w:r>
        <w:t xml:space="preserve">confirmed that the criteria for designation includes access to or affiliation with another centre that provides cardiac catheterisation. </w:t>
      </w:r>
      <w:r w:rsidR="00C6661C" w:rsidRPr="00C6661C">
        <w:t>T</w:t>
      </w:r>
      <w:r>
        <w:t>here wa</w:t>
      </w:r>
      <w:r w:rsidR="00C6661C" w:rsidRPr="00C6661C">
        <w:t xml:space="preserve">s no information available to determine if the centres in the </w:t>
      </w:r>
      <w:r w:rsidR="006C5A64">
        <w:t>Services Australia</w:t>
      </w:r>
      <w:r w:rsidR="00C6661C" w:rsidRPr="00C6661C">
        <w:t xml:space="preserve"> list are meeting the current guidance on numbers of patients referred and treated per centre per year (including paediatric patients)</w:t>
      </w:r>
      <w:r>
        <w:t>, or numbers of RHC procedures</w:t>
      </w:r>
      <w:r w:rsidR="00EE1F96">
        <w:t>.</w:t>
      </w:r>
    </w:p>
    <w:p w14:paraId="09D49E24" w14:textId="77777777" w:rsidR="00C6661C" w:rsidRDefault="00C6661C" w:rsidP="00121658">
      <w:pPr>
        <w:pStyle w:val="Heading4"/>
        <w:jc w:val="left"/>
        <w:rPr>
          <w:rFonts w:eastAsiaTheme="minorEastAsia"/>
          <w:sz w:val="28"/>
          <w:szCs w:val="22"/>
          <w:lang w:eastAsia="en-AU"/>
        </w:rPr>
      </w:pPr>
      <w:bookmarkStart w:id="245" w:name="_Ref506172685"/>
      <w:r>
        <w:rPr>
          <w:rFonts w:eastAsiaTheme="minorEastAsia"/>
        </w:rPr>
        <w:t>PAH classification and terminology</w:t>
      </w:r>
      <w:bookmarkEnd w:id="245"/>
    </w:p>
    <w:p w14:paraId="3CC37BDB" w14:textId="77777777" w:rsidR="00C6661C" w:rsidRPr="002D2A0A" w:rsidRDefault="00C6661C" w:rsidP="00121658">
      <w:pPr>
        <w:pStyle w:val="Heading5"/>
        <w:jc w:val="left"/>
        <w:rPr>
          <w:rFonts w:asciiTheme="minorHAnsi" w:hAnsiTheme="minorHAnsi"/>
        </w:rPr>
      </w:pPr>
      <w:r w:rsidRPr="002D2A0A">
        <w:rPr>
          <w:rFonts w:asciiTheme="minorHAnsi" w:hAnsiTheme="minorHAnsi"/>
        </w:rPr>
        <w:t>Current PBS requirement</w:t>
      </w:r>
    </w:p>
    <w:p w14:paraId="327363EA" w14:textId="77777777" w:rsidR="00C6661C" w:rsidRPr="006314DA" w:rsidRDefault="00C6661C" w:rsidP="00921D13">
      <w:pPr>
        <w:pStyle w:val="08Bulletsseriesofsentences"/>
      </w:pPr>
      <w:r w:rsidRPr="006314DA">
        <w:t>The different PAH subtypes specified in the current PBS restrictions</w:t>
      </w:r>
      <w:r w:rsidR="004A5E1C" w:rsidRPr="006314DA">
        <w:t xml:space="preserve"> (see Background, in</w:t>
      </w:r>
      <w:r w:rsidR="00AD53F0" w:rsidRPr="006314DA">
        <w:t xml:space="preserve"> </w:t>
      </w:r>
      <w:r w:rsidR="00505D99">
        <w:t>Table B.6</w:t>
      </w:r>
      <w:r w:rsidR="004A5E1C" w:rsidRPr="006314DA">
        <w:t>) are:</w:t>
      </w:r>
    </w:p>
    <w:p w14:paraId="0FCCDC4E" w14:textId="77777777" w:rsidR="00C6661C" w:rsidRDefault="00C6661C" w:rsidP="00921D13">
      <w:pPr>
        <w:pStyle w:val="08Bulletsseriesofsentences"/>
      </w:pPr>
      <w:r w:rsidRPr="00C6661C">
        <w:t>Idiopathic p</w:t>
      </w:r>
      <w:r>
        <w:t>ulmonary arterial hypertension</w:t>
      </w:r>
    </w:p>
    <w:p w14:paraId="412C5D13" w14:textId="77777777" w:rsidR="00C6661C" w:rsidRDefault="00C6661C" w:rsidP="00921D13">
      <w:pPr>
        <w:pStyle w:val="08Bulletsseriesofsentences"/>
      </w:pPr>
      <w:r>
        <w:t>A</w:t>
      </w:r>
      <w:r w:rsidRPr="00C6661C">
        <w:t>norexigen-induced p</w:t>
      </w:r>
      <w:r>
        <w:t>ulmonary arterial hypertension</w:t>
      </w:r>
    </w:p>
    <w:p w14:paraId="5DFB7958" w14:textId="77777777" w:rsidR="00C6661C" w:rsidRDefault="00C6661C" w:rsidP="00921D13">
      <w:pPr>
        <w:pStyle w:val="08Bulletsseriesofsentences"/>
      </w:pPr>
      <w:r>
        <w:t>H</w:t>
      </w:r>
      <w:r w:rsidRPr="00C6661C">
        <w:t>ereditable p</w:t>
      </w:r>
      <w:r>
        <w:t>ulmonary arterial hypertension</w:t>
      </w:r>
    </w:p>
    <w:p w14:paraId="136AFDD6" w14:textId="77777777" w:rsidR="00C6661C" w:rsidRDefault="00C6661C" w:rsidP="00921D13">
      <w:pPr>
        <w:pStyle w:val="08Bulletsseriesofsentences"/>
      </w:pPr>
      <w:r>
        <w:t>D</w:t>
      </w:r>
      <w:r w:rsidRPr="00C6661C">
        <w:t>rug-induced p</w:t>
      </w:r>
      <w:r>
        <w:t>ulmonary arterial hypertension</w:t>
      </w:r>
    </w:p>
    <w:p w14:paraId="0A98BE8E" w14:textId="77777777" w:rsidR="00C6661C" w:rsidRDefault="00C6661C" w:rsidP="00921D13">
      <w:pPr>
        <w:pStyle w:val="08Bulletsseriesofsentences"/>
      </w:pPr>
      <w:r>
        <w:t>P</w:t>
      </w:r>
      <w:r w:rsidRPr="00C6661C">
        <w:t>ulmonary arterial hypertension secondary to connective tissue d</w:t>
      </w:r>
      <w:r>
        <w:t>isease including scleroderma</w:t>
      </w:r>
    </w:p>
    <w:p w14:paraId="20D30FD3" w14:textId="77777777" w:rsidR="00C6661C" w:rsidRDefault="00C6661C" w:rsidP="00921D13">
      <w:pPr>
        <w:pStyle w:val="08Bulletsseriesofsentences"/>
      </w:pPr>
      <w:r>
        <w:t>P</w:t>
      </w:r>
      <w:r w:rsidRPr="00C6661C">
        <w:t>ulmonary arterial hypertension associated with a congenital systemic-to-pulmonary shunt (including Eisenmenger physiology)</w:t>
      </w:r>
    </w:p>
    <w:p w14:paraId="5C12DB01" w14:textId="77777777" w:rsidR="00C6661C" w:rsidRDefault="00C6661C" w:rsidP="00807704">
      <w:pPr>
        <w:pStyle w:val="BodyTextnospacebefore"/>
      </w:pPr>
      <w:r>
        <w:t>This represents all the subtypes – and the terminology used – in the current PAH items</w:t>
      </w:r>
      <w:r w:rsidR="00EE1F96">
        <w:t>.</w:t>
      </w:r>
    </w:p>
    <w:p w14:paraId="5A68AEE5" w14:textId="77777777" w:rsidR="00C6661C" w:rsidRPr="00BE0957" w:rsidRDefault="00C6661C" w:rsidP="00121658">
      <w:pPr>
        <w:pStyle w:val="Heading5"/>
        <w:jc w:val="left"/>
        <w:rPr>
          <w:rFonts w:asciiTheme="minorHAnsi" w:hAnsiTheme="minorHAnsi"/>
        </w:rPr>
      </w:pPr>
      <w:r w:rsidRPr="00BE0957">
        <w:rPr>
          <w:rFonts w:asciiTheme="minorHAnsi" w:hAnsiTheme="minorHAnsi"/>
        </w:rPr>
        <w:t>Current WHO Classification</w:t>
      </w:r>
    </w:p>
    <w:p w14:paraId="7D0A78DB" w14:textId="77777777" w:rsidR="00C6661C" w:rsidRDefault="00C6661C" w:rsidP="002D2A0A">
      <w:pPr>
        <w:pStyle w:val="BodyTextnospacebefore"/>
      </w:pPr>
      <w:r>
        <w:t>A</w:t>
      </w:r>
      <w:r w:rsidRPr="0004089D">
        <w:t>s the WHO classification scheme for PH and PAH has been changed and updated, so the approved PAH indications and the PBS restrictions have appeared to describe different PAH subtypes</w:t>
      </w:r>
      <w:r>
        <w:t>.</w:t>
      </w:r>
      <w:r w:rsidR="00DF7C3A">
        <w:t xml:space="preserve"> </w:t>
      </w:r>
      <w:r w:rsidR="004A5E1C">
        <w:t>T</w:t>
      </w:r>
      <w:r w:rsidRPr="0004089D">
        <w:t xml:space="preserve">he current terminology </w:t>
      </w:r>
      <w:proofErr w:type="gramStart"/>
      <w:r w:rsidRPr="0004089D">
        <w:t>is understood</w:t>
      </w:r>
      <w:proofErr w:type="gramEnd"/>
      <w:r w:rsidRPr="0004089D">
        <w:t xml:space="preserve"> to either encompass or be interchangeable with the previously used descriptions</w:t>
      </w:r>
      <w:r w:rsidR="00EE1F96">
        <w:t>.</w:t>
      </w:r>
    </w:p>
    <w:p w14:paraId="15CB5875" w14:textId="77777777" w:rsidR="00C6661C" w:rsidRPr="00841982" w:rsidRDefault="00C6661C" w:rsidP="002D2A0A">
      <w:pPr>
        <w:pStyle w:val="BodyTextnospacebefore"/>
      </w:pPr>
      <w:r>
        <w:t>The current WHO classification</w:t>
      </w:r>
      <w:r w:rsidR="009C556B" w:rsidRPr="00DC475B">
        <w:rPr>
          <w:noProof/>
          <w:vertAlign w:val="superscript"/>
        </w:rPr>
        <w:t>9</w:t>
      </w:r>
      <w:r>
        <w:t xml:space="preserve"> provides that</w:t>
      </w:r>
      <w:r w:rsidRPr="00841982">
        <w:t>:</w:t>
      </w:r>
    </w:p>
    <w:p w14:paraId="350D2D63" w14:textId="77777777" w:rsidR="00C6661C" w:rsidRPr="00841982" w:rsidRDefault="00C6661C" w:rsidP="00921D13">
      <w:pPr>
        <w:pStyle w:val="08Bulletsseriesofsentences"/>
      </w:pPr>
      <w:r>
        <w:t xml:space="preserve">The terminology </w:t>
      </w:r>
      <w:r w:rsidRPr="00841982">
        <w:t>‘</w:t>
      </w:r>
      <w:r>
        <w:t xml:space="preserve">drug or toxin </w:t>
      </w:r>
      <w:r w:rsidRPr="00841982">
        <w:t xml:space="preserve">induced’ PAH </w:t>
      </w:r>
      <w:r>
        <w:t>has replaced</w:t>
      </w:r>
      <w:r w:rsidRPr="00841982">
        <w:t xml:space="preserve"> ‘anorexigen</w:t>
      </w:r>
      <w:r>
        <w:t xml:space="preserve"> induced</w:t>
      </w:r>
      <w:r w:rsidRPr="00841982">
        <w:t>’</w:t>
      </w:r>
      <w:r>
        <w:t xml:space="preserve"> PAH</w:t>
      </w:r>
    </w:p>
    <w:p w14:paraId="5593013C" w14:textId="77777777" w:rsidR="00C6661C" w:rsidRPr="00841982" w:rsidRDefault="00C6661C" w:rsidP="00921D13">
      <w:pPr>
        <w:pStyle w:val="08Bulletsseriesofsentences"/>
      </w:pPr>
      <w:r>
        <w:t>PAH with a genetic or familial component is</w:t>
      </w:r>
      <w:r w:rsidR="00EE1F96">
        <w:t xml:space="preserve"> referred to as ‘heritable’ PAH</w:t>
      </w:r>
    </w:p>
    <w:p w14:paraId="03A34593" w14:textId="77777777" w:rsidR="00C6661C" w:rsidRPr="00841982" w:rsidRDefault="00C6661C" w:rsidP="00921D13">
      <w:pPr>
        <w:pStyle w:val="08Bulletsseriesofsentences"/>
      </w:pPr>
      <w:r w:rsidRPr="00841982">
        <w:t>Connective tissue disease</w:t>
      </w:r>
      <w:r>
        <w:t xml:space="preserve"> is defined as including</w:t>
      </w:r>
      <w:r w:rsidRPr="00841982">
        <w:t xml:space="preserve"> scleroderma</w:t>
      </w:r>
    </w:p>
    <w:p w14:paraId="29B0C5A9" w14:textId="77777777" w:rsidR="00C6661C" w:rsidRPr="00841982" w:rsidRDefault="00C6661C" w:rsidP="002D2A0A">
      <w:pPr>
        <w:pStyle w:val="BodyTextnospacebefore"/>
      </w:pPr>
      <w:r w:rsidRPr="00841982">
        <w:t>Congenital conditions causing PAH, but still encompassed by WHO Group 1 PH / PAH classification, are not limited to those characterised by a systemic-to-pulmonary shunt.</w:t>
      </w:r>
    </w:p>
    <w:p w14:paraId="7D9BB324" w14:textId="77777777" w:rsidR="00C6661C" w:rsidRDefault="00C6661C" w:rsidP="002D2A0A">
      <w:pPr>
        <w:pStyle w:val="BodyTextnospacebefore"/>
      </w:pPr>
      <w:r>
        <w:t xml:space="preserve">Some notes </w:t>
      </w:r>
      <w:proofErr w:type="gramStart"/>
      <w:r>
        <w:t>are given</w:t>
      </w:r>
      <w:proofErr w:type="gramEnd"/>
      <w:r w:rsidRPr="0004089D">
        <w:t xml:space="preserve"> below</w:t>
      </w:r>
      <w:r w:rsidR="00EE1F96">
        <w:t>.</w:t>
      </w:r>
    </w:p>
    <w:p w14:paraId="5934689C" w14:textId="77777777" w:rsidR="00C6661C" w:rsidRPr="00B223C4" w:rsidRDefault="00C6661C" w:rsidP="00121658">
      <w:pPr>
        <w:pStyle w:val="Heading6"/>
      </w:pPr>
      <w:r>
        <w:lastRenderedPageBreak/>
        <w:t>D</w:t>
      </w:r>
      <w:r w:rsidRPr="00B223C4">
        <w:t xml:space="preserve">rug and toxin induced PAH </w:t>
      </w:r>
    </w:p>
    <w:p w14:paraId="4A9DFE51" w14:textId="77777777" w:rsidR="00C6661C" w:rsidRPr="0004089D" w:rsidRDefault="00C6661C" w:rsidP="002D2A0A">
      <w:pPr>
        <w:pStyle w:val="BodyTextnospacebefore"/>
      </w:pPr>
      <w:r w:rsidRPr="0004089D">
        <w:t xml:space="preserve">With regard to drug-induced PAH, PBS restrictions refer in some cases to ‘anorexigen-induced’ PAH, whereas the restrictions for iloprost refer to ‘drug-induced’ PAH </w:t>
      </w:r>
      <w:proofErr w:type="gramStart"/>
      <w:r w:rsidRPr="0004089D">
        <w:t>and also</w:t>
      </w:r>
      <w:proofErr w:type="gramEnd"/>
      <w:r w:rsidRPr="0004089D">
        <w:t xml:space="preserve"> ‘anorexigen-induced’ PAH. The most recent WHO classification refers to ‘drug and toxin induced’ PAH. These are not distinct patient groups but the same group described according to the prevailing terminology</w:t>
      </w:r>
      <w:r>
        <w:t xml:space="preserve">. </w:t>
      </w:r>
      <w:r w:rsidRPr="0004089D">
        <w:t>There are few anorectics associated with PAH remaining on the market in Australia, thus a reference to anorexigen-induced PAH may be interpreted by clinicians as ‘drug or toxin induced’ irrespective of the causative agent</w:t>
      </w:r>
      <w:r w:rsidR="00EE1F96">
        <w:t>.</w:t>
      </w:r>
    </w:p>
    <w:p w14:paraId="2A323481" w14:textId="77777777" w:rsidR="00C6661C" w:rsidRPr="00B223C4" w:rsidRDefault="00C6661C" w:rsidP="00121658">
      <w:pPr>
        <w:pStyle w:val="Heading6"/>
      </w:pPr>
      <w:r w:rsidRPr="00B223C4">
        <w:t>PAH due to congenital heart disease</w:t>
      </w:r>
    </w:p>
    <w:p w14:paraId="631512DA" w14:textId="77777777" w:rsidR="00C6661C" w:rsidRPr="0004089D" w:rsidRDefault="00C6661C" w:rsidP="002D2A0A">
      <w:pPr>
        <w:pStyle w:val="BodyTextnospacebefore"/>
      </w:pPr>
      <w:r w:rsidRPr="0004089D">
        <w:t xml:space="preserve">Previous classifications for PAH have referred to PAH associated with “congenital systemic-to-pulmonary shunts” (which includes Eisenmenger </w:t>
      </w:r>
      <w:r w:rsidR="00E93086">
        <w:t>p</w:t>
      </w:r>
      <w:r w:rsidRPr="0004089D">
        <w:t>hysiology)</w:t>
      </w:r>
      <w:r>
        <w:t xml:space="preserve">. </w:t>
      </w:r>
      <w:r w:rsidRPr="0004089D">
        <w:t xml:space="preserve">In the current 2013 classification, this subtype </w:t>
      </w:r>
      <w:proofErr w:type="gramStart"/>
      <w:r w:rsidRPr="0004089D">
        <w:t>is referred</w:t>
      </w:r>
      <w:proofErr w:type="gramEnd"/>
      <w:r w:rsidRPr="0004089D">
        <w:t xml:space="preserve"> to more simply as “congenital heart diseases” with the groups falling under that category described in considerable detail in the 2013 revised PAH classification</w:t>
      </w:r>
      <w:r w:rsidR="009C556B" w:rsidRPr="00DC475B">
        <w:rPr>
          <w:noProof/>
          <w:vertAlign w:val="superscript"/>
        </w:rPr>
        <w:t>9</w:t>
      </w:r>
      <w:r w:rsidRPr="0004089D">
        <w:t xml:space="preserve"> and is now broader than previous classifications</w:t>
      </w:r>
      <w:r w:rsidR="00EE1F96">
        <w:t>.</w:t>
      </w:r>
    </w:p>
    <w:p w14:paraId="3A8114CE" w14:textId="77777777" w:rsidR="00C6661C" w:rsidRPr="00B223C4" w:rsidRDefault="00C6661C" w:rsidP="00121658">
      <w:pPr>
        <w:pStyle w:val="Heading6"/>
      </w:pPr>
      <w:r w:rsidRPr="00B223C4">
        <w:t>Heritable PAH</w:t>
      </w:r>
    </w:p>
    <w:p w14:paraId="0507F3FD" w14:textId="77777777" w:rsidR="00C6661C" w:rsidRDefault="00C6661C" w:rsidP="002D2A0A">
      <w:pPr>
        <w:pStyle w:val="BodyTextnospacebefore"/>
      </w:pPr>
      <w:r w:rsidRPr="0004089D">
        <w:t>The term ‘hereditable’ used in the current PBS restrictions is a conflation of ‘hereditary’ and ‘heritable’. It does not reflect terminology in the international guidelines or PAH classification (‘heritable PAH’), nor is it in common use in the scientific literature</w:t>
      </w:r>
      <w:r w:rsidR="00EE1F96">
        <w:t>.</w:t>
      </w:r>
    </w:p>
    <w:p w14:paraId="1D27D986" w14:textId="77777777" w:rsidR="00B25CA4" w:rsidRDefault="00B25CA4" w:rsidP="00121658">
      <w:pPr>
        <w:pStyle w:val="Heading2"/>
        <w:jc w:val="left"/>
      </w:pPr>
      <w:bookmarkStart w:id="246" w:name="_Toc38377513"/>
      <w:r>
        <w:t>Synthesis</w:t>
      </w:r>
      <w:r w:rsidR="00712CC9">
        <w:t xml:space="preserve"> of findings</w:t>
      </w:r>
      <w:bookmarkEnd w:id="246"/>
    </w:p>
    <w:p w14:paraId="1CD0AE64" w14:textId="77777777" w:rsidR="00B25CA4" w:rsidRPr="009F69AE" w:rsidRDefault="00074A9A" w:rsidP="00121658">
      <w:pPr>
        <w:pStyle w:val="Heading3"/>
        <w:jc w:val="left"/>
      </w:pPr>
      <w:bookmarkStart w:id="247" w:name="_Toc38377514"/>
      <w:r>
        <w:t>G</w:t>
      </w:r>
      <w:r w:rsidR="00B25CA4">
        <w:t>uidelines for PAH</w:t>
      </w:r>
      <w:bookmarkEnd w:id="247"/>
    </w:p>
    <w:p w14:paraId="0CBEFB76" w14:textId="77777777" w:rsidR="00B25CA4" w:rsidRDefault="00B25CA4" w:rsidP="004937E8">
      <w:pPr>
        <w:pStyle w:val="BodyTextnospacebefore"/>
      </w:pPr>
      <w:r>
        <w:t xml:space="preserve">Nine </w:t>
      </w:r>
      <w:r w:rsidRPr="009F69AE">
        <w:t xml:space="preserve">clinical practice </w:t>
      </w:r>
      <w:r w:rsidRPr="0004089D">
        <w:t xml:space="preserve">guidelines </w:t>
      </w:r>
      <w:r>
        <w:t xml:space="preserve">for PAH </w:t>
      </w:r>
      <w:r w:rsidRPr="0004089D">
        <w:t>were considered relevant</w:t>
      </w:r>
      <w:r>
        <w:t xml:space="preserve"> to this review </w:t>
      </w:r>
      <w:r w:rsidR="006314DA">
        <w:t>(</w:t>
      </w:r>
      <w:r w:rsidR="004937E8">
        <w:t>Table 1.4</w:t>
      </w:r>
      <w:r>
        <w:t>)</w:t>
      </w:r>
      <w:r w:rsidRPr="0004089D">
        <w:t>, covering diagnosis and treatment of PAH, the international classification scheme and recommendations for paediatric patients.</w:t>
      </w:r>
      <w:r>
        <w:t xml:space="preserve"> The two key documents used for this review were the 2015 European Society of Cardiology /European Respiratory Society joint </w:t>
      </w:r>
      <w:r w:rsidRPr="004937E8">
        <w:t>Guidelines for the diagnosis and treatment of pulmonary hypertension</w:t>
      </w:r>
      <w:r w:rsidR="009C556B" w:rsidRPr="007A64D1">
        <w:rPr>
          <w:vertAlign w:val="superscript"/>
        </w:rPr>
        <w:t>8</w:t>
      </w:r>
      <w:r>
        <w:t xml:space="preserve"> and the</w:t>
      </w:r>
      <w:r w:rsidRPr="004937E8">
        <w:t xml:space="preserve"> CHEST guideline and expert panel report: Pharmacologic therapy for pulmonary arterial hypertension in adults</w:t>
      </w:r>
      <w:r w:rsidR="009C556B" w:rsidRPr="007A64D1">
        <w:rPr>
          <w:vertAlign w:val="superscript"/>
        </w:rPr>
        <w:t>19</w:t>
      </w:r>
      <w:r>
        <w:t xml:space="preserve">. </w:t>
      </w:r>
      <w:r w:rsidR="00074A9A">
        <w:t xml:space="preserve">Of the two, the European document </w:t>
      </w:r>
      <w:proofErr w:type="gramStart"/>
      <w:r w:rsidR="00074A9A">
        <w:t>can be considered</w:t>
      </w:r>
      <w:proofErr w:type="gramEnd"/>
      <w:r w:rsidR="00074A9A">
        <w:t xml:space="preserve"> definitive</w:t>
      </w:r>
      <w:r w:rsidR="00712CC9">
        <w:t xml:space="preserve"> except where noted</w:t>
      </w:r>
      <w:r w:rsidR="00074A9A">
        <w:t xml:space="preserve">. </w:t>
      </w:r>
      <w:r>
        <w:t xml:space="preserve">Further guidance regarding diagnostic and monitoring of PAH patients, treatment of PAH in children and other matters including PAH disease classification </w:t>
      </w:r>
      <w:proofErr w:type="gramStart"/>
      <w:r>
        <w:t>was obtained</w:t>
      </w:r>
      <w:proofErr w:type="gramEnd"/>
      <w:r>
        <w:t xml:space="preserve"> from the other documents </w:t>
      </w:r>
      <w:r w:rsidR="00074A9A">
        <w:t>presented with the key findings</w:t>
      </w:r>
      <w:r>
        <w:t xml:space="preserve"> in</w:t>
      </w:r>
      <w:r w:rsidR="004937E8">
        <w:t xml:space="preserve"> Table 1.4</w:t>
      </w:r>
      <w:r>
        <w:t>.</w:t>
      </w:r>
    </w:p>
    <w:p w14:paraId="15C19C23" w14:textId="77777777" w:rsidR="00165E64" w:rsidRDefault="00B25CA4" w:rsidP="00165E64">
      <w:pPr>
        <w:pStyle w:val="BodyTextnospacebefore"/>
      </w:pPr>
      <w:r>
        <w:t>There are no PH or PAH clinical guidelines for Australia or New Zealand.</w:t>
      </w:r>
    </w:p>
    <w:p w14:paraId="3F8F9C05" w14:textId="77777777" w:rsidR="00B25CA4" w:rsidRDefault="00B25CA4" w:rsidP="00165E64">
      <w:pPr>
        <w:pStyle w:val="BodyTextnospacebefore"/>
      </w:pPr>
      <w:r w:rsidRPr="009F69AE">
        <w:t>Based on the Guideline recommendations and taking into account patient risk factors</w:t>
      </w:r>
      <w:r>
        <w:t xml:space="preserve">, </w:t>
      </w:r>
      <w:r w:rsidR="00074A9A">
        <w:t xml:space="preserve">the key </w:t>
      </w:r>
      <w:r>
        <w:t>treatment recommendations are as follows</w:t>
      </w:r>
      <w:r w:rsidRPr="009F69AE">
        <w:t>:</w:t>
      </w:r>
    </w:p>
    <w:p w14:paraId="0361333A" w14:textId="77777777" w:rsidR="00B25CA4" w:rsidRPr="009F69AE" w:rsidRDefault="00B25CA4" w:rsidP="00921D13">
      <w:pPr>
        <w:pStyle w:val="08Bulletsseriesofsentences"/>
      </w:pPr>
      <w:r w:rsidRPr="009F69AE">
        <w:t xml:space="preserve">Patients with WHO FC I </w:t>
      </w:r>
      <w:proofErr w:type="gramStart"/>
      <w:r w:rsidRPr="009F69AE">
        <w:t>should be monitored</w:t>
      </w:r>
      <w:proofErr w:type="gramEnd"/>
      <w:r w:rsidRPr="009F69AE">
        <w:t xml:space="preserve"> and treatment commenced on signs of clinical worsening</w:t>
      </w:r>
      <w:r>
        <w:t>.</w:t>
      </w:r>
    </w:p>
    <w:p w14:paraId="42F6EF84" w14:textId="77777777" w:rsidR="00B25CA4" w:rsidRPr="009F69AE" w:rsidRDefault="00B25CA4" w:rsidP="00921D13">
      <w:pPr>
        <w:pStyle w:val="08Bulletsseriesofsentences"/>
      </w:pPr>
      <w:r w:rsidRPr="009F69AE">
        <w:t xml:space="preserve">Oral </w:t>
      </w:r>
      <w:r>
        <w:t>PAH medicines</w:t>
      </w:r>
      <w:r w:rsidRPr="009F69AE">
        <w:t xml:space="preserve"> are standard of care for PAH, particularly for WHO FC II and III</w:t>
      </w:r>
      <w:r>
        <w:t>.</w:t>
      </w:r>
    </w:p>
    <w:p w14:paraId="164F84AE" w14:textId="77777777" w:rsidR="00B25CA4" w:rsidRPr="009F69AE" w:rsidRDefault="00B25CA4" w:rsidP="00921D13">
      <w:pPr>
        <w:pStyle w:val="08Bulletsseriesofsentences"/>
      </w:pPr>
      <w:r w:rsidRPr="009F69AE">
        <w:lastRenderedPageBreak/>
        <w:t xml:space="preserve">Prostanoids </w:t>
      </w:r>
      <w:proofErr w:type="gramStart"/>
      <w:r w:rsidRPr="009F69AE">
        <w:t>are recommended</w:t>
      </w:r>
      <w:proofErr w:type="gramEnd"/>
      <w:r w:rsidRPr="009F69AE">
        <w:t xml:space="preserve"> primarily for more severe disease (WHO FC III and IV)</w:t>
      </w:r>
      <w:r>
        <w:t xml:space="preserve"> and are not recommended for WHO FC II patients.</w:t>
      </w:r>
    </w:p>
    <w:p w14:paraId="03A1C601" w14:textId="77777777" w:rsidR="00B25CA4" w:rsidRPr="009F69AE" w:rsidRDefault="00B25CA4" w:rsidP="00921D13">
      <w:pPr>
        <w:pStyle w:val="08Bulletsseriesofsentences"/>
      </w:pPr>
      <w:r w:rsidRPr="009F69AE">
        <w:t xml:space="preserve">Monotherapy </w:t>
      </w:r>
      <w:r>
        <w:t xml:space="preserve">with oral PAH medicines </w:t>
      </w:r>
      <w:r w:rsidRPr="009F69AE">
        <w:t>remains indicated for treatment naïve patients except those with high risk factors for whom initial combinat</w:t>
      </w:r>
      <w:r w:rsidR="00EE1F96">
        <w:t>ion therapy may be appropriate.</w:t>
      </w:r>
    </w:p>
    <w:p w14:paraId="7035D014" w14:textId="77777777" w:rsidR="00B25CA4" w:rsidRDefault="00B25CA4" w:rsidP="00921D13">
      <w:pPr>
        <w:pStyle w:val="08Bulletsseriesofsentences"/>
      </w:pPr>
      <w:r w:rsidRPr="009F69AE">
        <w:t>Sequential combination or add-on therapy involving addition of another PAH agent to existing PAH therapy is standard of care after inadequate response</w:t>
      </w:r>
      <w:r>
        <w:t xml:space="preserve"> or clinical worsening.</w:t>
      </w:r>
    </w:p>
    <w:p w14:paraId="5B7C868D" w14:textId="77777777" w:rsidR="00B25CA4" w:rsidRDefault="00B25CA4" w:rsidP="00921D13">
      <w:pPr>
        <w:pStyle w:val="08Bulletsseriesofsentences"/>
      </w:pPr>
      <w:r w:rsidRPr="006C7733">
        <w:t>Current clinical algorithms consider patients in terms of patient risk factors as well as WHO</w:t>
      </w:r>
      <w:r w:rsidR="00E93086">
        <w:t> </w:t>
      </w:r>
      <w:r w:rsidR="00EE1F96">
        <w:t>FC.</w:t>
      </w:r>
    </w:p>
    <w:p w14:paraId="5342AFA8" w14:textId="77777777" w:rsidR="00B25CA4" w:rsidRDefault="00B25CA4" w:rsidP="00921D13">
      <w:pPr>
        <w:pStyle w:val="08Bulletsseriesofsentences"/>
      </w:pPr>
      <w:r w:rsidRPr="00412B24">
        <w:t xml:space="preserve">High dose CCBs are indicated in </w:t>
      </w:r>
      <w:r>
        <w:t xml:space="preserve">a small sub-set of </w:t>
      </w:r>
      <w:r w:rsidRPr="00412B24">
        <w:t xml:space="preserve">patients </w:t>
      </w:r>
      <w:r>
        <w:t>having</w:t>
      </w:r>
      <w:r w:rsidRPr="00412B24">
        <w:t xml:space="preserve"> a positive vasoreactivity response during RHC and who have certain Group 1 subtypes (IPAH, heritable PAH a</w:t>
      </w:r>
      <w:r w:rsidR="00EE1F96">
        <w:t>nd drug and toxin-induced PAH).</w:t>
      </w:r>
    </w:p>
    <w:p w14:paraId="4059911B" w14:textId="77777777" w:rsidR="00B25CA4" w:rsidRDefault="00B25CA4" w:rsidP="002D2A0A">
      <w:pPr>
        <w:pStyle w:val="BodyTextnospacebefore"/>
      </w:pPr>
      <w:r w:rsidRPr="009F69AE">
        <w:t xml:space="preserve">Treatment pathways capturing these recommendations </w:t>
      </w:r>
      <w:r>
        <w:t>have been</w:t>
      </w:r>
      <w:r w:rsidRPr="009F69AE">
        <w:t xml:space="preserve"> presented in </w:t>
      </w:r>
      <w:r w:rsidR="00505D99">
        <w:t>Table 1.</w:t>
      </w:r>
      <w:r w:rsidR="00505D99">
        <w:rPr>
          <w:noProof/>
        </w:rPr>
        <w:t>5</w:t>
      </w:r>
      <w:r w:rsidRPr="009F69AE">
        <w:t xml:space="preserve"> (patients receiving monotherapy) and </w:t>
      </w:r>
      <w:r w:rsidR="00505D99">
        <w:t>Table 1.</w:t>
      </w:r>
      <w:r w:rsidR="00505D99">
        <w:rPr>
          <w:noProof/>
        </w:rPr>
        <w:t>6</w:t>
      </w:r>
      <w:r w:rsidRPr="009F69AE">
        <w:t xml:space="preserve"> (patients receiving combination therapy).</w:t>
      </w:r>
    </w:p>
    <w:p w14:paraId="472080D1" w14:textId="77777777" w:rsidR="00027324" w:rsidRPr="009F69AE" w:rsidRDefault="00027324" w:rsidP="00121658">
      <w:pPr>
        <w:pStyle w:val="Heading3"/>
        <w:jc w:val="left"/>
      </w:pPr>
      <w:bookmarkStart w:id="248" w:name="_Toc38377515"/>
      <w:r>
        <w:t>Alignment of TGA, PBS and guideline requirements</w:t>
      </w:r>
      <w:bookmarkEnd w:id="248"/>
    </w:p>
    <w:p w14:paraId="44FA9AC2" w14:textId="77777777" w:rsidR="00027324" w:rsidRPr="009F69AE" w:rsidRDefault="00027324" w:rsidP="00121658">
      <w:pPr>
        <w:pStyle w:val="Heading4"/>
        <w:jc w:val="left"/>
      </w:pPr>
      <w:r>
        <w:t>Alignment of therapeutic recommendations</w:t>
      </w:r>
    </w:p>
    <w:p w14:paraId="5D0FCD3B" w14:textId="77777777" w:rsidR="00074A9A" w:rsidRPr="009F69AE" w:rsidRDefault="00712CC9" w:rsidP="002D2A0A">
      <w:pPr>
        <w:pStyle w:val="BodyTextnospacebefore"/>
      </w:pPr>
      <w:r>
        <w:t xml:space="preserve">A summary table of the alignment in these three areas </w:t>
      </w:r>
      <w:proofErr w:type="gramStart"/>
      <w:r>
        <w:t>has been presented</w:t>
      </w:r>
      <w:proofErr w:type="gramEnd"/>
      <w:r>
        <w:t xml:space="preserve"> with the key findings in </w:t>
      </w:r>
      <w:r w:rsidR="00505D99">
        <w:t>Table 1.</w:t>
      </w:r>
      <w:r w:rsidR="00505D99">
        <w:rPr>
          <w:noProof/>
        </w:rPr>
        <w:t>1</w:t>
      </w:r>
      <w:r w:rsidR="006314DA">
        <w:t xml:space="preserve">. </w:t>
      </w:r>
      <w:r w:rsidR="003E138E">
        <w:t>Further to this</w:t>
      </w:r>
      <w:r w:rsidR="00074A9A">
        <w:t>:</w:t>
      </w:r>
    </w:p>
    <w:p w14:paraId="42413896" w14:textId="77777777" w:rsidR="00074A9A" w:rsidRPr="004937E8" w:rsidRDefault="00074A9A" w:rsidP="004937E8">
      <w:pPr>
        <w:pStyle w:val="08Bulletsseriesofsentences"/>
      </w:pPr>
      <w:r w:rsidRPr="004937E8">
        <w:t xml:space="preserve">PAH </w:t>
      </w:r>
      <w:proofErr w:type="gramStart"/>
      <w:r w:rsidRPr="004937E8">
        <w:t>is defined</w:t>
      </w:r>
      <w:proofErr w:type="gramEnd"/>
      <w:r w:rsidRPr="004937E8">
        <w:t xml:space="preserve"> as all WHO Group 1 PH conditions. Guideline recommendations are broadly similar for treatment across the Group 1 PAH subtypes. With the exception of drug and toxin induced PAH, the subtypes in the TGA indications align reasonably well</w:t>
      </w:r>
      <w:r w:rsidR="002614AE">
        <w:t xml:space="preserve"> with current PBS restrictions.</w:t>
      </w:r>
    </w:p>
    <w:p w14:paraId="5B249866" w14:textId="77777777" w:rsidR="00074A9A" w:rsidRPr="004937E8" w:rsidRDefault="00074A9A" w:rsidP="004937E8">
      <w:pPr>
        <w:pStyle w:val="08Bulletsseriesofsentences"/>
      </w:pPr>
      <w:r w:rsidRPr="004937E8">
        <w:t>Patients with Group 1 conditions PAH-HIV or PAH</w:t>
      </w:r>
      <w:r w:rsidR="005902F5">
        <w:t xml:space="preserve"> associated with portal hypertension (PAH</w:t>
      </w:r>
      <w:r w:rsidRPr="004937E8">
        <w:t>-PH</w:t>
      </w:r>
      <w:r w:rsidR="005902F5">
        <w:t>)</w:t>
      </w:r>
      <w:r w:rsidRPr="004937E8">
        <w:t xml:space="preserve"> are currently excluded from access to PAH medicines on the PBS.</w:t>
      </w:r>
    </w:p>
    <w:p w14:paraId="25F76CF4" w14:textId="77777777" w:rsidR="00074A9A" w:rsidRPr="004937E8" w:rsidRDefault="00074A9A" w:rsidP="004937E8">
      <w:pPr>
        <w:pStyle w:val="08Bulletsseriesofsentences"/>
      </w:pPr>
      <w:r w:rsidRPr="004937E8">
        <w:t xml:space="preserve">PBS restrictions do not cover currently recommended use in WHO FC </w:t>
      </w:r>
      <w:proofErr w:type="gramStart"/>
      <w:r w:rsidRPr="004937E8">
        <w:t>II which</w:t>
      </w:r>
      <w:proofErr w:type="gramEnd"/>
      <w:r w:rsidRPr="004937E8">
        <w:t xml:space="preserve"> is considered standard of care. Current recommendations for treatment according to WHO FC are largely consistent with TGA registered indications for PAH medicines. The main exception is the PDE</w:t>
      </w:r>
      <w:r w:rsidRPr="004937E8">
        <w:noBreakHyphen/>
        <w:t xml:space="preserve">5 </w:t>
      </w:r>
      <w:proofErr w:type="gramStart"/>
      <w:r w:rsidRPr="004937E8">
        <w:t>inhibitors which are not TGA</w:t>
      </w:r>
      <w:proofErr w:type="gramEnd"/>
      <w:r w:rsidRPr="004937E8">
        <w:t xml:space="preserve"> approved for WHO FC IV but are likely to be used in combination regimens for</w:t>
      </w:r>
      <w:r w:rsidR="002614AE">
        <w:t xml:space="preserve"> all functional classes of PAH.</w:t>
      </w:r>
    </w:p>
    <w:p w14:paraId="201B95B3" w14:textId="77777777" w:rsidR="00074A9A" w:rsidRPr="004937E8" w:rsidRDefault="00074A9A" w:rsidP="004937E8">
      <w:pPr>
        <w:pStyle w:val="08Bulletsseriesofsentences"/>
      </w:pPr>
      <w:r w:rsidRPr="004937E8">
        <w:t xml:space="preserve">Some but not all recommendations for combination use </w:t>
      </w:r>
      <w:proofErr w:type="gramStart"/>
      <w:r w:rsidRPr="004937E8">
        <w:t>are supported</w:t>
      </w:r>
      <w:proofErr w:type="gramEnd"/>
      <w:r w:rsidRPr="004937E8">
        <w:t xml:space="preserve"> by the TGA indications, limited to those medicines approved more recently. Older products (bosentan, prostanoids, </w:t>
      </w:r>
      <w:proofErr w:type="gramStart"/>
      <w:r w:rsidRPr="004937E8">
        <w:t>sildenafil</w:t>
      </w:r>
      <w:proofErr w:type="gramEnd"/>
      <w:r w:rsidRPr="004937E8">
        <w:t>) are not registered for combination treatment. No combination use of PAH medicines is permitted withi</w:t>
      </w:r>
      <w:r w:rsidR="002614AE">
        <w:t>n the current PBS restrictions.</w:t>
      </w:r>
    </w:p>
    <w:p w14:paraId="5D4AAB53" w14:textId="77777777" w:rsidR="00074A9A" w:rsidRPr="002614AE" w:rsidRDefault="00074A9A" w:rsidP="004937E8">
      <w:pPr>
        <w:pStyle w:val="08Bulletsseriesofsentences"/>
        <w:rPr>
          <w:vertAlign w:val="superscript"/>
        </w:rPr>
      </w:pPr>
      <w:r w:rsidRPr="004937E8">
        <w:t xml:space="preserve">The current PBS restrictions do not permit PBS funded combination therapy. </w:t>
      </w:r>
      <w:r w:rsidR="00542929" w:rsidRPr="004937E8">
        <w:t>The February 2015 DUSC report on “Pulmonary arterial hypertension (PAH) medicines utilisation analysis” indicates that, in practice, combination therapy is achieved by adding low cost private prescription sildenafil to another of the PBS subsidised drugs</w:t>
      </w:r>
      <w:r w:rsidR="00FC2D2F" w:rsidRPr="00FC2D2F">
        <w:rPr>
          <w:vertAlign w:val="superscript"/>
        </w:rPr>
        <w:t>51</w:t>
      </w:r>
      <w:r w:rsidR="00FC2D2F">
        <w:t>.</w:t>
      </w:r>
    </w:p>
    <w:p w14:paraId="149B6AF1" w14:textId="77777777" w:rsidR="00074A9A" w:rsidRPr="004937E8" w:rsidRDefault="000D2508" w:rsidP="004937E8">
      <w:pPr>
        <w:pStyle w:val="08Bulletsseriesofsentences"/>
      </w:pPr>
      <w:r>
        <w:t xml:space="preserve">Patients with </w:t>
      </w:r>
      <w:r w:rsidR="003E138E" w:rsidRPr="004937E8">
        <w:t>PAH-CHD</w:t>
      </w:r>
      <w:r w:rsidR="00074A9A" w:rsidRPr="004937E8">
        <w:t xml:space="preserve"> have fewer treatment options than for other Group 1 subtypes. </w:t>
      </w:r>
      <w:r w:rsidR="003E138E" w:rsidRPr="004937E8">
        <w:t>Neither of the prostanoids and only t</w:t>
      </w:r>
      <w:r w:rsidR="00074A9A" w:rsidRPr="004937E8">
        <w:t xml:space="preserve">hree </w:t>
      </w:r>
      <w:r w:rsidR="003E138E" w:rsidRPr="004937E8">
        <w:t xml:space="preserve">of the </w:t>
      </w:r>
      <w:r w:rsidR="00074A9A" w:rsidRPr="004937E8">
        <w:t xml:space="preserve">oral medicines (bosentan, macitentan, </w:t>
      </w:r>
      <w:proofErr w:type="gramStart"/>
      <w:r w:rsidR="00074A9A" w:rsidRPr="004937E8">
        <w:t>riociguat</w:t>
      </w:r>
      <w:proofErr w:type="gramEnd"/>
      <w:r w:rsidR="003E138E" w:rsidRPr="004937E8">
        <w:t>)</w:t>
      </w:r>
      <w:r w:rsidR="00074A9A" w:rsidRPr="004937E8">
        <w:t xml:space="preserve"> </w:t>
      </w:r>
      <w:r w:rsidR="003E138E" w:rsidRPr="004937E8">
        <w:t>are TGA approved/</w:t>
      </w:r>
      <w:r w:rsidR="00074A9A" w:rsidRPr="004937E8">
        <w:t xml:space="preserve">PBS listed for </w:t>
      </w:r>
      <w:r>
        <w:t xml:space="preserve">these </w:t>
      </w:r>
      <w:r w:rsidR="00074A9A" w:rsidRPr="004937E8">
        <w:t xml:space="preserve">patients. The </w:t>
      </w:r>
      <w:r w:rsidR="008F6AA4">
        <w:t>2015 ESC/ERS Guidelines</w:t>
      </w:r>
      <w:r w:rsidR="00074A9A" w:rsidRPr="004937E8">
        <w:t xml:space="preserve"> </w:t>
      </w:r>
      <w:r w:rsidR="00074A9A" w:rsidRPr="004937E8">
        <w:lastRenderedPageBreak/>
        <w:t>recommendations for PAH-CHD are consensus-based due to lack of evidence in this subtype</w:t>
      </w:r>
      <w:r w:rsidR="00FC2D2F" w:rsidRPr="00FC2D2F">
        <w:rPr>
          <w:vertAlign w:val="superscript"/>
        </w:rPr>
        <w:t>8</w:t>
      </w:r>
      <w:r w:rsidR="00074A9A" w:rsidRPr="004937E8">
        <w:t>.</w:t>
      </w:r>
    </w:p>
    <w:p w14:paraId="29626696" w14:textId="77777777" w:rsidR="00074A9A" w:rsidRPr="004937E8" w:rsidRDefault="00074A9A" w:rsidP="004937E8">
      <w:pPr>
        <w:pStyle w:val="08Bulletsseriesofsentences"/>
      </w:pPr>
      <w:r w:rsidRPr="004937E8">
        <w:t xml:space="preserve">Patient groups currently unable to access any PBS subsidised PAH treatment, or PBS treatment that meets the guideline recommendations, </w:t>
      </w:r>
      <w:proofErr w:type="gramStart"/>
      <w:r w:rsidRPr="004937E8">
        <w:t>have been presented</w:t>
      </w:r>
      <w:proofErr w:type="gramEnd"/>
      <w:r w:rsidRPr="004937E8">
        <w:t xml:space="preserve"> with the key findings in </w:t>
      </w:r>
      <w:r w:rsidR="00505D99">
        <w:t>Table 1.1</w:t>
      </w:r>
      <w:r w:rsidR="00DC652D">
        <w:t>.</w:t>
      </w:r>
    </w:p>
    <w:p w14:paraId="3F064376" w14:textId="77777777" w:rsidR="00074A9A" w:rsidRPr="004937E8" w:rsidRDefault="00074A9A" w:rsidP="004937E8">
      <w:pPr>
        <w:pStyle w:val="08Bulletsseriesofsentences"/>
      </w:pPr>
      <w:r w:rsidRPr="004937E8">
        <w:t xml:space="preserve">Some combinations of PAH medicines are contraindicated for safety. A number of other potential drug interactions </w:t>
      </w:r>
      <w:proofErr w:type="gramStart"/>
      <w:r w:rsidRPr="004937E8">
        <w:t>should be taken</w:t>
      </w:r>
      <w:proofErr w:type="gramEnd"/>
      <w:r w:rsidRPr="004937E8">
        <w:t xml:space="preserve"> into account, in particular interaction b</w:t>
      </w:r>
      <w:r w:rsidR="00DC652D">
        <w:t>etween bosentan and sildenafil.</w:t>
      </w:r>
    </w:p>
    <w:p w14:paraId="6E56DDD5" w14:textId="77777777" w:rsidR="00074A9A" w:rsidRDefault="00074A9A" w:rsidP="004937E8">
      <w:pPr>
        <w:pStyle w:val="08Bulletsseriesofsentences"/>
      </w:pPr>
      <w:r w:rsidRPr="004937E8">
        <w:t xml:space="preserve">Treatment recommendations are similar between adults and children and this is reflected in the PAH restrictions on the PBS. However, only bosentan </w:t>
      </w:r>
      <w:proofErr w:type="gramStart"/>
      <w:r w:rsidRPr="004937E8">
        <w:t>is approved</w:t>
      </w:r>
      <w:proofErr w:type="gramEnd"/>
      <w:r w:rsidRPr="004937E8">
        <w:t xml:space="preserve"> in Australia for treatment of children with PAH. Sildenafil is most likely being used off-label for children in</w:t>
      </w:r>
      <w:r w:rsidRPr="007F7A28">
        <w:t xml:space="preserve"> Australia as it is in the USA, although it </w:t>
      </w:r>
      <w:proofErr w:type="gramStart"/>
      <w:r w:rsidRPr="007F7A28">
        <w:t>is approved</w:t>
      </w:r>
      <w:proofErr w:type="gramEnd"/>
      <w:r w:rsidRPr="007F7A28">
        <w:t xml:space="preserve"> in Europe for children 1-17 years old with PAH. Modified dosing </w:t>
      </w:r>
      <w:proofErr w:type="gramStart"/>
      <w:r w:rsidRPr="007F7A28">
        <w:t>is recommended</w:t>
      </w:r>
      <w:proofErr w:type="gramEnd"/>
      <w:r w:rsidRPr="007F7A28">
        <w:t xml:space="preserve"> to manage an increased mortality risk that has bee</w:t>
      </w:r>
      <w:r w:rsidR="00DC652D">
        <w:t>n observed on long-term dosing.</w:t>
      </w:r>
    </w:p>
    <w:p w14:paraId="158917A9" w14:textId="77777777" w:rsidR="00074A9A" w:rsidRPr="007F7A28" w:rsidRDefault="00074A9A" w:rsidP="00921D13">
      <w:pPr>
        <w:pStyle w:val="08Bulletsseriesofsentences"/>
      </w:pPr>
      <w:r w:rsidRPr="005978BC">
        <w:t xml:space="preserve">The current PBS restrictions provide for treatment of paediatric patients but only one of the registered drugs within the scope of this review </w:t>
      </w:r>
      <w:proofErr w:type="gramStart"/>
      <w:r w:rsidRPr="005978BC">
        <w:t>is explicitly approved</w:t>
      </w:r>
      <w:proofErr w:type="gramEnd"/>
      <w:r w:rsidRPr="005978BC">
        <w:t xml:space="preserve"> in Australia for paediatric use (bosentan). </w:t>
      </w:r>
      <w:r>
        <w:t>P</w:t>
      </w:r>
      <w:r w:rsidRPr="005978BC">
        <w:t xml:space="preserve">harmaceutical forms suitable for paediatric administration are available overseas, such as powder for oral solution or dispersible tablets, </w:t>
      </w:r>
      <w:r>
        <w:t xml:space="preserve">but </w:t>
      </w:r>
      <w:r w:rsidRPr="005978BC">
        <w:t xml:space="preserve">are not on the market in Australia. </w:t>
      </w:r>
      <w:r>
        <w:t xml:space="preserve">The lack of an appropriate pharmaceutical form can effectively exclude patients from PBS </w:t>
      </w:r>
      <w:proofErr w:type="gramStart"/>
      <w:r>
        <w:t>subsidy</w:t>
      </w:r>
      <w:proofErr w:type="gramEnd"/>
      <w:r>
        <w:t xml:space="preserve"> as compounded medicines are only available as</w:t>
      </w:r>
      <w:r w:rsidR="003B01AE">
        <w:t xml:space="preserve"> private scripts.</w:t>
      </w:r>
    </w:p>
    <w:p w14:paraId="475D7BCC" w14:textId="77777777" w:rsidR="00074A9A" w:rsidRPr="00FC25C7" w:rsidRDefault="00074A9A" w:rsidP="00921D13">
      <w:pPr>
        <w:pStyle w:val="08Bulletsseriesofsentences"/>
      </w:pPr>
      <w:r w:rsidRPr="00FC25C7">
        <w:t xml:space="preserve">Patients not satisfying guideline criteria for CCBs are at risk of serious hypotensive events and administration of </w:t>
      </w:r>
      <w:r w:rsidR="00B0148D" w:rsidRPr="00FC25C7">
        <w:t xml:space="preserve">CCBs </w:t>
      </w:r>
      <w:r w:rsidRPr="00FC25C7">
        <w:t xml:space="preserve">in such patients is strongly discouraged. The recommended patient groups and diagnostic criteria are not consistent with requirements of the current restrictions. High dose CCB therapy is off-label use, the PIs for diltiazem, </w:t>
      </w:r>
      <w:proofErr w:type="spellStart"/>
      <w:r w:rsidRPr="00FC25C7">
        <w:t>nifedipine</w:t>
      </w:r>
      <w:proofErr w:type="spellEnd"/>
      <w:r w:rsidRPr="00FC25C7">
        <w:t xml:space="preserve"> and amlodipine do not cover dosing or safet</w:t>
      </w:r>
      <w:r w:rsidR="00DC652D">
        <w:t>y information for PAH patients.</w:t>
      </w:r>
    </w:p>
    <w:p w14:paraId="68630CEF" w14:textId="77777777" w:rsidR="00712CC9" w:rsidRPr="002D7AC6" w:rsidRDefault="00027324" w:rsidP="00121658">
      <w:pPr>
        <w:pStyle w:val="Heading4"/>
        <w:jc w:val="left"/>
      </w:pPr>
      <w:r>
        <w:t xml:space="preserve">Alignment </w:t>
      </w:r>
      <w:r w:rsidR="00B12B24">
        <w:t>of diagnostic tests and</w:t>
      </w:r>
      <w:r w:rsidR="00712CC9">
        <w:t xml:space="preserve"> patient a</w:t>
      </w:r>
      <w:r w:rsidR="00712CC9" w:rsidRPr="002D7AC6">
        <w:t>ssessments</w:t>
      </w:r>
    </w:p>
    <w:p w14:paraId="3AF42622" w14:textId="77777777" w:rsidR="003E138E" w:rsidRDefault="003E138E" w:rsidP="002D2A0A">
      <w:pPr>
        <w:pStyle w:val="BodyTextnospacebefore"/>
      </w:pPr>
      <w:r>
        <w:t xml:space="preserve">A summary table of the alignment between PBS and guideline diagnostic requirements </w:t>
      </w:r>
      <w:proofErr w:type="gramStart"/>
      <w:r>
        <w:t>has been presented</w:t>
      </w:r>
      <w:proofErr w:type="gramEnd"/>
      <w:r>
        <w:t xml:space="preserve"> with the key findings in </w:t>
      </w:r>
      <w:r w:rsidR="00505D99">
        <w:t>Table 1.</w:t>
      </w:r>
      <w:r w:rsidR="00505D99">
        <w:rPr>
          <w:noProof/>
        </w:rPr>
        <w:t>1</w:t>
      </w:r>
      <w:r w:rsidR="006314DA">
        <w:t>.</w:t>
      </w:r>
    </w:p>
    <w:p w14:paraId="4367C31D" w14:textId="77777777" w:rsidR="00712CC9" w:rsidRDefault="00712CC9" w:rsidP="002D2A0A">
      <w:pPr>
        <w:pStyle w:val="BodyTextnospacebefore"/>
      </w:pPr>
      <w:r w:rsidRPr="002D7AC6">
        <w:t xml:space="preserve">The results of RHC, 6MWD and echocardiography </w:t>
      </w:r>
      <w:proofErr w:type="gramStart"/>
      <w:r w:rsidRPr="002D7AC6">
        <w:t>are currently used</w:t>
      </w:r>
      <w:proofErr w:type="gramEnd"/>
      <w:r w:rsidRPr="002D7AC6">
        <w:t xml:space="preserve"> as assessments for PBS treatment eligibility</w:t>
      </w:r>
      <w:r w:rsidR="003E138E">
        <w:t xml:space="preserve"> but certain PBS requirements do not match guideline diagnostic recommendations</w:t>
      </w:r>
      <w:r w:rsidRPr="002D7AC6">
        <w:t>.</w:t>
      </w:r>
    </w:p>
    <w:p w14:paraId="7EB5046D" w14:textId="77777777" w:rsidR="00712CC9" w:rsidRDefault="00712CC9" w:rsidP="002D2A0A">
      <w:pPr>
        <w:pStyle w:val="BodyTextnospacebefore"/>
      </w:pPr>
      <w:r w:rsidRPr="002D7AC6">
        <w:t>According to current guidelines, RHC is the gold standard for diagnosis of PAH</w:t>
      </w:r>
      <w:r>
        <w:t xml:space="preserve"> and is essential unless explicitly contraindicated. </w:t>
      </w:r>
      <w:r w:rsidR="003E138E">
        <w:t xml:space="preserve">This is consistent with the PBS </w:t>
      </w:r>
      <w:r w:rsidR="00067B4C">
        <w:t>restrictions;</w:t>
      </w:r>
      <w:r w:rsidR="003E138E">
        <w:t xml:space="preserve"> </w:t>
      </w:r>
      <w:proofErr w:type="gramStart"/>
      <w:r w:rsidR="003E138E">
        <w:t>however</w:t>
      </w:r>
      <w:proofErr w:type="gramEnd"/>
      <w:r w:rsidR="003E138E">
        <w:t xml:space="preserve"> its purpose in the guidelines appears to be distinct to that</w:t>
      </w:r>
      <w:r w:rsidR="00067B4C">
        <w:t xml:space="preserve"> for echocardiography and 6MWD:</w:t>
      </w:r>
    </w:p>
    <w:p w14:paraId="0177C216" w14:textId="77777777" w:rsidR="003E138E" w:rsidRDefault="00712CC9" w:rsidP="00921D13">
      <w:pPr>
        <w:pStyle w:val="08Bulletsseriesofsentences"/>
      </w:pPr>
      <w:r>
        <w:t xml:space="preserve">Doppler echocardiography </w:t>
      </w:r>
      <w:proofErr w:type="gramStart"/>
      <w:r>
        <w:t>is recommended</w:t>
      </w:r>
      <w:proofErr w:type="gramEnd"/>
      <w:r>
        <w:t xml:space="preserve"> </w:t>
      </w:r>
      <w:r w:rsidRPr="008C3469">
        <w:t>prior to RHC to establish a likelihood of PAH based on TRV and other factors suggestive of PAH.</w:t>
      </w:r>
      <w:r>
        <w:t xml:space="preserve"> Echocardiography is not recommended for diagnosis of </w:t>
      </w:r>
      <w:proofErr w:type="gramStart"/>
      <w:r>
        <w:t>PAH</w:t>
      </w:r>
      <w:proofErr w:type="gramEnd"/>
      <w:r>
        <w:t xml:space="preserve"> as it is unable to confirm PAH</w:t>
      </w:r>
      <w:r w:rsidRPr="008C3469">
        <w:t xml:space="preserve"> </w:t>
      </w:r>
      <w:r>
        <w:t>in patients w</w:t>
      </w:r>
      <w:r w:rsidR="00DC652D">
        <w:t>here the TRV is not measurable.</w:t>
      </w:r>
    </w:p>
    <w:p w14:paraId="6A5D7C76" w14:textId="77777777" w:rsidR="00712CC9" w:rsidRDefault="00712CC9" w:rsidP="00921D13">
      <w:pPr>
        <w:pStyle w:val="08Bulletsseriesofsentences"/>
      </w:pPr>
      <w:r w:rsidRPr="008C3469">
        <w:t xml:space="preserve">It is unlikely that RHC </w:t>
      </w:r>
      <w:proofErr w:type="gramStart"/>
      <w:r w:rsidRPr="008C3469">
        <w:t>would be performed</w:t>
      </w:r>
      <w:proofErr w:type="gramEnd"/>
      <w:r w:rsidRPr="008C3469">
        <w:t xml:space="preserve"> without first administering echocardiograph</w:t>
      </w:r>
      <w:r>
        <w:t>y</w:t>
      </w:r>
      <w:r w:rsidRPr="008C3469">
        <w:t xml:space="preserve"> as an essential preliminary test to establish whether RHC should be performed and to determine paramet</w:t>
      </w:r>
      <w:r w:rsidR="00DC652D">
        <w:t>ers for measurement during RHC.</w:t>
      </w:r>
    </w:p>
    <w:p w14:paraId="1F7CBD19" w14:textId="77777777" w:rsidR="00670DB9" w:rsidRPr="00D57B3B" w:rsidRDefault="00670DB9" w:rsidP="00921D13">
      <w:pPr>
        <w:pStyle w:val="08Bulletsseriesofsentences"/>
      </w:pPr>
      <w:r w:rsidRPr="00D57B3B">
        <w:lastRenderedPageBreak/>
        <w:t xml:space="preserve">There is no suggestion in the guidance reviewed that echocardiography should be used as a substitute for RHC. There are some contraindications for RHC, but RHC should be performed if </w:t>
      </w:r>
      <w:proofErr w:type="gramStart"/>
      <w:r w:rsidRPr="00D57B3B">
        <w:t>at all possible</w:t>
      </w:r>
      <w:proofErr w:type="gramEnd"/>
      <w:r w:rsidRPr="00D57B3B">
        <w:t xml:space="preserve"> given the magnitude of the diagnosis, as well as safety implications for inappropriate treatment. The echocardiography recommendations are very much focused on determination of right heart variables as a means to screen patients who should receive RHC, which is associated with morbidity and mortality risks and should not be administer</w:t>
      </w:r>
      <w:r w:rsidR="00DC652D">
        <w:t>ed unless absolutely necessary.</w:t>
      </w:r>
    </w:p>
    <w:p w14:paraId="0F6F1B30" w14:textId="77777777" w:rsidR="00712CC9" w:rsidRPr="00524771" w:rsidRDefault="00712CC9" w:rsidP="00921D13">
      <w:pPr>
        <w:pStyle w:val="08Bulletsseriesofsentences"/>
      </w:pPr>
      <w:r>
        <w:t xml:space="preserve">Current recommendations suggest 6MWD should be one of a panel of assessments administered at baseline and during follow-up to monitor clinical status (and disease risk factors) but that 6MWD does not on its own form the basis for treatment decisions. It is not clear that this is consistent with the purpose of the 6MWD as it currently </w:t>
      </w:r>
      <w:r w:rsidR="00DC652D">
        <w:t>stands in the PBS restrictions.</w:t>
      </w:r>
    </w:p>
    <w:p w14:paraId="3472AF45" w14:textId="77777777" w:rsidR="003E138E" w:rsidRDefault="003E138E" w:rsidP="002D2A0A">
      <w:pPr>
        <w:pStyle w:val="BodyTextnospacebefore"/>
      </w:pPr>
      <w:r>
        <w:t>In addition to the diagnosis of PAH, RHC</w:t>
      </w:r>
      <w:r w:rsidRPr="002D7AC6">
        <w:t xml:space="preserve"> </w:t>
      </w:r>
      <w:proofErr w:type="gramStart"/>
      <w:r w:rsidRPr="002D7AC6">
        <w:t>is used</w:t>
      </w:r>
      <w:proofErr w:type="gramEnd"/>
      <w:r w:rsidRPr="002D7AC6">
        <w:t xml:space="preserve"> to </w:t>
      </w:r>
      <w:r>
        <w:t>determine</w:t>
      </w:r>
      <w:r w:rsidRPr="002D7AC6">
        <w:t xml:space="preserve"> other baseline (prognostic) parameters such as </w:t>
      </w:r>
      <w:r>
        <w:t xml:space="preserve">PAWP, </w:t>
      </w:r>
      <w:r w:rsidRPr="0003499D">
        <w:t>SvO</w:t>
      </w:r>
      <w:r w:rsidRPr="0003499D">
        <w:rPr>
          <w:vertAlign w:val="subscript"/>
        </w:rPr>
        <w:t>2</w:t>
      </w:r>
      <w:r w:rsidRPr="002D7AC6">
        <w:t>, RAP</w:t>
      </w:r>
      <w:r>
        <w:t>, PVR</w:t>
      </w:r>
      <w:r w:rsidRPr="002D7AC6">
        <w:t xml:space="preserve"> and cardiac output. </w:t>
      </w:r>
      <w:r>
        <w:t>Similarly, features such as TAPSE and presence/absence of pericardial effusion form part of the ECHO composite assessment. Each of t</w:t>
      </w:r>
      <w:r w:rsidRPr="002D7AC6">
        <w:t>h</w:t>
      </w:r>
      <w:r>
        <w:t>ese outcomes</w:t>
      </w:r>
      <w:r w:rsidRPr="002D7AC6">
        <w:t>, along with 6MWD</w:t>
      </w:r>
      <w:r>
        <w:t>, form part of a</w:t>
      </w:r>
      <w:r w:rsidRPr="002D7AC6">
        <w:t xml:space="preserve"> panel of </w:t>
      </w:r>
      <w:r>
        <w:t>parameters taken at baseline</w:t>
      </w:r>
      <w:r w:rsidRPr="002D7AC6">
        <w:t xml:space="preserve"> used to determine the patient’s prognosi</w:t>
      </w:r>
      <w:r w:rsidR="00DC652D">
        <w:t>s or risk of PAH deterioration.</w:t>
      </w:r>
    </w:p>
    <w:p w14:paraId="2EBAB1B3" w14:textId="77777777" w:rsidR="00712CC9" w:rsidRDefault="00712CC9" w:rsidP="002D2A0A">
      <w:pPr>
        <w:pStyle w:val="BodyTextnospacebefore"/>
      </w:pPr>
      <w:r w:rsidRPr="00B25CA4">
        <w:t>Current guidance recommends that each PAH patient’s risk category or prognostic factors should be based on a panel of assessments performed at baseline, then repeated during follow-up to track progress against therapeutic goals and to evaluate response to treatment</w:t>
      </w:r>
      <w:r>
        <w:t xml:space="preserve">. There is no one definitive set of parameters recommended for baseline assessments. </w:t>
      </w:r>
      <w:r w:rsidR="003E138E">
        <w:t>The published algorithms and recommendations suggest that the assessment of the patient’s risk is equally important as WHO functional class</w:t>
      </w:r>
      <w:r w:rsidR="00E93086">
        <w:t xml:space="preserve"> in determining PAH treatment.</w:t>
      </w:r>
    </w:p>
    <w:p w14:paraId="4B3FEC61" w14:textId="77777777" w:rsidR="00712CC9" w:rsidRPr="002D7AC6" w:rsidRDefault="00712CC9" w:rsidP="00067B4C">
      <w:pPr>
        <w:pStyle w:val="BodyTextnospacebefore"/>
      </w:pPr>
      <w:r>
        <w:t>T</w:t>
      </w:r>
      <w:r w:rsidRPr="002D7AC6">
        <w:t>he three assessments currently required by the PAH restrictions contribute to the patient’s baseline measurements</w:t>
      </w:r>
      <w:r w:rsidR="00E93086">
        <w:t xml:space="preserve"> but do not fulfil all of them.</w:t>
      </w:r>
    </w:p>
    <w:p w14:paraId="6E5C2299" w14:textId="77777777" w:rsidR="00712CC9" w:rsidRPr="002D7AC6" w:rsidRDefault="00712CC9" w:rsidP="002D2A0A">
      <w:pPr>
        <w:pStyle w:val="BodyTextnospacebefore"/>
      </w:pPr>
      <w:r>
        <w:t xml:space="preserve">Assessment of </w:t>
      </w:r>
      <w:r w:rsidRPr="002D7AC6">
        <w:t xml:space="preserve">the patient’s </w:t>
      </w:r>
      <w:r>
        <w:t xml:space="preserve">PAH </w:t>
      </w:r>
      <w:r w:rsidRPr="002D7AC6">
        <w:t xml:space="preserve">risk </w:t>
      </w:r>
      <w:r>
        <w:t xml:space="preserve">using this approach </w:t>
      </w:r>
      <w:r w:rsidRPr="002D7AC6">
        <w:t xml:space="preserve">is a key part of treatment decisions as recommended in current guidance. However, </w:t>
      </w:r>
      <w:r>
        <w:t>a</w:t>
      </w:r>
      <w:r w:rsidRPr="002D7AC6">
        <w:t xml:space="preserve">n assessment of </w:t>
      </w:r>
      <w:r>
        <w:t xml:space="preserve">patient </w:t>
      </w:r>
      <w:r w:rsidRPr="002D7AC6">
        <w:t>prognosis or risk is not currently required for PBS subsidy</w:t>
      </w:r>
      <w:r w:rsidR="003E138E">
        <w:t xml:space="preserve"> although guidelines indicate it fulfils a similar purpose to WHO FC in making PAH treatment decisions</w:t>
      </w:r>
      <w:r w:rsidR="00E93086">
        <w:t>.</w:t>
      </w:r>
    </w:p>
    <w:p w14:paraId="5FA82DDC" w14:textId="77777777" w:rsidR="00712CC9" w:rsidRPr="00F53D1B" w:rsidRDefault="00712CC9" w:rsidP="00067B4C">
      <w:pPr>
        <w:pStyle w:val="BodyTextnospacebefore"/>
      </w:pPr>
      <w:r>
        <w:t>There was no minimum set of test criteria recommended by the guidelines as the basis of treatment decisions. Nevertheless, in the context of criteria needed for authority to prescribe, a</w:t>
      </w:r>
      <w:r w:rsidRPr="00F53D1B">
        <w:t xml:space="preserve"> distillation of essential criteria to determine treatment </w:t>
      </w:r>
      <w:r>
        <w:t>could be</w:t>
      </w:r>
      <w:r w:rsidRPr="00F53D1B">
        <w:t>:</w:t>
      </w:r>
    </w:p>
    <w:p w14:paraId="51F42883" w14:textId="77777777" w:rsidR="00712CC9" w:rsidRPr="00F53D1B" w:rsidRDefault="00712CC9" w:rsidP="00921D13">
      <w:pPr>
        <w:pStyle w:val="08Bulletsseriesofsentences"/>
      </w:pPr>
      <w:r w:rsidRPr="00F53D1B">
        <w:t>Positive diagnosis by RHC</w:t>
      </w:r>
    </w:p>
    <w:p w14:paraId="1EC31065" w14:textId="77777777" w:rsidR="00712CC9" w:rsidRPr="00F53D1B" w:rsidRDefault="00712CC9" w:rsidP="00921D13">
      <w:pPr>
        <w:pStyle w:val="08Bulletsseriesofsentences"/>
      </w:pPr>
      <w:r w:rsidRPr="00F53D1B">
        <w:t xml:space="preserve">WHO </w:t>
      </w:r>
      <w:r w:rsidR="007769E3">
        <w:t>FC</w:t>
      </w:r>
    </w:p>
    <w:p w14:paraId="3C58AE43" w14:textId="77777777" w:rsidR="00712CC9" w:rsidRPr="00F53D1B" w:rsidRDefault="00712CC9" w:rsidP="00921D13">
      <w:pPr>
        <w:pStyle w:val="08Bulletsseriesofsentences"/>
      </w:pPr>
      <w:r w:rsidRPr="00F53D1B">
        <w:t xml:space="preserve">Patient </w:t>
      </w:r>
      <w:r>
        <w:t xml:space="preserve">prognosis / </w:t>
      </w:r>
      <w:r w:rsidRPr="00F53D1B">
        <w:t xml:space="preserve">risk </w:t>
      </w:r>
      <w:r>
        <w:t xml:space="preserve">of PAH deterioration </w:t>
      </w:r>
    </w:p>
    <w:p w14:paraId="31220354" w14:textId="77777777" w:rsidR="00712CC9" w:rsidRPr="00F53D1B" w:rsidRDefault="00712CC9" w:rsidP="002D2A0A">
      <w:pPr>
        <w:pStyle w:val="BodyTextnospacebefore"/>
      </w:pPr>
      <w:r w:rsidRPr="00F53D1B">
        <w:t>Key decision criteria for patients already on treatment (or untreated Class I patients)</w:t>
      </w:r>
      <w:r>
        <w:t>:</w:t>
      </w:r>
    </w:p>
    <w:p w14:paraId="00E66FD5" w14:textId="77777777" w:rsidR="00712CC9" w:rsidRPr="00F53D1B" w:rsidRDefault="00712CC9" w:rsidP="00921D13">
      <w:pPr>
        <w:pStyle w:val="08Bulletsseriesofsentences"/>
      </w:pPr>
      <w:r w:rsidRPr="00F53D1B">
        <w:t xml:space="preserve">Disease </w:t>
      </w:r>
      <w:r>
        <w:t xml:space="preserve">status – improvement, stability, </w:t>
      </w:r>
      <w:r w:rsidRPr="00F53D1B">
        <w:t xml:space="preserve">or sustained deterioration (clinical worsening); </w:t>
      </w:r>
      <w:r>
        <w:t>and</w:t>
      </w:r>
      <w:r w:rsidRPr="00F53D1B">
        <w:t xml:space="preserve"> </w:t>
      </w:r>
    </w:p>
    <w:p w14:paraId="235CE857" w14:textId="77777777" w:rsidR="00712CC9" w:rsidRPr="00F53D1B" w:rsidRDefault="00712CC9" w:rsidP="00921D13">
      <w:pPr>
        <w:pStyle w:val="08Bulletsseriesofsentences"/>
      </w:pPr>
      <w:r w:rsidRPr="00F53D1B">
        <w:t>Whether or no</w:t>
      </w:r>
      <w:r w:rsidR="00DC652D">
        <w:t xml:space="preserve">t treatment goals </w:t>
      </w:r>
      <w:proofErr w:type="gramStart"/>
      <w:r w:rsidR="00DC652D">
        <w:t>are being met</w:t>
      </w:r>
      <w:proofErr w:type="gramEnd"/>
      <w:r w:rsidR="00DC652D">
        <w:t>.</w:t>
      </w:r>
    </w:p>
    <w:p w14:paraId="3E4A20A8" w14:textId="77777777" w:rsidR="00712CC9" w:rsidRPr="00F53D1B" w:rsidRDefault="00712CC9" w:rsidP="00921D13">
      <w:pPr>
        <w:pStyle w:val="08Bulletsseriesofsentences"/>
      </w:pPr>
      <w:r>
        <w:lastRenderedPageBreak/>
        <w:t>Input from treating PAH specialists would be essential to confirm t</w:t>
      </w:r>
      <w:r w:rsidR="00E93086">
        <w:t>hese criteria are appropriate.</w:t>
      </w:r>
    </w:p>
    <w:p w14:paraId="3CD3A436" w14:textId="77777777" w:rsidR="00712CC9" w:rsidRPr="009F69AE" w:rsidRDefault="00712CC9" w:rsidP="002D2A0A">
      <w:pPr>
        <w:pStyle w:val="BodyTextnospacebefore"/>
      </w:pPr>
      <w:r w:rsidRPr="00B25CA4">
        <w:t>The current guidelines suggest that inadequate treatment response should include clinical worsening but also failure to improve or minimal improv</w:t>
      </w:r>
      <w:r>
        <w:t>ement against therapeutic goals. Maintenance of disease status may not be appropriate in patients with milder disease. This is up to the judgement of the treating specialist.</w:t>
      </w:r>
    </w:p>
    <w:p w14:paraId="1E4F7F3D" w14:textId="77777777" w:rsidR="00712CC9" w:rsidRPr="00922EA4" w:rsidRDefault="00712CC9" w:rsidP="002D2A0A">
      <w:pPr>
        <w:pStyle w:val="BodyTextnospacebefore"/>
      </w:pPr>
      <w:r w:rsidRPr="00922EA4">
        <w:t xml:space="preserve">Several tests or criteria </w:t>
      </w:r>
      <w:proofErr w:type="gramStart"/>
      <w:r w:rsidRPr="00922EA4">
        <w:t>are specified</w:t>
      </w:r>
      <w:proofErr w:type="gramEnd"/>
      <w:r w:rsidRPr="00922EA4">
        <w:t xml:space="preserve"> in the PBS restrictions as the basis for treatment decisions that do not match guideline recommendations. This applies </w:t>
      </w:r>
      <w:proofErr w:type="gramStart"/>
      <w:r w:rsidRPr="00922EA4">
        <w:t>to</w:t>
      </w:r>
      <w:proofErr w:type="gramEnd"/>
      <w:r w:rsidRPr="00922EA4">
        <w:t>:</w:t>
      </w:r>
    </w:p>
    <w:p w14:paraId="6AD115E8" w14:textId="7B108C4D" w:rsidR="00712CC9" w:rsidRPr="00922EA4" w:rsidRDefault="00712CC9" w:rsidP="00921D13">
      <w:pPr>
        <w:pStyle w:val="08Bulletsseriesofsentences"/>
      </w:pPr>
      <w:r w:rsidRPr="00FC25C7">
        <w:t>The current criterion for determining which patients should receive vasodilators</w:t>
      </w:r>
      <w:r w:rsidR="00B0148D" w:rsidRPr="00FC25C7">
        <w:t xml:space="preserve"> with CCBs</w:t>
      </w:r>
      <w:r w:rsidRPr="00922EA4">
        <w:t xml:space="preserve"> (</w:t>
      </w:r>
      <w:r>
        <w:t xml:space="preserve">the threshold criterion of </w:t>
      </w:r>
      <w:r w:rsidRPr="00922EA4">
        <w:t>8</w:t>
      </w:r>
      <w:r w:rsidR="00067504">
        <w:t> </w:t>
      </w:r>
      <w:r w:rsidRPr="00922EA4">
        <w:t xml:space="preserve">mmHg RAP by RHC). </w:t>
      </w:r>
      <w:r>
        <w:t>Eligibility</w:t>
      </w:r>
      <w:r w:rsidRPr="00922EA4">
        <w:t xml:space="preserve"> should instead be determined by acute vasoreactivity testing</w:t>
      </w:r>
      <w:r>
        <w:t xml:space="preserve"> using a different criterion (</w:t>
      </w:r>
      <w:r w:rsidR="00505D99">
        <w:t>Table 1.</w:t>
      </w:r>
      <w:r w:rsidR="00505D99">
        <w:rPr>
          <w:noProof/>
        </w:rPr>
        <w:t>8</w:t>
      </w:r>
      <w:r>
        <w:t>)</w:t>
      </w:r>
      <w:r w:rsidRPr="00922EA4">
        <w:t>;</w:t>
      </w:r>
    </w:p>
    <w:p w14:paraId="724261CF" w14:textId="133145C0" w:rsidR="00712CC9" w:rsidRPr="00922EA4" w:rsidRDefault="00712CC9" w:rsidP="00921D13">
      <w:pPr>
        <w:pStyle w:val="08Bulletsseriesofsentences"/>
      </w:pPr>
      <w:r w:rsidRPr="00922EA4">
        <w:t>The current echocardiography criterion diagnostic of PAH in cases where RHC is unavailable (40</w:t>
      </w:r>
      <w:r w:rsidR="0040413E">
        <w:t> </w:t>
      </w:r>
      <w:r w:rsidRPr="00922EA4">
        <w:t xml:space="preserve">mmHg RVSP). </w:t>
      </w:r>
      <w:r>
        <w:t>It is recommended that probability of PAH by echocardiography</w:t>
      </w:r>
      <w:r w:rsidRPr="00922EA4">
        <w:t xml:space="preserve"> should instead be determined by TRV and/or other </w:t>
      </w:r>
      <w:r>
        <w:t>echocardiographic</w:t>
      </w:r>
      <w:r w:rsidRPr="00922EA4">
        <w:t xml:space="preserve"> features suggestive of PAH</w:t>
      </w:r>
      <w:r>
        <w:t>. This would be sufficient for a diagnosis of PAH</w:t>
      </w:r>
      <w:r w:rsidRPr="00922EA4">
        <w:t xml:space="preserve"> only in cases where</w:t>
      </w:r>
      <w:r w:rsidR="00067B4C">
        <w:t xml:space="preserve"> RHC is clearly contraindicated.</w:t>
      </w:r>
    </w:p>
    <w:p w14:paraId="77AF3E34" w14:textId="77777777" w:rsidR="00712CC9" w:rsidRPr="002D7AC6" w:rsidRDefault="00712CC9" w:rsidP="00121658">
      <w:pPr>
        <w:pStyle w:val="Heading3"/>
        <w:jc w:val="left"/>
      </w:pPr>
      <w:bookmarkStart w:id="249" w:name="_Toc38377516"/>
      <w:r w:rsidRPr="002D7AC6">
        <w:t>Other Issues</w:t>
      </w:r>
      <w:bookmarkEnd w:id="249"/>
    </w:p>
    <w:p w14:paraId="18F24269" w14:textId="77777777" w:rsidR="00712CC9" w:rsidRPr="005978BC" w:rsidRDefault="00712CC9" w:rsidP="002D2A0A">
      <w:pPr>
        <w:pStyle w:val="BodyTextnospacebefore"/>
      </w:pPr>
      <w:r w:rsidRPr="005978BC">
        <w:t>It is likely that only a modest number of centres amongst the 61 listed as designated hospitals for PBS-subsidised PAH treatment would be meeting guideline requirements. It is recommended that a centre should be treating a critical mass of PAH patients (300 patients referred for diagnosis and treatment per centre per year</w:t>
      </w:r>
      <w:r>
        <w:t xml:space="preserve"> – </w:t>
      </w:r>
      <w:r w:rsidR="00505D99" w:rsidRPr="00505D99">
        <w:rPr>
          <w:i/>
        </w:rPr>
        <w:t>PAH treatment centres</w:t>
      </w:r>
      <w:r w:rsidRPr="005978BC">
        <w:t xml:space="preserve">) </w:t>
      </w:r>
      <w:r>
        <w:t>in order</w:t>
      </w:r>
      <w:r w:rsidRPr="005978BC">
        <w:t xml:space="preserve"> to maintain</w:t>
      </w:r>
      <w:r w:rsidR="00E93086">
        <w:t xml:space="preserve"> expertise and quality of care.</w:t>
      </w:r>
    </w:p>
    <w:p w14:paraId="20EA70D1" w14:textId="77777777" w:rsidR="00712CC9" w:rsidRDefault="00712CC9" w:rsidP="002D2A0A">
      <w:pPr>
        <w:pStyle w:val="BodyTextnospacebefore"/>
      </w:pPr>
      <w:r w:rsidRPr="005978BC">
        <w:t xml:space="preserve">The terminology used in the current PBS restrictions does not reflect the current classification of different PAH subtypes and it is not clear how these </w:t>
      </w:r>
      <w:proofErr w:type="gramStart"/>
      <w:r w:rsidRPr="005978BC">
        <w:t>would be interpreted</w:t>
      </w:r>
      <w:proofErr w:type="gramEnd"/>
      <w:r w:rsidRPr="005978BC">
        <w:t xml:space="preserve"> in current clinical practice.</w:t>
      </w:r>
    </w:p>
    <w:p w14:paraId="5CF6BE04" w14:textId="77777777" w:rsidR="007E7891" w:rsidRDefault="007E7891" w:rsidP="00121658">
      <w:pPr>
        <w:spacing w:before="0" w:line="240" w:lineRule="auto"/>
      </w:pPr>
      <w:r>
        <w:br w:type="page"/>
      </w:r>
    </w:p>
    <w:p w14:paraId="00E49339" w14:textId="77777777" w:rsidR="002A2181" w:rsidRPr="00AC5AED" w:rsidRDefault="00F319D3" w:rsidP="00121658">
      <w:pPr>
        <w:pStyle w:val="Heading2"/>
        <w:numPr>
          <w:ilvl w:val="0"/>
          <w:numId w:val="0"/>
        </w:numPr>
        <w:jc w:val="left"/>
      </w:pPr>
      <w:bookmarkStart w:id="250" w:name="_Toc486514235"/>
      <w:bookmarkStart w:id="251" w:name="_Toc38377517"/>
      <w:r>
        <w:lastRenderedPageBreak/>
        <w:t xml:space="preserve">Appendix </w:t>
      </w:r>
      <w:r w:rsidR="005E4483">
        <w:t>1.</w:t>
      </w:r>
      <w:r w:rsidR="00505D99">
        <w:rPr>
          <w:noProof/>
        </w:rPr>
        <w:t>A</w:t>
      </w:r>
      <w:r>
        <w:tab/>
      </w:r>
      <w:r w:rsidR="002A2181" w:rsidRPr="00AC5AED">
        <w:t>Bibliograph</w:t>
      </w:r>
      <w:bookmarkEnd w:id="250"/>
      <w:r w:rsidR="00F65E21">
        <w:t>y</w:t>
      </w:r>
      <w:bookmarkEnd w:id="251"/>
    </w:p>
    <w:p w14:paraId="5BF0972B" w14:textId="77777777" w:rsidR="009C556B" w:rsidRPr="009C556B" w:rsidRDefault="009C556B" w:rsidP="009C556B">
      <w:pPr>
        <w:pStyle w:val="EndNoteBibliography"/>
        <w:ind w:left="720" w:hanging="720"/>
      </w:pPr>
      <w:bookmarkStart w:id="252" w:name="_ENREF_1"/>
      <w:r w:rsidRPr="009C556B">
        <w:t>1.</w:t>
      </w:r>
      <w:r w:rsidRPr="009C556B">
        <w:tab/>
        <w:t xml:space="preserve">Galie N, Manes A, Negro L, Palazzini M, Bacchi-Reggiani ML, Branzi A. A meta-analysis of randomized controlled trials in pulmonary arterial hypertension. </w:t>
      </w:r>
      <w:r w:rsidRPr="009C556B">
        <w:rPr>
          <w:i/>
        </w:rPr>
        <w:t>Eur Heart J</w:t>
      </w:r>
      <w:r w:rsidRPr="009C556B">
        <w:t>. 2009;30(4):394-403.</w:t>
      </w:r>
      <w:bookmarkEnd w:id="252"/>
    </w:p>
    <w:p w14:paraId="37E445EF" w14:textId="77777777" w:rsidR="009C556B" w:rsidRPr="009C556B" w:rsidRDefault="009C556B" w:rsidP="009C556B">
      <w:pPr>
        <w:pStyle w:val="EndNoteBibliography"/>
        <w:ind w:left="720" w:hanging="720"/>
      </w:pPr>
      <w:bookmarkStart w:id="253" w:name="_ENREF_2"/>
      <w:r w:rsidRPr="009C556B">
        <w:t>2.</w:t>
      </w:r>
      <w:r w:rsidRPr="009C556B">
        <w:tab/>
        <w:t xml:space="preserve">Strange G, Playford D, Stewart S, Deague JA, Nelson H, Kent A, et al. Pulmonary hypertension: prevalence and mortality in the Armadale echocardiography cohort. </w:t>
      </w:r>
      <w:r w:rsidRPr="009C556B">
        <w:rPr>
          <w:i/>
        </w:rPr>
        <w:t>Heart</w:t>
      </w:r>
      <w:r w:rsidRPr="009C556B">
        <w:t>. 2012;98(24):1805-11.</w:t>
      </w:r>
      <w:bookmarkEnd w:id="253"/>
    </w:p>
    <w:p w14:paraId="4B5BA3B0" w14:textId="77777777" w:rsidR="009C556B" w:rsidRPr="009C556B" w:rsidRDefault="009C556B" w:rsidP="009C556B">
      <w:pPr>
        <w:pStyle w:val="EndNoteBibliography"/>
        <w:ind w:left="720" w:hanging="720"/>
      </w:pPr>
      <w:bookmarkStart w:id="254" w:name="_ENREF_3"/>
      <w:r w:rsidRPr="009C556B">
        <w:t>3.</w:t>
      </w:r>
      <w:r w:rsidRPr="009C556B">
        <w:tab/>
        <w:t xml:space="preserve">Peacock AJ, Murphy NF, McMurray JJ, Caballero L, Stewart S. An epidemiological study of pulmonary arterial hypertension. </w:t>
      </w:r>
      <w:r w:rsidRPr="009C556B">
        <w:rPr>
          <w:i/>
        </w:rPr>
        <w:t>Eur Respir J</w:t>
      </w:r>
      <w:r w:rsidRPr="009C556B">
        <w:t>. 2007;30(1):104-9.</w:t>
      </w:r>
      <w:bookmarkEnd w:id="254"/>
    </w:p>
    <w:p w14:paraId="15A363D1" w14:textId="77777777" w:rsidR="009C556B" w:rsidRPr="009C556B" w:rsidRDefault="009C556B" w:rsidP="009C556B">
      <w:pPr>
        <w:pStyle w:val="EndNoteBibliography"/>
        <w:ind w:left="720" w:hanging="720"/>
      </w:pPr>
      <w:bookmarkStart w:id="255" w:name="_ENREF_4"/>
      <w:r w:rsidRPr="009C556B">
        <w:t>4.</w:t>
      </w:r>
      <w:r w:rsidRPr="009C556B">
        <w:tab/>
        <w:t xml:space="preserve">Jansa P, Jarkovsky J, Al-Hiti H, Popelova J, Ambroz D, Zatocil T, et al. Epidemiology and long-term survival of pulmonary arterial hypertension in the Czech Republic: a retrospective analysis of a nationwide registry. </w:t>
      </w:r>
      <w:r w:rsidRPr="009C556B">
        <w:rPr>
          <w:i/>
        </w:rPr>
        <w:t>BMC Pulm Med</w:t>
      </w:r>
      <w:r w:rsidRPr="009C556B">
        <w:t>. 2014;14:45.</w:t>
      </w:r>
      <w:bookmarkEnd w:id="255"/>
    </w:p>
    <w:p w14:paraId="38390A57" w14:textId="77777777" w:rsidR="009C556B" w:rsidRPr="009C556B" w:rsidRDefault="009C556B" w:rsidP="009C556B">
      <w:pPr>
        <w:pStyle w:val="EndNoteBibliography"/>
        <w:ind w:left="720" w:hanging="720"/>
      </w:pPr>
      <w:bookmarkStart w:id="256" w:name="_ENREF_5"/>
      <w:r w:rsidRPr="009C556B">
        <w:t>5.</w:t>
      </w:r>
      <w:r w:rsidRPr="009C556B">
        <w:tab/>
        <w:t xml:space="preserve">Strange G, Lau EM, Giannoulatou E, Corrigan C, Kotlyar E, Kermeen F, et al. Survival of Idiopathic Pulmonary Arterial Hypertension Patients in the Modern Era in Australia and New Zealand. </w:t>
      </w:r>
      <w:r w:rsidRPr="009C556B">
        <w:rPr>
          <w:i/>
        </w:rPr>
        <w:t>Heart Lung Circ</w:t>
      </w:r>
      <w:r w:rsidRPr="009C556B">
        <w:t>. 2017.</w:t>
      </w:r>
      <w:bookmarkEnd w:id="256"/>
    </w:p>
    <w:p w14:paraId="7F4E7508" w14:textId="77777777" w:rsidR="009C556B" w:rsidRPr="009C556B" w:rsidRDefault="009C556B" w:rsidP="009C556B">
      <w:pPr>
        <w:pStyle w:val="EndNoteBibliography"/>
        <w:ind w:left="720" w:hanging="720"/>
      </w:pPr>
      <w:bookmarkStart w:id="257" w:name="_ENREF_6"/>
      <w:r w:rsidRPr="009C556B">
        <w:t>6.</w:t>
      </w:r>
      <w:r w:rsidRPr="009C556B">
        <w:tab/>
        <w:t xml:space="preserve">Benza RL, Miller DP, Barst RJ, Badesch DB, Frost AE, McGoon MD. An evaluation of long-term survival from time of diagnosis in pulmonary arterial hypertension from the REVEAL Registry. </w:t>
      </w:r>
      <w:r w:rsidRPr="009C556B">
        <w:rPr>
          <w:i/>
        </w:rPr>
        <w:t>Chest</w:t>
      </w:r>
      <w:r w:rsidRPr="009C556B">
        <w:t>. 2012;142(2):448-56.</w:t>
      </w:r>
      <w:bookmarkEnd w:id="257"/>
    </w:p>
    <w:p w14:paraId="7FECB468" w14:textId="77777777" w:rsidR="009C556B" w:rsidRPr="009C556B" w:rsidRDefault="009C556B" w:rsidP="009C556B">
      <w:pPr>
        <w:pStyle w:val="EndNoteBibliography"/>
        <w:ind w:left="720" w:hanging="720"/>
      </w:pPr>
      <w:bookmarkStart w:id="258" w:name="_ENREF_7"/>
      <w:r w:rsidRPr="009C556B">
        <w:t>7.</w:t>
      </w:r>
      <w:r w:rsidRPr="009C556B">
        <w:tab/>
        <w:t xml:space="preserve">Humbert M, Sitbon O, Chaouat A, Bertocchi M, Habib G, Gressin V, et al. Pulmonary arterial hypertension in France: results from a national registry. </w:t>
      </w:r>
      <w:r w:rsidRPr="009C556B">
        <w:rPr>
          <w:i/>
        </w:rPr>
        <w:t>American journal of respiratory and critical care medicine</w:t>
      </w:r>
      <w:r w:rsidRPr="009C556B">
        <w:t>. 2006;173(9):1023-30.</w:t>
      </w:r>
      <w:bookmarkEnd w:id="258"/>
    </w:p>
    <w:p w14:paraId="36D1E767" w14:textId="77777777" w:rsidR="009C556B" w:rsidRPr="009C556B" w:rsidRDefault="009C556B" w:rsidP="009C556B">
      <w:pPr>
        <w:pStyle w:val="EndNoteBibliography"/>
        <w:ind w:left="720" w:hanging="720"/>
      </w:pPr>
      <w:bookmarkStart w:id="259" w:name="_ENREF_8"/>
      <w:r w:rsidRPr="009C556B">
        <w:t>8.</w:t>
      </w:r>
      <w:r w:rsidRPr="009C556B">
        <w:tab/>
        <w:t xml:space="preserve">Galie N, Humbert M, Vachiery JL, Gibbs S, Lang I, Torbicki A, et al. 2015 ESC/ERS Guidelines for the diagnosis and treatment of pulmonary hypertension: The Joint Task Force for the Diagnosis and Treatment of Pulmonary Hypertension of the European Society of Cardiology (ESC) and the European Respiratory Society (ERS): Endorsed by: Association for European Paediatric and Congenital Cardiology (AEPC), International Society for Heart and Lung Transplantation (ISHLT). </w:t>
      </w:r>
      <w:r w:rsidRPr="009C556B">
        <w:rPr>
          <w:i/>
        </w:rPr>
        <w:t>Eur Respir J</w:t>
      </w:r>
      <w:r w:rsidRPr="009C556B">
        <w:t>. 2015;46(4):903-75.</w:t>
      </w:r>
      <w:bookmarkEnd w:id="259"/>
    </w:p>
    <w:p w14:paraId="2DA72A5E" w14:textId="77777777" w:rsidR="009C556B" w:rsidRPr="009C556B" w:rsidRDefault="009C556B" w:rsidP="009C556B">
      <w:pPr>
        <w:pStyle w:val="EndNoteBibliography"/>
        <w:ind w:left="720" w:hanging="720"/>
      </w:pPr>
      <w:bookmarkStart w:id="260" w:name="_ENREF_9"/>
      <w:r w:rsidRPr="009C556B">
        <w:t>9.</w:t>
      </w:r>
      <w:r w:rsidRPr="009C556B">
        <w:tab/>
        <w:t xml:space="preserve">Simonneau G, Gatzoulis MA, Adatia I, Celermajer D, Denton C, Ghofrani A, et al. Updated clinical classification of pulmonary hypertension. </w:t>
      </w:r>
      <w:r w:rsidRPr="009C556B">
        <w:rPr>
          <w:i/>
        </w:rPr>
        <w:t>J Am Coll Cardiol</w:t>
      </w:r>
      <w:r w:rsidRPr="009C556B">
        <w:t>. 2013;62(25 Suppl):D34-41.</w:t>
      </w:r>
      <w:bookmarkEnd w:id="260"/>
    </w:p>
    <w:p w14:paraId="01112AB9" w14:textId="77777777" w:rsidR="009C556B" w:rsidRPr="009C556B" w:rsidRDefault="009C556B" w:rsidP="009C556B">
      <w:pPr>
        <w:pStyle w:val="EndNoteBibliography"/>
        <w:ind w:left="720" w:hanging="720"/>
      </w:pPr>
      <w:bookmarkStart w:id="261" w:name="_ENREF_10"/>
      <w:r w:rsidRPr="009C556B">
        <w:t>10.</w:t>
      </w:r>
      <w:r w:rsidRPr="009C556B">
        <w:tab/>
        <w:t xml:space="preserve">Galie N, Torbicki A, Barst R, Dartevelle P, Haworth S, Higenbottam T, et al. Guidelines on diagnosis and treatment of pulmonary arterial hypertension. The Task Force on Diagnosis and Treatment of Pulmonary Arterial Hypertension of the European Society of Cardiology. </w:t>
      </w:r>
      <w:r w:rsidRPr="009C556B">
        <w:rPr>
          <w:i/>
        </w:rPr>
        <w:t>Eur Heart J</w:t>
      </w:r>
      <w:r w:rsidRPr="009C556B">
        <w:t>. 2004;25(24):2243-78.</w:t>
      </w:r>
      <w:bookmarkEnd w:id="261"/>
    </w:p>
    <w:p w14:paraId="0AA0B521" w14:textId="77777777" w:rsidR="009C556B" w:rsidRPr="009C556B" w:rsidRDefault="009C556B" w:rsidP="009C556B">
      <w:pPr>
        <w:pStyle w:val="EndNoteBibliography"/>
        <w:ind w:left="720" w:hanging="720"/>
      </w:pPr>
      <w:bookmarkStart w:id="262" w:name="_ENREF_11"/>
      <w:r w:rsidRPr="009C556B">
        <w:t>11.</w:t>
      </w:r>
      <w:r w:rsidRPr="009C556B">
        <w:tab/>
        <w:t xml:space="preserve">Therapeutic Goods Administration. Thelin (sitaxentan): worldwide withdrawal. 2010: Available from: </w:t>
      </w:r>
      <w:r w:rsidRPr="00F4698B">
        <w:t>https://www.tga.gov.au/alert/thelin-sitaxentan-worldwide-withdrawal</w:t>
      </w:r>
      <w:r w:rsidRPr="009C556B">
        <w:t>.</w:t>
      </w:r>
      <w:bookmarkEnd w:id="262"/>
    </w:p>
    <w:p w14:paraId="52517620" w14:textId="77777777" w:rsidR="009C556B" w:rsidRPr="009C556B" w:rsidRDefault="009C556B" w:rsidP="009C556B">
      <w:pPr>
        <w:pStyle w:val="EndNoteBibliography"/>
        <w:ind w:left="720" w:hanging="720"/>
      </w:pPr>
      <w:bookmarkStart w:id="263" w:name="_ENREF_12"/>
      <w:r w:rsidRPr="009C556B">
        <w:t>12.</w:t>
      </w:r>
      <w:r w:rsidRPr="009C556B">
        <w:tab/>
        <w:t xml:space="preserve">Moonen A, Garsia R, Youssef P, Torzillo P, Corte T, Boehm C, et al. Outcomes of pulmonary arterial hypertension therapy in Australia: is monotherapy adequate? </w:t>
      </w:r>
      <w:r w:rsidRPr="009C556B">
        <w:rPr>
          <w:i/>
        </w:rPr>
        <w:t>Intern Med J</w:t>
      </w:r>
      <w:r w:rsidRPr="009C556B">
        <w:t>. 2017;47(10):1124-8.</w:t>
      </w:r>
      <w:bookmarkEnd w:id="263"/>
    </w:p>
    <w:p w14:paraId="1A2D8561" w14:textId="77777777" w:rsidR="009C556B" w:rsidRPr="009C556B" w:rsidRDefault="009C556B" w:rsidP="009C556B">
      <w:pPr>
        <w:pStyle w:val="EndNoteBibliography"/>
        <w:ind w:left="720" w:hanging="720"/>
      </w:pPr>
      <w:bookmarkStart w:id="264" w:name="_ENREF_13"/>
      <w:r w:rsidRPr="009C556B">
        <w:t>13.</w:t>
      </w:r>
      <w:r w:rsidRPr="009C556B">
        <w:tab/>
        <w:t xml:space="preserve">Prior DL, Adams H, Williams TJ. Update on pharmacotherapy for pulmonary hypertension. </w:t>
      </w:r>
      <w:r w:rsidRPr="009C556B">
        <w:rPr>
          <w:i/>
        </w:rPr>
        <w:t>Med J Aust</w:t>
      </w:r>
      <w:r w:rsidRPr="009C556B">
        <w:t>. 2016;205(6):271-6.</w:t>
      </w:r>
      <w:bookmarkEnd w:id="264"/>
    </w:p>
    <w:p w14:paraId="5F628AA4" w14:textId="77777777" w:rsidR="009C556B" w:rsidRPr="009C556B" w:rsidRDefault="009C556B" w:rsidP="009C556B">
      <w:pPr>
        <w:pStyle w:val="EndNoteBibliography"/>
        <w:ind w:left="720" w:hanging="720"/>
      </w:pPr>
      <w:bookmarkStart w:id="265" w:name="_ENREF_14"/>
      <w:r w:rsidRPr="009C556B">
        <w:lastRenderedPageBreak/>
        <w:t>14.</w:t>
      </w:r>
      <w:r w:rsidRPr="009C556B">
        <w:tab/>
        <w:t xml:space="preserve">Strange G, Lau EM, Giannoulatou E, Corrigan C, Kotlyar E, Kermeen F, et al. Survival of Idiopathic Pulmonary Arterial Hypertension Patients in the Modern Era in Australia and New Zealand. </w:t>
      </w:r>
      <w:r w:rsidRPr="009C556B">
        <w:rPr>
          <w:i/>
        </w:rPr>
        <w:t>Heart Lung Circ</w:t>
      </w:r>
      <w:r w:rsidRPr="009C556B">
        <w:t>. 2017.</w:t>
      </w:r>
      <w:bookmarkEnd w:id="265"/>
    </w:p>
    <w:p w14:paraId="626D9C74" w14:textId="77777777" w:rsidR="009C556B" w:rsidRPr="009C556B" w:rsidRDefault="009C556B" w:rsidP="009C556B">
      <w:pPr>
        <w:pStyle w:val="EndNoteBibliography"/>
        <w:ind w:left="720" w:hanging="720"/>
      </w:pPr>
      <w:bookmarkStart w:id="266" w:name="_ENREF_15"/>
      <w:r w:rsidRPr="009C556B">
        <w:t>15.</w:t>
      </w:r>
      <w:r w:rsidRPr="009C556B">
        <w:tab/>
        <w:t xml:space="preserve">Farber HW, Miller DP, Meltzer LA, McGoon MD. Treatment of patients with pulmonary arterial hypertension at the time of death or deterioration to functional class IV: insights from the REVEAL Registry. </w:t>
      </w:r>
      <w:r w:rsidRPr="009C556B">
        <w:rPr>
          <w:i/>
        </w:rPr>
        <w:t>J Heart Lung Transplant</w:t>
      </w:r>
      <w:r w:rsidRPr="009C556B">
        <w:t>. 2013;32(11):1114-22.</w:t>
      </w:r>
      <w:bookmarkEnd w:id="266"/>
    </w:p>
    <w:p w14:paraId="2217F70B" w14:textId="77777777" w:rsidR="009C556B" w:rsidRPr="009C556B" w:rsidRDefault="009C556B" w:rsidP="009C556B">
      <w:pPr>
        <w:pStyle w:val="EndNoteBibliography"/>
        <w:ind w:left="720" w:hanging="720"/>
      </w:pPr>
      <w:bookmarkStart w:id="267" w:name="_ENREF_16"/>
      <w:r w:rsidRPr="009C556B">
        <w:t>16.</w:t>
      </w:r>
      <w:r w:rsidRPr="009C556B">
        <w:tab/>
        <w:t xml:space="preserve">Morrisroe K, Stevens W, Huq M, Prior D, Sahhar J, Ngian GS, et al. Survival and quality of life in incident systemic sclerosis-related pulmonary arterial hypertension. </w:t>
      </w:r>
      <w:r w:rsidRPr="009C556B">
        <w:rPr>
          <w:i/>
        </w:rPr>
        <w:t>Arthritis Res Ther</w:t>
      </w:r>
      <w:r w:rsidRPr="009C556B">
        <w:t>. 2017;19(1):122.</w:t>
      </w:r>
      <w:bookmarkEnd w:id="267"/>
    </w:p>
    <w:p w14:paraId="0C6D1FDD" w14:textId="77777777" w:rsidR="009C556B" w:rsidRPr="009C556B" w:rsidRDefault="009C556B" w:rsidP="009C556B">
      <w:pPr>
        <w:pStyle w:val="EndNoteBibliography"/>
        <w:ind w:left="720" w:hanging="720"/>
      </w:pPr>
      <w:bookmarkStart w:id="268" w:name="_ENREF_17"/>
      <w:r w:rsidRPr="009C556B">
        <w:t>17.</w:t>
      </w:r>
      <w:r w:rsidRPr="009C556B">
        <w:tab/>
        <w:t xml:space="preserve">ADAPTE Collaboration. The ADAPTE process: Resource toolkit for guideline adaptation. Version 2. 2009: Available from: </w:t>
      </w:r>
      <w:r w:rsidRPr="00F4698B">
        <w:t>http://www.g-i-n.net/</w:t>
      </w:r>
      <w:r w:rsidRPr="009C556B">
        <w:t>.</w:t>
      </w:r>
      <w:bookmarkEnd w:id="268"/>
    </w:p>
    <w:p w14:paraId="516C23F8" w14:textId="77777777" w:rsidR="009C556B" w:rsidRPr="009C556B" w:rsidRDefault="009C556B" w:rsidP="009C556B">
      <w:pPr>
        <w:pStyle w:val="EndNoteBibliography"/>
        <w:ind w:left="720" w:hanging="720"/>
      </w:pPr>
      <w:bookmarkStart w:id="269" w:name="_ENREF_18"/>
      <w:r w:rsidRPr="009C556B">
        <w:t>18.</w:t>
      </w:r>
      <w:r w:rsidRPr="009C556B">
        <w:tab/>
        <w:t xml:space="preserve">Appraisal of Guidelines for Research and Evaluation. AGREE II Instrument. 2017: Available from: </w:t>
      </w:r>
      <w:r w:rsidRPr="00F4698B">
        <w:t>https://www.agreetrust.org/</w:t>
      </w:r>
      <w:r w:rsidRPr="009C556B">
        <w:t>.</w:t>
      </w:r>
      <w:bookmarkEnd w:id="269"/>
    </w:p>
    <w:p w14:paraId="3CACD442" w14:textId="77777777" w:rsidR="009C556B" w:rsidRPr="009C556B" w:rsidRDefault="009C556B" w:rsidP="009C556B">
      <w:pPr>
        <w:pStyle w:val="EndNoteBibliography"/>
        <w:ind w:left="720" w:hanging="720"/>
      </w:pPr>
      <w:bookmarkStart w:id="270" w:name="_ENREF_19"/>
      <w:r w:rsidRPr="009C556B">
        <w:t>19.</w:t>
      </w:r>
      <w:r w:rsidRPr="009C556B">
        <w:tab/>
        <w:t xml:space="preserve">Taichman DB, Ornelas J, Chung L, Klinger JR, Lewis S, Mandel J, et al. Pharmacologic therapy for pulmonary arterial hypertension in adults: CHEST guideline and expert panel report. </w:t>
      </w:r>
      <w:r w:rsidRPr="009C556B">
        <w:rPr>
          <w:i/>
        </w:rPr>
        <w:t>Chest</w:t>
      </w:r>
      <w:r w:rsidRPr="009C556B">
        <w:t>. 2014;146(2):449-75.</w:t>
      </w:r>
      <w:bookmarkEnd w:id="270"/>
    </w:p>
    <w:p w14:paraId="4D57C8C9" w14:textId="77777777" w:rsidR="009C556B" w:rsidRPr="009C556B" w:rsidRDefault="009C556B" w:rsidP="009C556B">
      <w:pPr>
        <w:pStyle w:val="EndNoteBibliography"/>
        <w:ind w:left="720" w:hanging="720"/>
      </w:pPr>
      <w:bookmarkStart w:id="271" w:name="_ENREF_20"/>
      <w:r w:rsidRPr="009C556B">
        <w:t>20.</w:t>
      </w:r>
      <w:r w:rsidRPr="009C556B">
        <w:tab/>
        <w:t xml:space="preserve">McLaughlin VV, Archer SL, Badesch DB, Barst RJ, Farber HW, Lindner JR, et al. ACCF/AHA 2009 expert consensus document on pulmonary hypertension a report of the American College of Cardiology Foundation Task Force on Expert Consensus Documents and the American Heart Association developed in collaboration with the American College of Chest Physicians; American Thoracic Society, Inc.; and the Pulmonary Hypertension Association. </w:t>
      </w:r>
      <w:r w:rsidRPr="009C556B">
        <w:rPr>
          <w:i/>
        </w:rPr>
        <w:t>J Am Coll Cardiol</w:t>
      </w:r>
      <w:r w:rsidRPr="009C556B">
        <w:t>. 2009;53(17):1573-619.</w:t>
      </w:r>
      <w:bookmarkEnd w:id="271"/>
    </w:p>
    <w:p w14:paraId="3BBE9492" w14:textId="77777777" w:rsidR="009C556B" w:rsidRPr="009C556B" w:rsidRDefault="009C556B" w:rsidP="009C556B">
      <w:pPr>
        <w:pStyle w:val="EndNoteBibliography"/>
        <w:ind w:left="720" w:hanging="720"/>
      </w:pPr>
      <w:bookmarkStart w:id="272" w:name="_ENREF_21"/>
      <w:r w:rsidRPr="009C556B">
        <w:t>21.</w:t>
      </w:r>
      <w:r w:rsidRPr="009C556B">
        <w:tab/>
        <w:t xml:space="preserve">Expert Panel on Thoracic I, Sirajuddin A, Donnelly EF, Crabtree TP, Henry TS, Iannettoni MD, et al. ACR Appropriateness Criteria((R)) Suspected Pulmonary Hypertension. </w:t>
      </w:r>
      <w:r w:rsidRPr="009C556B">
        <w:rPr>
          <w:i/>
        </w:rPr>
        <w:t>J Am Coll Radiol</w:t>
      </w:r>
      <w:r w:rsidRPr="009C556B">
        <w:t>. 2017;14(5S):S350-S61.</w:t>
      </w:r>
      <w:bookmarkEnd w:id="272"/>
    </w:p>
    <w:p w14:paraId="19567ECE" w14:textId="77777777" w:rsidR="009C556B" w:rsidRPr="009C556B" w:rsidRDefault="009C556B" w:rsidP="009C556B">
      <w:pPr>
        <w:pStyle w:val="EndNoteBibliography"/>
        <w:ind w:left="720" w:hanging="720"/>
      </w:pPr>
      <w:bookmarkStart w:id="273" w:name="_ENREF_22"/>
      <w:r w:rsidRPr="009C556B">
        <w:t>22.</w:t>
      </w:r>
      <w:r w:rsidRPr="009C556B">
        <w:tab/>
        <w:t xml:space="preserve">Abman SH, Hansmann G, Archer SL, Ivy DD, Adatia I, Chung WK, et al. Pediatric Pulmonary Hypertension: Guidelines From the American Heart Association and American Thoracic Society. </w:t>
      </w:r>
      <w:r w:rsidRPr="009C556B">
        <w:rPr>
          <w:i/>
        </w:rPr>
        <w:t>Circulation</w:t>
      </w:r>
      <w:r w:rsidRPr="009C556B">
        <w:t>. 2015;132(21):2037-99.</w:t>
      </w:r>
      <w:bookmarkEnd w:id="273"/>
    </w:p>
    <w:p w14:paraId="264B6F8B" w14:textId="77777777" w:rsidR="009C556B" w:rsidRPr="009C556B" w:rsidRDefault="009C556B" w:rsidP="009C556B">
      <w:pPr>
        <w:pStyle w:val="EndNoteBibliography"/>
        <w:ind w:left="720" w:hanging="720"/>
      </w:pPr>
      <w:bookmarkStart w:id="274" w:name="_ENREF_23"/>
      <w:r w:rsidRPr="009C556B">
        <w:t>23.</w:t>
      </w:r>
      <w:r w:rsidRPr="009C556B">
        <w:tab/>
        <w:t xml:space="preserve">Ivy DD, Abman SH, Barst RJ, Berger RM, Bonnet D, Fleming TR, et al. Pediatric pulmonary hypertension. </w:t>
      </w:r>
      <w:r w:rsidRPr="009C556B">
        <w:rPr>
          <w:i/>
        </w:rPr>
        <w:t>J Am Coll Cardiol</w:t>
      </w:r>
      <w:r w:rsidRPr="009C556B">
        <w:t>. 2013;62(25 Suppl):D117-26.</w:t>
      </w:r>
      <w:bookmarkEnd w:id="274"/>
    </w:p>
    <w:p w14:paraId="3702DEA5" w14:textId="77777777" w:rsidR="009C556B" w:rsidRPr="009C556B" w:rsidRDefault="009C556B" w:rsidP="009C556B">
      <w:pPr>
        <w:pStyle w:val="EndNoteBibliography"/>
        <w:ind w:left="720" w:hanging="720"/>
      </w:pPr>
      <w:bookmarkStart w:id="275" w:name="_ENREF_24"/>
      <w:r w:rsidRPr="009C556B">
        <w:t>24.</w:t>
      </w:r>
      <w:r w:rsidRPr="009C556B">
        <w:tab/>
        <w:t xml:space="preserve">Hoeper MM, Bogaard HJ, Condliffe R, Frantz R, Khanna D, Kurzyna M, et al. Definitions and diagnosis of pulmonary hypertension. </w:t>
      </w:r>
      <w:r w:rsidRPr="009C556B">
        <w:rPr>
          <w:i/>
        </w:rPr>
        <w:t>J Am Coll Cardiol</w:t>
      </w:r>
      <w:r w:rsidRPr="009C556B">
        <w:t>. 2013;62(25 Suppl):D42-50.</w:t>
      </w:r>
      <w:bookmarkEnd w:id="275"/>
    </w:p>
    <w:p w14:paraId="04242DCC" w14:textId="77777777" w:rsidR="009C556B" w:rsidRPr="009C556B" w:rsidRDefault="009C556B" w:rsidP="009C556B">
      <w:pPr>
        <w:pStyle w:val="EndNoteBibliography"/>
        <w:ind w:left="720" w:hanging="720"/>
      </w:pPr>
      <w:bookmarkStart w:id="276" w:name="_ENREF_25"/>
      <w:r w:rsidRPr="009C556B">
        <w:t>25.</w:t>
      </w:r>
      <w:r w:rsidRPr="009C556B">
        <w:tab/>
        <w:t>CADTH. Drugs for Pulmonary Arterial Hypertension: Comparative Efficacy, Safety, and Cost-Effectiveness - Recommendations Report.</w:t>
      </w:r>
      <w:r w:rsidR="00011758">
        <w:t xml:space="preserve"> </w:t>
      </w:r>
      <w:r w:rsidRPr="009C556B">
        <w:t>Drugs for Pulmonary Arterial Hypertension: Comparative Efficacy, Safety, and Cost-Effectiveness - Recommendations Report. Ottawa (ON)2015.</w:t>
      </w:r>
      <w:bookmarkEnd w:id="276"/>
    </w:p>
    <w:p w14:paraId="7AFD9404" w14:textId="77777777" w:rsidR="009C556B" w:rsidRPr="009C556B" w:rsidRDefault="009C556B" w:rsidP="009C556B">
      <w:pPr>
        <w:pStyle w:val="EndNoteBibliography"/>
        <w:ind w:left="720" w:hanging="720"/>
      </w:pPr>
      <w:bookmarkStart w:id="277" w:name="_ENREF_26"/>
      <w:r w:rsidRPr="009C556B">
        <w:t>26.</w:t>
      </w:r>
      <w:r w:rsidRPr="009C556B">
        <w:tab/>
        <w:t xml:space="preserve">National Institute for Health and Care Excellence. NICE Guidance. Pulmonary arterial hypertension (adults) - drugs [ID12]. 2008: Available from: </w:t>
      </w:r>
      <w:r w:rsidRPr="00F4698B">
        <w:t>https://www.nice.org.uk/Guidance/InDevelopment/GID-TAG382/Documents</w:t>
      </w:r>
      <w:r w:rsidRPr="009C556B">
        <w:t>.</w:t>
      </w:r>
      <w:bookmarkEnd w:id="277"/>
    </w:p>
    <w:p w14:paraId="6D246466" w14:textId="77777777" w:rsidR="009C556B" w:rsidRPr="009C556B" w:rsidRDefault="009C556B" w:rsidP="009C556B">
      <w:pPr>
        <w:pStyle w:val="EndNoteBibliography"/>
        <w:ind w:left="720" w:hanging="720"/>
      </w:pPr>
      <w:bookmarkStart w:id="278" w:name="_ENREF_27"/>
      <w:r w:rsidRPr="009C556B">
        <w:t>27.</w:t>
      </w:r>
      <w:r w:rsidRPr="009C556B">
        <w:tab/>
        <w:t xml:space="preserve">National Health Service England. NHS Commissioning. A01. Specialised Respiratory. Targeted Therapies for use in Pulmonary Hypertension in Adults. 2015: Available from: </w:t>
      </w:r>
      <w:r w:rsidRPr="00F4698B">
        <w:t>https://www.england.nhs.uk/commissioning/spec-services/npc-crg/group-a/a01/</w:t>
      </w:r>
      <w:r w:rsidRPr="009C556B">
        <w:t>.</w:t>
      </w:r>
      <w:bookmarkEnd w:id="278"/>
    </w:p>
    <w:p w14:paraId="282C7C24" w14:textId="77777777" w:rsidR="009C556B" w:rsidRPr="009C556B" w:rsidRDefault="009C556B" w:rsidP="009C556B">
      <w:pPr>
        <w:pStyle w:val="EndNoteBibliography"/>
        <w:ind w:left="720" w:hanging="720"/>
      </w:pPr>
      <w:bookmarkStart w:id="279" w:name="_ENREF_28"/>
      <w:r w:rsidRPr="009C556B">
        <w:lastRenderedPageBreak/>
        <w:t>28.</w:t>
      </w:r>
      <w:r w:rsidRPr="009C556B">
        <w:tab/>
        <w:t xml:space="preserve">Rudski LG, Lai WW, Afilalo J, Hua L, Handschumacher MD, Chandrasekaran K, et al. Guidelines for the echocardiographic assessment of the right heart in adults: a report from the American Society of Echocardiography endorsed by the European Association of Echocardiography, a registered branch of the European Society of Cardiology, and the Canadian Society of Echocardiography. </w:t>
      </w:r>
      <w:r w:rsidRPr="009C556B">
        <w:rPr>
          <w:i/>
        </w:rPr>
        <w:t>J Am Soc Echocardiogr</w:t>
      </w:r>
      <w:r w:rsidRPr="009C556B">
        <w:t>. 2010;23(7):685-713; quiz 86-8.</w:t>
      </w:r>
      <w:bookmarkEnd w:id="279"/>
    </w:p>
    <w:p w14:paraId="4DA337E3" w14:textId="77777777" w:rsidR="009C556B" w:rsidRPr="009C556B" w:rsidRDefault="009C556B" w:rsidP="009C556B">
      <w:pPr>
        <w:pStyle w:val="EndNoteBibliography"/>
        <w:ind w:left="720" w:hanging="720"/>
      </w:pPr>
      <w:bookmarkStart w:id="280" w:name="_ENREF_29"/>
      <w:r w:rsidRPr="009C556B">
        <w:t>29.</w:t>
      </w:r>
      <w:r w:rsidRPr="009C556B">
        <w:tab/>
        <w:t xml:space="preserve">McLaughlin VV, Shah SJ, Souza R, Humbert M. Management of pulmonary arterial hypertension. </w:t>
      </w:r>
      <w:r w:rsidRPr="009C556B">
        <w:rPr>
          <w:i/>
        </w:rPr>
        <w:t>J Am Coll Cardiol</w:t>
      </w:r>
      <w:r w:rsidRPr="009C556B">
        <w:t>. 2015;65(18):1976-97.</w:t>
      </w:r>
      <w:bookmarkEnd w:id="280"/>
    </w:p>
    <w:p w14:paraId="09A3CBE5" w14:textId="77777777" w:rsidR="009C556B" w:rsidRPr="009C556B" w:rsidRDefault="009C556B" w:rsidP="009C556B">
      <w:pPr>
        <w:pStyle w:val="EndNoteBibliography"/>
        <w:ind w:left="720" w:hanging="720"/>
      </w:pPr>
      <w:bookmarkStart w:id="281" w:name="_ENREF_30"/>
      <w:r w:rsidRPr="009C556B">
        <w:t>30.</w:t>
      </w:r>
      <w:r w:rsidRPr="009C556B">
        <w:tab/>
        <w:t xml:space="preserve">Bossone E, D'Andrea A, D'Alto M, Citro R, Argiento P, Ferrara F, et al. Echocardiography in pulmonary arterial hypertension: from diagnosis to prognosis. </w:t>
      </w:r>
      <w:r w:rsidRPr="009C556B">
        <w:rPr>
          <w:i/>
        </w:rPr>
        <w:t>J Am Soc Echocardiogr</w:t>
      </w:r>
      <w:r w:rsidRPr="009C556B">
        <w:t>. 2013;26(1):1-14.</w:t>
      </w:r>
      <w:bookmarkEnd w:id="281"/>
    </w:p>
    <w:p w14:paraId="6BD1CE28" w14:textId="77777777" w:rsidR="009C556B" w:rsidRPr="009C556B" w:rsidRDefault="009C556B" w:rsidP="009C556B">
      <w:pPr>
        <w:pStyle w:val="EndNoteBibliography"/>
        <w:ind w:left="720" w:hanging="720"/>
      </w:pPr>
      <w:bookmarkStart w:id="282" w:name="_ENREF_31"/>
      <w:r w:rsidRPr="009C556B">
        <w:t>31.</w:t>
      </w:r>
      <w:r w:rsidRPr="009C556B">
        <w:tab/>
        <w:t xml:space="preserve">Rosenkranz S, Preston IR. Right heart catheterisation: best practice and pitfalls in pulmonary hypertension. </w:t>
      </w:r>
      <w:r w:rsidRPr="009C556B">
        <w:rPr>
          <w:i/>
        </w:rPr>
        <w:t>Eur Respir Rev</w:t>
      </w:r>
      <w:r w:rsidRPr="009C556B">
        <w:t>. 2015;24(138):642-52.</w:t>
      </w:r>
      <w:bookmarkEnd w:id="282"/>
    </w:p>
    <w:p w14:paraId="6ADEB6AF" w14:textId="77777777" w:rsidR="009C556B" w:rsidRPr="009C556B" w:rsidRDefault="009C556B" w:rsidP="009C556B">
      <w:pPr>
        <w:pStyle w:val="EndNoteBibliography"/>
        <w:ind w:left="720" w:hanging="720"/>
      </w:pPr>
      <w:bookmarkStart w:id="283" w:name="_ENREF_32"/>
      <w:r w:rsidRPr="009C556B">
        <w:t>32.</w:t>
      </w:r>
      <w:r w:rsidRPr="009C556B">
        <w:tab/>
        <w:t xml:space="preserve">Grunig E, Peacock AJ. Imaging the heart in pulmonary hypertension: an update. </w:t>
      </w:r>
      <w:r w:rsidRPr="009C556B">
        <w:rPr>
          <w:i/>
        </w:rPr>
        <w:t>Eur Respir Rev</w:t>
      </w:r>
      <w:r w:rsidRPr="009C556B">
        <w:t>. 2015;24(138):653-64.</w:t>
      </w:r>
      <w:bookmarkEnd w:id="283"/>
    </w:p>
    <w:p w14:paraId="7D1355FA" w14:textId="77777777" w:rsidR="009C556B" w:rsidRPr="009C556B" w:rsidRDefault="009C556B" w:rsidP="009C556B">
      <w:pPr>
        <w:pStyle w:val="EndNoteBibliography"/>
        <w:ind w:left="720" w:hanging="720"/>
      </w:pPr>
      <w:bookmarkStart w:id="284" w:name="_ENREF_33"/>
      <w:r w:rsidRPr="009C556B">
        <w:t>33.</w:t>
      </w:r>
      <w:r w:rsidRPr="009C556B">
        <w:tab/>
        <w:t xml:space="preserve">Benza RL, Gomberg-Maitland M, Miller DP, Frost A, Frantz RP, Foreman AJ, et al. The REVEAL Registry risk score calculator in patients newly diagnosed with pulmonary arterial hypertension. </w:t>
      </w:r>
      <w:r w:rsidRPr="009C556B">
        <w:rPr>
          <w:i/>
        </w:rPr>
        <w:t>Chest</w:t>
      </w:r>
      <w:r w:rsidRPr="009C556B">
        <w:t>. 2012;141(2):354-62.</w:t>
      </w:r>
      <w:bookmarkEnd w:id="284"/>
    </w:p>
    <w:p w14:paraId="69D64224" w14:textId="77777777" w:rsidR="009C556B" w:rsidRPr="009C556B" w:rsidRDefault="009C556B" w:rsidP="009C556B">
      <w:pPr>
        <w:pStyle w:val="EndNoteBibliography"/>
        <w:ind w:left="720" w:hanging="720"/>
      </w:pPr>
      <w:bookmarkStart w:id="285" w:name="_ENREF_34"/>
      <w:r w:rsidRPr="009C556B">
        <w:t>34.</w:t>
      </w:r>
      <w:r w:rsidRPr="009C556B">
        <w:tab/>
        <w:t xml:space="preserve">Galie N, Simonneau G, Barst RJ, Badesch D, Rubin L. Clinical worsening in trials of pulmonary arterial hypertension: results and implications. </w:t>
      </w:r>
      <w:r w:rsidRPr="009C556B">
        <w:rPr>
          <w:i/>
        </w:rPr>
        <w:t>Curr Opin Pulm Med</w:t>
      </w:r>
      <w:r w:rsidRPr="009C556B">
        <w:t>. 2010;16 Suppl 1:S11-9.</w:t>
      </w:r>
      <w:bookmarkEnd w:id="285"/>
    </w:p>
    <w:p w14:paraId="5BB455B0" w14:textId="77777777" w:rsidR="009C556B" w:rsidRPr="009C556B" w:rsidRDefault="009C556B" w:rsidP="009C556B">
      <w:pPr>
        <w:pStyle w:val="EndNoteBibliography"/>
        <w:ind w:left="720" w:hanging="720"/>
      </w:pPr>
      <w:bookmarkStart w:id="286" w:name="_ENREF_35"/>
      <w:r w:rsidRPr="009C556B">
        <w:t>35.</w:t>
      </w:r>
      <w:r w:rsidRPr="009C556B">
        <w:tab/>
        <w:t xml:space="preserve">Srinivas NR. Clinical drug-drug interactions of bosentan, a potent endothelial receptor antagonist, with various drugs: Physiological role of enzymes and transporters. </w:t>
      </w:r>
      <w:r w:rsidRPr="009C556B">
        <w:rPr>
          <w:i/>
        </w:rPr>
        <w:t>Gen Physiol Biophys</w:t>
      </w:r>
      <w:r w:rsidRPr="009C556B">
        <w:t>. 2016;35(3):243-58.</w:t>
      </w:r>
      <w:bookmarkEnd w:id="286"/>
    </w:p>
    <w:p w14:paraId="30482F62" w14:textId="77777777" w:rsidR="009C556B" w:rsidRPr="009C556B" w:rsidRDefault="009C556B" w:rsidP="009C556B">
      <w:pPr>
        <w:pStyle w:val="EndNoteBibliography"/>
        <w:ind w:left="720" w:hanging="720"/>
      </w:pPr>
      <w:bookmarkStart w:id="287" w:name="_ENREF_36"/>
      <w:r w:rsidRPr="009C556B">
        <w:t>36.</w:t>
      </w:r>
      <w:r w:rsidRPr="009C556B">
        <w:tab/>
        <w:t xml:space="preserve">Paul GA, Gibbs JS, Boobis AR, Abbas A, Wilkins MR. Bosentan decreases the plasma concentration of sildenafil when coprescribed in pulmonary hypertension. </w:t>
      </w:r>
      <w:r w:rsidRPr="009C556B">
        <w:rPr>
          <w:i/>
        </w:rPr>
        <w:t>Br J Clin Pharmacol</w:t>
      </w:r>
      <w:r w:rsidRPr="009C556B">
        <w:t>. 2005;60(1):107-12.</w:t>
      </w:r>
      <w:bookmarkEnd w:id="287"/>
    </w:p>
    <w:p w14:paraId="5C4E9266" w14:textId="77777777" w:rsidR="009C556B" w:rsidRPr="009C556B" w:rsidRDefault="009C556B" w:rsidP="009C556B">
      <w:pPr>
        <w:pStyle w:val="EndNoteBibliography"/>
        <w:ind w:left="720" w:hanging="720"/>
      </w:pPr>
      <w:bookmarkStart w:id="288" w:name="_ENREF_37"/>
      <w:r w:rsidRPr="009C556B">
        <w:t>37.</w:t>
      </w:r>
      <w:r w:rsidRPr="009C556B">
        <w:tab/>
        <w:t xml:space="preserve">European Medicines Agency. Opsumit: EPAR - Product Information. 2017: Available from: </w:t>
      </w:r>
      <w:r w:rsidRPr="00F4698B">
        <w:t>http://www.ema.europa.eu/ema/index.jsp?curl=pages/medicines/human/medicines/002697/human_med_001717.jsp&amp;mid=WC0b01ac058001d124</w:t>
      </w:r>
      <w:r w:rsidRPr="009C556B">
        <w:t>.</w:t>
      </w:r>
      <w:bookmarkEnd w:id="288"/>
    </w:p>
    <w:p w14:paraId="4D533E0D" w14:textId="77777777" w:rsidR="009C556B" w:rsidRPr="009C556B" w:rsidRDefault="009C556B" w:rsidP="009C556B">
      <w:pPr>
        <w:pStyle w:val="EndNoteBibliography"/>
        <w:ind w:left="720" w:hanging="720"/>
      </w:pPr>
      <w:bookmarkStart w:id="289" w:name="_ENREF_38"/>
      <w:r w:rsidRPr="009C556B">
        <w:t>38.</w:t>
      </w:r>
      <w:r w:rsidRPr="009C556B">
        <w:tab/>
        <w:t xml:space="preserve">Bagga H, Chia KS, Freeman D, Hales L, Henderson DS, Kotlyar E, et al. The initial 18 months of the first multi-disciplinary regional Pulmonary Arterial Hypertension Clinic in Australia. </w:t>
      </w:r>
      <w:r w:rsidRPr="009C556B">
        <w:rPr>
          <w:i/>
        </w:rPr>
        <w:t>Aust J Rural Health</w:t>
      </w:r>
      <w:r w:rsidRPr="009C556B">
        <w:t>. 2011;19(2):89-94.</w:t>
      </w:r>
      <w:bookmarkEnd w:id="289"/>
    </w:p>
    <w:p w14:paraId="0D806140" w14:textId="77777777" w:rsidR="009C556B" w:rsidRPr="009C556B" w:rsidRDefault="009C556B" w:rsidP="009C556B">
      <w:pPr>
        <w:pStyle w:val="EndNoteBibliography"/>
        <w:ind w:left="720" w:hanging="720"/>
      </w:pPr>
      <w:bookmarkStart w:id="290" w:name="_ENREF_39"/>
      <w:r w:rsidRPr="009C556B">
        <w:t>39.</w:t>
      </w:r>
      <w:r w:rsidRPr="009C556B">
        <w:tab/>
        <w:t xml:space="preserve">Therapeutic Goods Administration. AusPAR: Sildenafil. 2011: Available from: </w:t>
      </w:r>
      <w:r w:rsidRPr="00F4698B">
        <w:t>https://www.tga.gov.au/auspar/auspar-sildenafil</w:t>
      </w:r>
      <w:r w:rsidRPr="009C556B">
        <w:t>.</w:t>
      </w:r>
      <w:bookmarkEnd w:id="290"/>
    </w:p>
    <w:p w14:paraId="111F96A4" w14:textId="77777777" w:rsidR="009C556B" w:rsidRPr="009C556B" w:rsidRDefault="009C556B" w:rsidP="009C556B">
      <w:pPr>
        <w:pStyle w:val="EndNoteBibliography"/>
        <w:ind w:left="720" w:hanging="720"/>
      </w:pPr>
      <w:bookmarkStart w:id="291" w:name="_ENREF_40"/>
      <w:r w:rsidRPr="009C556B">
        <w:t>40.</w:t>
      </w:r>
      <w:r w:rsidRPr="009C556B">
        <w:tab/>
        <w:t xml:space="preserve">U.S. Food &amp; Drug Administration. FDA Drug Safety Communication: FDA recommends against use of Revatio (sildenafil) in children with pulmonary hypertension. 2014: Available from: </w:t>
      </w:r>
      <w:r w:rsidRPr="00F4698B">
        <w:t>https://www.fda.gov/Drugs/DrugSafety/ucm317123.htm</w:t>
      </w:r>
      <w:r w:rsidRPr="009C556B">
        <w:t>.</w:t>
      </w:r>
      <w:bookmarkEnd w:id="291"/>
    </w:p>
    <w:p w14:paraId="03E2C283" w14:textId="77777777" w:rsidR="009C556B" w:rsidRPr="009C556B" w:rsidRDefault="009C556B" w:rsidP="009C556B">
      <w:pPr>
        <w:pStyle w:val="EndNoteBibliography"/>
        <w:ind w:left="720" w:hanging="720"/>
      </w:pPr>
      <w:bookmarkStart w:id="292" w:name="_ENREF_41"/>
      <w:r w:rsidRPr="009C556B">
        <w:t>41.</w:t>
      </w:r>
      <w:r w:rsidRPr="009C556B">
        <w:tab/>
        <w:t xml:space="preserve">U.S. Food &amp; Drug Administration. Past Meeting Materials, Pediatric Advisory Committee: 2015 Meeting Materials. 2015: Available from: </w:t>
      </w:r>
      <w:r w:rsidRPr="00F4698B">
        <w:t>https://www.fda.gov/AdvisoryCommittees/CommitteesMeetingMaterials/PediatricAdvisoryCommittee/ucm416405.htm</w:t>
      </w:r>
      <w:r w:rsidRPr="009C556B">
        <w:t>.</w:t>
      </w:r>
      <w:bookmarkEnd w:id="292"/>
    </w:p>
    <w:p w14:paraId="2D4CC028" w14:textId="77777777" w:rsidR="009C556B" w:rsidRPr="009C556B" w:rsidRDefault="009C556B" w:rsidP="009C556B">
      <w:pPr>
        <w:pStyle w:val="EndNoteBibliography"/>
        <w:ind w:left="720" w:hanging="720"/>
      </w:pPr>
      <w:bookmarkStart w:id="293" w:name="_ENREF_42"/>
      <w:r w:rsidRPr="009C556B">
        <w:lastRenderedPageBreak/>
        <w:t>42.</w:t>
      </w:r>
      <w:r w:rsidRPr="009C556B">
        <w:tab/>
        <w:t xml:space="preserve">U.S. Food &amp; Drug Administration. FDA Drug Safety Communication: FDA clarifies Warning about Pediatric Use of Revatio (sildenafil) for Pulmonary Arterial Hypertension. 2012: Available from: </w:t>
      </w:r>
      <w:r w:rsidRPr="00F4698B">
        <w:t>https://www.fda.gov/Drugs/DrugSafety/ucm390876.htm</w:t>
      </w:r>
      <w:r w:rsidRPr="009C556B">
        <w:t>.</w:t>
      </w:r>
      <w:bookmarkEnd w:id="293"/>
    </w:p>
    <w:p w14:paraId="74748A95" w14:textId="77777777" w:rsidR="009C556B" w:rsidRPr="009C556B" w:rsidRDefault="009C556B" w:rsidP="009C556B">
      <w:pPr>
        <w:pStyle w:val="EndNoteBibliography"/>
        <w:ind w:left="720" w:hanging="720"/>
      </w:pPr>
      <w:bookmarkStart w:id="294" w:name="_ENREF_43"/>
      <w:r w:rsidRPr="009C556B">
        <w:t>43.</w:t>
      </w:r>
      <w:r w:rsidRPr="009C556B">
        <w:tab/>
        <w:t>European Medicines Agency. Revatio-000638-Article 45/020: EPAR - Assessment Report. 2012.</w:t>
      </w:r>
      <w:bookmarkEnd w:id="294"/>
    </w:p>
    <w:p w14:paraId="35F55DFB" w14:textId="77777777" w:rsidR="009C556B" w:rsidRPr="009C556B" w:rsidRDefault="009C556B" w:rsidP="009C556B">
      <w:pPr>
        <w:pStyle w:val="EndNoteBibliography"/>
        <w:ind w:left="720" w:hanging="720"/>
      </w:pPr>
      <w:bookmarkStart w:id="295" w:name="_ENREF_44"/>
      <w:r w:rsidRPr="009C556B">
        <w:t>44.</w:t>
      </w:r>
      <w:r w:rsidRPr="009C556B">
        <w:tab/>
        <w:t xml:space="preserve">Silverton N, Meineri M, Djaiani G. The controversy of right ventricular systolic pressure: is it time to abandon the pulmonary artery catheter? </w:t>
      </w:r>
      <w:r w:rsidRPr="009C556B">
        <w:rPr>
          <w:i/>
        </w:rPr>
        <w:t>Anaesthesia</w:t>
      </w:r>
      <w:r w:rsidRPr="009C556B">
        <w:t>. 2015;70(3):241-4.</w:t>
      </w:r>
      <w:bookmarkEnd w:id="295"/>
    </w:p>
    <w:p w14:paraId="212336BC" w14:textId="77777777" w:rsidR="009C556B" w:rsidRPr="009C556B" w:rsidRDefault="009C556B" w:rsidP="009C556B">
      <w:pPr>
        <w:pStyle w:val="EndNoteBibliography"/>
        <w:ind w:left="720" w:hanging="720"/>
      </w:pPr>
      <w:bookmarkStart w:id="296" w:name="_ENREF_45"/>
      <w:r w:rsidRPr="009C556B">
        <w:t>45.</w:t>
      </w:r>
      <w:r w:rsidRPr="009C556B">
        <w:tab/>
        <w:t xml:space="preserve">National Pulmonary Hypertension Centres of United Kingdom and Ireland Physicians' Committee. Centre details. 2017: Available from: </w:t>
      </w:r>
      <w:r w:rsidRPr="00F4698B">
        <w:t>http://www.pulmonaryhypertensioncentres.co.uk/centres/index.html</w:t>
      </w:r>
      <w:r w:rsidRPr="009C556B">
        <w:t>.</w:t>
      </w:r>
      <w:bookmarkEnd w:id="296"/>
    </w:p>
    <w:p w14:paraId="5EF787E3" w14:textId="77777777" w:rsidR="009C556B" w:rsidRPr="009C556B" w:rsidRDefault="009C556B" w:rsidP="009C556B">
      <w:pPr>
        <w:pStyle w:val="EndNoteBibliography"/>
        <w:ind w:left="720" w:hanging="720"/>
      </w:pPr>
      <w:bookmarkStart w:id="297" w:name="_ENREF_46"/>
      <w:r w:rsidRPr="009C556B">
        <w:t>46.</w:t>
      </w:r>
      <w:r w:rsidRPr="009C556B">
        <w:tab/>
        <w:t xml:space="preserve">Swedish National Quality Registries. National Quality Registry for Pulmonary Arterial Hypertension (PAH). 2017: Available from: </w:t>
      </w:r>
      <w:r w:rsidRPr="00F4698B">
        <w:t>http://kvalitetsregister.se/englishpages/findaregistry/registerarkivenglish/nationalqualityregistryforpulmonaryarterialhypertensionpah.2205.html</w:t>
      </w:r>
      <w:r w:rsidRPr="009C556B">
        <w:t>.</w:t>
      </w:r>
      <w:bookmarkEnd w:id="297"/>
    </w:p>
    <w:p w14:paraId="5924F524" w14:textId="77777777" w:rsidR="009C556B" w:rsidRPr="009C556B" w:rsidRDefault="009C556B" w:rsidP="009C556B">
      <w:pPr>
        <w:pStyle w:val="EndNoteBibliography"/>
        <w:ind w:left="720" w:hanging="720"/>
      </w:pPr>
      <w:bookmarkStart w:id="298" w:name="_ENREF_47"/>
      <w:r w:rsidRPr="009C556B">
        <w:t>47.</w:t>
      </w:r>
      <w:r w:rsidRPr="009C556B">
        <w:tab/>
        <w:t xml:space="preserve">Pulmonary Hypertension Association of Canada. Canadian Medical Centres Specializing in the Treatment of Pulmonary Hypertension. 2017: Available from: </w:t>
      </w:r>
      <w:r w:rsidRPr="00F4698B">
        <w:t>http://www.phacanada.ca/en/patient-and-caregiver-resources/patients/clinical-directory/</w:t>
      </w:r>
      <w:r w:rsidRPr="009C556B">
        <w:t>.</w:t>
      </w:r>
      <w:bookmarkEnd w:id="298"/>
    </w:p>
    <w:p w14:paraId="79DD5292" w14:textId="77777777" w:rsidR="009C556B" w:rsidRPr="009C556B" w:rsidRDefault="009C556B" w:rsidP="009C556B">
      <w:pPr>
        <w:pStyle w:val="EndNoteBibliography"/>
        <w:ind w:left="720" w:hanging="720"/>
      </w:pPr>
      <w:bookmarkStart w:id="299" w:name="_ENREF_48"/>
      <w:r w:rsidRPr="009C556B">
        <w:t>48.</w:t>
      </w:r>
      <w:r w:rsidRPr="009C556B">
        <w:tab/>
        <w:t>Pulmonary Hypertension Association of Australia. Pulmonary Hypertension Treatment Centres. 2017</w:t>
      </w:r>
      <w:bookmarkEnd w:id="299"/>
      <w:r w:rsidR="008C3A25">
        <w:t xml:space="preserve">: </w:t>
      </w:r>
      <w:r w:rsidR="008C3A25" w:rsidRPr="008C3A25">
        <w:t xml:space="preserve">Available from: </w:t>
      </w:r>
      <w:r w:rsidR="008C3A25" w:rsidRPr="00F4698B">
        <w:t>http://www.phna.info/ph-treatment-centres.html</w:t>
      </w:r>
      <w:r w:rsidR="008C3A25" w:rsidRPr="008C3A25">
        <w:t>.</w:t>
      </w:r>
    </w:p>
    <w:p w14:paraId="3AB5ABD7" w14:textId="77777777" w:rsidR="009C556B" w:rsidRPr="009C556B" w:rsidRDefault="009C556B" w:rsidP="009C556B">
      <w:pPr>
        <w:pStyle w:val="EndNoteBibliography"/>
        <w:ind w:left="720" w:hanging="720"/>
      </w:pPr>
      <w:bookmarkStart w:id="300" w:name="_ENREF_49"/>
      <w:r w:rsidRPr="009C556B">
        <w:t>49.</w:t>
      </w:r>
      <w:r w:rsidRPr="009C556B">
        <w:tab/>
        <w:t xml:space="preserve">Pulmonary Hypertension Association of Australia. PH Specialist Centres. 2017: Available from: </w:t>
      </w:r>
      <w:r w:rsidRPr="00F4698B">
        <w:t>http://www.phaaustralia.com/page/19/ph-specialist-centres</w:t>
      </w:r>
      <w:r w:rsidRPr="009C556B">
        <w:t>.</w:t>
      </w:r>
      <w:bookmarkEnd w:id="300"/>
    </w:p>
    <w:p w14:paraId="668E3A3C" w14:textId="77777777" w:rsidR="009C556B" w:rsidRPr="009C556B" w:rsidRDefault="009C556B" w:rsidP="009C556B">
      <w:pPr>
        <w:pStyle w:val="EndNoteBibliography"/>
        <w:ind w:left="720" w:hanging="720"/>
      </w:pPr>
      <w:bookmarkStart w:id="301" w:name="_ENREF_50"/>
      <w:r w:rsidRPr="009C556B">
        <w:t>50.</w:t>
      </w:r>
      <w:r w:rsidRPr="009C556B">
        <w:tab/>
        <w:t xml:space="preserve">Pulmonary Hypertension Association of Australia. Approved PAH designated (prescribing) centres. 2017: Available from: </w:t>
      </w:r>
      <w:r w:rsidRPr="00F4698B">
        <w:t>http://www.phaaustralia.com/page/20/approved-ph-prescribing-centres</w:t>
      </w:r>
      <w:r w:rsidRPr="009C556B">
        <w:t>.</w:t>
      </w:r>
      <w:bookmarkEnd w:id="301"/>
    </w:p>
    <w:p w14:paraId="795CF58C" w14:textId="77777777" w:rsidR="009C556B" w:rsidRPr="009C556B" w:rsidRDefault="009C556B" w:rsidP="009C556B">
      <w:pPr>
        <w:pStyle w:val="EndNoteBibliography"/>
        <w:ind w:left="720" w:hanging="720"/>
      </w:pPr>
      <w:bookmarkStart w:id="302" w:name="_ENREF_51"/>
      <w:r w:rsidRPr="009C556B">
        <w:t>51.</w:t>
      </w:r>
      <w:r w:rsidRPr="009C556B">
        <w:tab/>
        <w:t xml:space="preserve">Drug Utitilisation Sub-Committee. Pulmonary Arterial Hypertension (PAH) medicines utilisation analysis. 2015: Available from: </w:t>
      </w:r>
      <w:r w:rsidRPr="00F4698B">
        <w:t>http://www.pbs.gov.au/info/industry/listing/participants/public-release-docs/pulm-art-hypertension/pulmonary-arterial-hypertension-pah-medicines-utilisation</w:t>
      </w:r>
      <w:r w:rsidRPr="009C556B">
        <w:t>.</w:t>
      </w:r>
      <w:bookmarkEnd w:id="302"/>
    </w:p>
    <w:p w14:paraId="7E44EF52" w14:textId="77777777" w:rsidR="00BA09E3" w:rsidRDefault="00BA09E3" w:rsidP="00D14982">
      <w:pPr>
        <w:ind w:left="720"/>
      </w:pPr>
    </w:p>
    <w:p w14:paraId="359E198C" w14:textId="77777777" w:rsidR="00064D19" w:rsidRDefault="00064D19" w:rsidP="00121658"/>
    <w:p w14:paraId="0D46D3F9" w14:textId="77777777" w:rsidR="00064D19" w:rsidRPr="007151BC" w:rsidRDefault="00064D19" w:rsidP="00121658">
      <w:pPr>
        <w:pStyle w:val="References"/>
        <w:ind w:left="0"/>
        <w:rPr>
          <w:rFonts w:ascii="Calibri" w:hAnsi="Calibri"/>
        </w:rPr>
        <w:sectPr w:rsidR="00064D19" w:rsidRPr="007151BC" w:rsidSect="00D51AE3">
          <w:headerReference w:type="even" r:id="rId37"/>
          <w:headerReference w:type="default" r:id="rId38"/>
          <w:footerReference w:type="default" r:id="rId39"/>
          <w:headerReference w:type="first" r:id="rId40"/>
          <w:footnotePr>
            <w:numFmt w:val="chicago"/>
          </w:footnotePr>
          <w:pgSz w:w="11906" w:h="16838"/>
          <w:pgMar w:top="1134" w:right="1134" w:bottom="1134" w:left="1134" w:header="709" w:footer="709" w:gutter="0"/>
          <w:cols w:space="708"/>
          <w:docGrid w:linePitch="360"/>
        </w:sectPr>
      </w:pPr>
    </w:p>
    <w:p w14:paraId="713EAF33" w14:textId="77777777" w:rsidR="001B7B5A" w:rsidRDefault="00F319D3" w:rsidP="00121658">
      <w:pPr>
        <w:pStyle w:val="Heading2"/>
        <w:pageBreakBefore/>
        <w:numPr>
          <w:ilvl w:val="0"/>
          <w:numId w:val="0"/>
        </w:numPr>
        <w:jc w:val="left"/>
      </w:pPr>
      <w:bookmarkStart w:id="305" w:name="_Ref508898759"/>
      <w:bookmarkStart w:id="306" w:name="_Toc38377518"/>
      <w:bookmarkStart w:id="307" w:name="_Ref501279722"/>
      <w:bookmarkStart w:id="308" w:name="_Ref502136851"/>
      <w:bookmarkStart w:id="309" w:name="_Toc502867728"/>
      <w:r>
        <w:lastRenderedPageBreak/>
        <w:t xml:space="preserve">Appendix </w:t>
      </w:r>
      <w:r w:rsidR="005E4483">
        <w:t>1.</w:t>
      </w:r>
      <w:bookmarkEnd w:id="305"/>
      <w:r w:rsidR="005E4483">
        <w:t>B</w:t>
      </w:r>
      <w:r>
        <w:tab/>
      </w:r>
      <w:r w:rsidR="001B7B5A">
        <w:t>Further ARTG and PBS information for PAH medicines</w:t>
      </w:r>
      <w:bookmarkEnd w:id="306"/>
    </w:p>
    <w:p w14:paraId="0CD43D21" w14:textId="77777777" w:rsidR="00064D19" w:rsidRPr="00F319D3" w:rsidRDefault="00560313" w:rsidP="002D2A0A">
      <w:pPr>
        <w:pStyle w:val="Caption"/>
        <w:ind w:left="0" w:firstLine="0"/>
        <w:jc w:val="left"/>
      </w:pPr>
      <w:bookmarkStart w:id="310" w:name="_Ref508898959"/>
      <w:bookmarkStart w:id="311" w:name="_Toc29377244"/>
      <w:r w:rsidRPr="00F319D3">
        <w:t>Table B.</w:t>
      </w:r>
      <w:r w:rsidR="00505D99">
        <w:rPr>
          <w:noProof/>
        </w:rPr>
        <w:t>7</w:t>
      </w:r>
      <w:bookmarkEnd w:id="307"/>
      <w:bookmarkEnd w:id="308"/>
      <w:bookmarkEnd w:id="310"/>
      <w:r w:rsidR="003D386D">
        <w:tab/>
      </w:r>
      <w:r w:rsidR="00064D19" w:rsidRPr="00F319D3">
        <w:t>PAH Brands Registered in Australia</w:t>
      </w:r>
      <w:bookmarkEnd w:id="309"/>
      <w:bookmarkEnd w:id="3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H Brands Registered in Australia"/>
      </w:tblPr>
      <w:tblGrid>
        <w:gridCol w:w="1395"/>
        <w:gridCol w:w="8559"/>
        <w:gridCol w:w="2936"/>
        <w:gridCol w:w="1670"/>
      </w:tblGrid>
      <w:tr w:rsidR="00064D19" w:rsidRPr="002D2A0A" w14:paraId="563E89C2" w14:textId="77777777" w:rsidTr="00C978EB">
        <w:trPr>
          <w:cantSplit/>
          <w:tblHeader/>
        </w:trPr>
        <w:tc>
          <w:tcPr>
            <w:tcW w:w="456" w:type="pct"/>
            <w:tcBorders>
              <w:bottom w:val="single" w:sz="4" w:space="0" w:color="auto"/>
            </w:tcBorders>
            <w:shd w:val="clear" w:color="auto" w:fill="BFBFBF" w:themeFill="background1" w:themeFillShade="BF"/>
            <w:vAlign w:val="center"/>
          </w:tcPr>
          <w:p w14:paraId="4539C95E" w14:textId="77777777" w:rsidR="00064D19" w:rsidRPr="002D2A0A" w:rsidRDefault="00064D19" w:rsidP="002D2A0A">
            <w:pPr>
              <w:spacing w:beforeLines="40" w:before="96" w:afterLines="40" w:after="96" w:line="240" w:lineRule="auto"/>
              <w:rPr>
                <w:rFonts w:ascii="Arial" w:hAnsi="Arial" w:cs="Arial"/>
                <w:b/>
                <w:caps/>
                <w:color w:val="000000"/>
                <w:spacing w:val="5"/>
                <w:kern w:val="28"/>
                <w:sz w:val="20"/>
                <w:szCs w:val="20"/>
                <w:lang w:val="en-US"/>
              </w:rPr>
            </w:pPr>
            <w:r w:rsidRPr="002D2A0A">
              <w:rPr>
                <w:rFonts w:ascii="Arial" w:hAnsi="Arial" w:cs="Arial"/>
                <w:b/>
                <w:sz w:val="20"/>
                <w:szCs w:val="20"/>
              </w:rPr>
              <w:t>Drug</w:t>
            </w:r>
          </w:p>
        </w:tc>
        <w:tc>
          <w:tcPr>
            <w:tcW w:w="2947" w:type="pct"/>
            <w:shd w:val="clear" w:color="auto" w:fill="BFBFBF" w:themeFill="background1" w:themeFillShade="BF"/>
            <w:vAlign w:val="center"/>
          </w:tcPr>
          <w:p w14:paraId="54EF05B2" w14:textId="77777777" w:rsidR="00064D19" w:rsidRPr="002D2A0A" w:rsidRDefault="00064D19" w:rsidP="002D2A0A">
            <w:pPr>
              <w:spacing w:beforeLines="40" w:before="96" w:afterLines="40" w:after="96" w:line="240" w:lineRule="auto"/>
              <w:ind w:right="-57"/>
              <w:rPr>
                <w:rFonts w:ascii="Arial" w:hAnsi="Arial" w:cs="Arial"/>
                <w:b/>
                <w:sz w:val="20"/>
                <w:szCs w:val="20"/>
              </w:rPr>
            </w:pPr>
            <w:r w:rsidRPr="002D2A0A">
              <w:rPr>
                <w:rFonts w:ascii="Arial" w:hAnsi="Arial" w:cs="Arial"/>
                <w:b/>
                <w:sz w:val="20"/>
                <w:szCs w:val="20"/>
              </w:rPr>
              <w:t>Registered Brands</w:t>
            </w:r>
            <w:r w:rsidRPr="002D2A0A">
              <w:rPr>
                <w:rFonts w:ascii="Arial" w:hAnsi="Arial" w:cs="Arial"/>
                <w:b/>
                <w:sz w:val="20"/>
                <w:szCs w:val="20"/>
                <w:vertAlign w:val="superscript"/>
              </w:rPr>
              <w:t>†</w:t>
            </w:r>
          </w:p>
        </w:tc>
        <w:tc>
          <w:tcPr>
            <w:tcW w:w="1016" w:type="pct"/>
            <w:shd w:val="clear" w:color="auto" w:fill="BFBFBF" w:themeFill="background1" w:themeFillShade="BF"/>
            <w:vAlign w:val="center"/>
          </w:tcPr>
          <w:p w14:paraId="70BA62BD" w14:textId="77777777" w:rsidR="00064D19" w:rsidRPr="002D2A0A" w:rsidRDefault="00064D19" w:rsidP="002D2A0A">
            <w:pPr>
              <w:spacing w:beforeLines="40" w:before="96" w:afterLines="40" w:after="96" w:line="240" w:lineRule="auto"/>
              <w:ind w:right="-57"/>
              <w:rPr>
                <w:rFonts w:ascii="Arial" w:hAnsi="Arial" w:cs="Arial"/>
                <w:b/>
                <w:sz w:val="20"/>
                <w:szCs w:val="20"/>
              </w:rPr>
            </w:pPr>
            <w:r w:rsidRPr="002D2A0A">
              <w:rPr>
                <w:rFonts w:ascii="Arial" w:hAnsi="Arial" w:cs="Arial"/>
                <w:b/>
                <w:sz w:val="20"/>
                <w:szCs w:val="20"/>
              </w:rPr>
              <w:t>TGA Sponsor</w:t>
            </w:r>
          </w:p>
        </w:tc>
        <w:tc>
          <w:tcPr>
            <w:tcW w:w="581" w:type="pct"/>
            <w:shd w:val="clear" w:color="auto" w:fill="BFBFBF" w:themeFill="background1" w:themeFillShade="BF"/>
            <w:vAlign w:val="center"/>
          </w:tcPr>
          <w:p w14:paraId="396AEE23" w14:textId="77777777" w:rsidR="00064D19" w:rsidRPr="002D2A0A" w:rsidRDefault="00064D19" w:rsidP="002D2A0A">
            <w:pPr>
              <w:spacing w:beforeLines="40" w:before="96" w:afterLines="40" w:after="96" w:line="240" w:lineRule="auto"/>
              <w:ind w:right="-57"/>
              <w:rPr>
                <w:rFonts w:ascii="Arial" w:hAnsi="Arial" w:cs="Arial"/>
                <w:b/>
                <w:sz w:val="20"/>
                <w:szCs w:val="20"/>
              </w:rPr>
            </w:pPr>
            <w:r w:rsidRPr="002D2A0A">
              <w:rPr>
                <w:rFonts w:ascii="Arial" w:hAnsi="Arial" w:cs="Arial"/>
                <w:b/>
                <w:sz w:val="20"/>
                <w:szCs w:val="20"/>
              </w:rPr>
              <w:t>PBS Listed</w:t>
            </w:r>
          </w:p>
        </w:tc>
      </w:tr>
      <w:tr w:rsidR="00064D19" w:rsidRPr="002D2A0A" w14:paraId="7EE97C73" w14:textId="77777777" w:rsidTr="00C978EB">
        <w:tc>
          <w:tcPr>
            <w:tcW w:w="456" w:type="pct"/>
            <w:vMerge w:val="restart"/>
            <w:tcBorders>
              <w:bottom w:val="nil"/>
            </w:tcBorders>
          </w:tcPr>
          <w:p w14:paraId="3837B789"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Bosentan</w:t>
            </w:r>
          </w:p>
        </w:tc>
        <w:tc>
          <w:tcPr>
            <w:tcW w:w="2947" w:type="pct"/>
            <w:tcBorders>
              <w:bottom w:val="single" w:sz="4" w:space="0" w:color="auto"/>
            </w:tcBorders>
            <w:vAlign w:val="center"/>
          </w:tcPr>
          <w:p w14:paraId="4C88D75D"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b/>
                <w:sz w:val="20"/>
                <w:szCs w:val="20"/>
                <w:u w:val="single"/>
              </w:rPr>
              <w:t>*</w:t>
            </w:r>
            <w:proofErr w:type="spellStart"/>
            <w:r w:rsidR="00060C26" w:rsidRPr="002D2A0A">
              <w:rPr>
                <w:rFonts w:ascii="Arial" w:hAnsi="Arial" w:cs="Arial"/>
                <w:b/>
                <w:sz w:val="20"/>
                <w:szCs w:val="20"/>
                <w:u w:val="single"/>
              </w:rPr>
              <w:t>Tracleer</w:t>
            </w:r>
            <w:proofErr w:type="spellEnd"/>
            <w:r w:rsidR="00252749" w:rsidRPr="002D2A0A">
              <w:rPr>
                <w:rFonts w:ascii="Arial" w:hAnsi="Arial" w:cs="Arial"/>
                <w:b/>
                <w:sz w:val="20"/>
                <w:szCs w:val="20"/>
                <w:u w:val="single"/>
                <w:vertAlign w:val="superscript"/>
              </w:rPr>
              <w:t>®</w:t>
            </w:r>
            <w:r w:rsidRPr="002D2A0A">
              <w:rPr>
                <w:rFonts w:ascii="Arial" w:hAnsi="Arial" w:cs="Arial"/>
                <w:sz w:val="20"/>
                <w:szCs w:val="20"/>
              </w:rPr>
              <w:t xml:space="preserve">; Bosentan </w:t>
            </w:r>
            <w:proofErr w:type="spellStart"/>
            <w:r w:rsidRPr="002D2A0A">
              <w:rPr>
                <w:rFonts w:ascii="Arial" w:hAnsi="Arial" w:cs="Arial"/>
                <w:sz w:val="20"/>
                <w:szCs w:val="20"/>
              </w:rPr>
              <w:t>Actelion</w:t>
            </w:r>
            <w:proofErr w:type="spellEnd"/>
          </w:p>
        </w:tc>
        <w:tc>
          <w:tcPr>
            <w:tcW w:w="1016" w:type="pct"/>
            <w:tcBorders>
              <w:bottom w:val="single" w:sz="4" w:space="0" w:color="auto"/>
            </w:tcBorders>
            <w:vAlign w:val="center"/>
          </w:tcPr>
          <w:p w14:paraId="38BAE766" w14:textId="77777777" w:rsidR="00064D19" w:rsidRPr="002D2A0A" w:rsidRDefault="00064D19" w:rsidP="002D2A0A">
            <w:pPr>
              <w:spacing w:beforeLines="40" w:before="96" w:afterLines="40" w:after="96" w:line="240" w:lineRule="auto"/>
              <w:rPr>
                <w:rFonts w:ascii="Arial" w:hAnsi="Arial" w:cs="Arial"/>
                <w:sz w:val="20"/>
                <w:szCs w:val="20"/>
              </w:rPr>
            </w:pPr>
            <w:proofErr w:type="spellStart"/>
            <w:r w:rsidRPr="002D2A0A">
              <w:rPr>
                <w:rFonts w:ascii="Arial" w:hAnsi="Arial" w:cs="Arial"/>
                <w:sz w:val="20"/>
                <w:szCs w:val="20"/>
              </w:rPr>
              <w:t>Actelion</w:t>
            </w:r>
            <w:proofErr w:type="spellEnd"/>
          </w:p>
        </w:tc>
        <w:tc>
          <w:tcPr>
            <w:tcW w:w="581" w:type="pct"/>
            <w:tcBorders>
              <w:bottom w:val="single" w:sz="4" w:space="0" w:color="auto"/>
            </w:tcBorders>
          </w:tcPr>
          <w:p w14:paraId="754BFB02"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w:t>
            </w:r>
          </w:p>
        </w:tc>
      </w:tr>
      <w:tr w:rsidR="00064D19" w:rsidRPr="002D2A0A" w14:paraId="07AA0B72" w14:textId="77777777" w:rsidTr="00C978EB">
        <w:tc>
          <w:tcPr>
            <w:tcW w:w="456" w:type="pct"/>
            <w:vMerge/>
            <w:tcBorders>
              <w:top w:val="nil"/>
              <w:bottom w:val="nil"/>
            </w:tcBorders>
            <w:vAlign w:val="center"/>
          </w:tcPr>
          <w:p w14:paraId="5E584A60" w14:textId="77777777" w:rsidR="00064D19" w:rsidRPr="002D2A0A" w:rsidRDefault="00064D19" w:rsidP="002D2A0A">
            <w:pPr>
              <w:spacing w:beforeLines="40" w:before="96" w:afterLines="40" w:after="96" w:line="240" w:lineRule="auto"/>
              <w:rPr>
                <w:rFonts w:ascii="Arial" w:hAnsi="Arial" w:cs="Arial"/>
                <w:sz w:val="20"/>
                <w:szCs w:val="20"/>
              </w:rPr>
            </w:pPr>
          </w:p>
        </w:tc>
        <w:tc>
          <w:tcPr>
            <w:tcW w:w="2947" w:type="pct"/>
            <w:tcBorders>
              <w:top w:val="single" w:sz="4" w:space="0" w:color="auto"/>
              <w:bottom w:val="single" w:sz="4" w:space="0" w:color="auto"/>
            </w:tcBorders>
            <w:vAlign w:val="center"/>
          </w:tcPr>
          <w:p w14:paraId="7C2A35CA"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Bosentan CW; Bosentan CH; Bosentan AN</w:t>
            </w:r>
          </w:p>
        </w:tc>
        <w:tc>
          <w:tcPr>
            <w:tcW w:w="1016" w:type="pct"/>
            <w:tcBorders>
              <w:top w:val="single" w:sz="4" w:space="0" w:color="auto"/>
              <w:bottom w:val="single" w:sz="4" w:space="0" w:color="auto"/>
            </w:tcBorders>
            <w:vAlign w:val="center"/>
          </w:tcPr>
          <w:p w14:paraId="7A5E7C51" w14:textId="77777777" w:rsidR="00064D19" w:rsidRPr="002D2A0A" w:rsidRDefault="00064D19" w:rsidP="002D2A0A">
            <w:pPr>
              <w:spacing w:beforeLines="40" w:before="96" w:afterLines="40" w:after="96" w:line="240" w:lineRule="auto"/>
              <w:rPr>
                <w:rFonts w:ascii="Arial" w:hAnsi="Arial" w:cs="Arial"/>
                <w:sz w:val="20"/>
                <w:szCs w:val="20"/>
              </w:rPr>
            </w:pPr>
            <w:proofErr w:type="spellStart"/>
            <w:r w:rsidRPr="002D2A0A">
              <w:rPr>
                <w:rFonts w:ascii="Arial" w:hAnsi="Arial" w:cs="Arial"/>
                <w:sz w:val="20"/>
                <w:szCs w:val="20"/>
              </w:rPr>
              <w:t>Amneal</w:t>
            </w:r>
            <w:proofErr w:type="spellEnd"/>
          </w:p>
        </w:tc>
        <w:tc>
          <w:tcPr>
            <w:tcW w:w="581" w:type="pct"/>
            <w:tcBorders>
              <w:top w:val="single" w:sz="4" w:space="0" w:color="auto"/>
              <w:bottom w:val="single" w:sz="4" w:space="0" w:color="auto"/>
            </w:tcBorders>
          </w:tcPr>
          <w:p w14:paraId="15D42C09"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No</w:t>
            </w:r>
          </w:p>
        </w:tc>
      </w:tr>
      <w:tr w:rsidR="00064D19" w:rsidRPr="002D2A0A" w14:paraId="7365BA88" w14:textId="77777777" w:rsidTr="00C978EB">
        <w:tc>
          <w:tcPr>
            <w:tcW w:w="456" w:type="pct"/>
            <w:vMerge/>
            <w:tcBorders>
              <w:top w:val="nil"/>
              <w:bottom w:val="nil"/>
            </w:tcBorders>
            <w:vAlign w:val="center"/>
          </w:tcPr>
          <w:p w14:paraId="2185D468" w14:textId="77777777" w:rsidR="00064D19" w:rsidRPr="002D2A0A" w:rsidRDefault="00064D19" w:rsidP="002D2A0A">
            <w:pPr>
              <w:spacing w:beforeLines="40" w:before="96" w:afterLines="40" w:after="96" w:line="240" w:lineRule="auto"/>
              <w:rPr>
                <w:rFonts w:ascii="Arial" w:hAnsi="Arial" w:cs="Arial"/>
                <w:sz w:val="20"/>
                <w:szCs w:val="20"/>
              </w:rPr>
            </w:pPr>
          </w:p>
        </w:tc>
        <w:tc>
          <w:tcPr>
            <w:tcW w:w="2947" w:type="pct"/>
            <w:tcBorders>
              <w:top w:val="single" w:sz="4" w:space="0" w:color="auto"/>
              <w:bottom w:val="single" w:sz="4" w:space="0" w:color="auto"/>
            </w:tcBorders>
            <w:vAlign w:val="center"/>
          </w:tcPr>
          <w:p w14:paraId="263251E8"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 xml:space="preserve">Bosentan Dr Reddy’s; Bosentan Reddy’s; APO-Bosentan; </w:t>
            </w:r>
            <w:r w:rsidRPr="002D2A0A">
              <w:rPr>
                <w:rFonts w:ascii="Arial" w:hAnsi="Arial" w:cs="Arial"/>
                <w:b/>
                <w:sz w:val="20"/>
                <w:szCs w:val="20"/>
                <w:u w:val="single"/>
              </w:rPr>
              <w:t>Bosentan-DRLA</w:t>
            </w:r>
          </w:p>
        </w:tc>
        <w:tc>
          <w:tcPr>
            <w:tcW w:w="1016" w:type="pct"/>
            <w:tcBorders>
              <w:top w:val="single" w:sz="4" w:space="0" w:color="auto"/>
              <w:bottom w:val="single" w:sz="4" w:space="0" w:color="auto"/>
            </w:tcBorders>
            <w:vAlign w:val="center"/>
          </w:tcPr>
          <w:p w14:paraId="737CE6A1"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Dr Reddy’s Laboratories</w:t>
            </w:r>
          </w:p>
        </w:tc>
        <w:tc>
          <w:tcPr>
            <w:tcW w:w="581" w:type="pct"/>
            <w:tcBorders>
              <w:top w:val="single" w:sz="4" w:space="0" w:color="auto"/>
              <w:bottom w:val="single" w:sz="4" w:space="0" w:color="auto"/>
            </w:tcBorders>
          </w:tcPr>
          <w:p w14:paraId="19A894EB"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w:t>
            </w:r>
          </w:p>
        </w:tc>
      </w:tr>
      <w:tr w:rsidR="00064D19" w:rsidRPr="002D2A0A" w14:paraId="744D95B5" w14:textId="77777777" w:rsidTr="00C978EB">
        <w:tc>
          <w:tcPr>
            <w:tcW w:w="456" w:type="pct"/>
            <w:vMerge/>
            <w:tcBorders>
              <w:top w:val="nil"/>
              <w:bottom w:val="nil"/>
            </w:tcBorders>
            <w:vAlign w:val="center"/>
          </w:tcPr>
          <w:p w14:paraId="20B1F855" w14:textId="77777777" w:rsidR="00064D19" w:rsidRPr="002D2A0A" w:rsidRDefault="00064D19" w:rsidP="002D2A0A">
            <w:pPr>
              <w:spacing w:beforeLines="40" w:before="96" w:afterLines="40" w:after="96" w:line="240" w:lineRule="auto"/>
              <w:rPr>
                <w:rFonts w:ascii="Arial" w:hAnsi="Arial" w:cs="Arial"/>
                <w:sz w:val="20"/>
                <w:szCs w:val="20"/>
              </w:rPr>
            </w:pPr>
          </w:p>
        </w:tc>
        <w:tc>
          <w:tcPr>
            <w:tcW w:w="2947" w:type="pct"/>
            <w:tcBorders>
              <w:top w:val="single" w:sz="4" w:space="0" w:color="auto"/>
              <w:bottom w:val="single" w:sz="4" w:space="0" w:color="auto"/>
            </w:tcBorders>
            <w:vAlign w:val="center"/>
          </w:tcPr>
          <w:p w14:paraId="66909158" w14:textId="77777777" w:rsidR="00064D19" w:rsidRPr="002D2A0A" w:rsidRDefault="00064D19" w:rsidP="002D2A0A">
            <w:pPr>
              <w:spacing w:beforeLines="40" w:before="96" w:afterLines="40" w:after="96" w:line="240" w:lineRule="auto"/>
              <w:rPr>
                <w:rFonts w:ascii="Arial" w:hAnsi="Arial" w:cs="Arial"/>
                <w:sz w:val="20"/>
                <w:szCs w:val="20"/>
              </w:rPr>
            </w:pPr>
            <w:proofErr w:type="spellStart"/>
            <w:r w:rsidRPr="002D2A0A">
              <w:rPr>
                <w:rFonts w:ascii="Arial" w:hAnsi="Arial" w:cs="Arial"/>
                <w:sz w:val="20"/>
                <w:szCs w:val="20"/>
              </w:rPr>
              <w:t>Usenta</w:t>
            </w:r>
            <w:proofErr w:type="spellEnd"/>
          </w:p>
        </w:tc>
        <w:tc>
          <w:tcPr>
            <w:tcW w:w="1016" w:type="pct"/>
            <w:tcBorders>
              <w:top w:val="single" w:sz="4" w:space="0" w:color="auto"/>
              <w:bottom w:val="single" w:sz="4" w:space="0" w:color="auto"/>
            </w:tcBorders>
            <w:vAlign w:val="center"/>
          </w:tcPr>
          <w:p w14:paraId="5324CD36" w14:textId="77777777" w:rsidR="00064D19" w:rsidRPr="002D2A0A" w:rsidRDefault="00064D19" w:rsidP="002D2A0A">
            <w:pPr>
              <w:spacing w:beforeLines="40" w:before="96" w:afterLines="40" w:after="96" w:line="240" w:lineRule="auto"/>
              <w:rPr>
                <w:rFonts w:ascii="Arial" w:hAnsi="Arial" w:cs="Arial"/>
                <w:sz w:val="20"/>
                <w:szCs w:val="20"/>
              </w:rPr>
            </w:pPr>
            <w:proofErr w:type="spellStart"/>
            <w:r w:rsidRPr="002D2A0A">
              <w:rPr>
                <w:rFonts w:ascii="Arial" w:hAnsi="Arial" w:cs="Arial"/>
                <w:sz w:val="20"/>
                <w:szCs w:val="20"/>
              </w:rPr>
              <w:t>Tolmar</w:t>
            </w:r>
            <w:proofErr w:type="spellEnd"/>
          </w:p>
        </w:tc>
        <w:tc>
          <w:tcPr>
            <w:tcW w:w="581" w:type="pct"/>
            <w:tcBorders>
              <w:top w:val="single" w:sz="4" w:space="0" w:color="auto"/>
              <w:bottom w:val="single" w:sz="4" w:space="0" w:color="auto"/>
            </w:tcBorders>
          </w:tcPr>
          <w:p w14:paraId="45E16E34"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No</w:t>
            </w:r>
          </w:p>
        </w:tc>
      </w:tr>
      <w:tr w:rsidR="00064D19" w:rsidRPr="002D2A0A" w14:paraId="3D785599" w14:textId="77777777" w:rsidTr="00C978EB">
        <w:tc>
          <w:tcPr>
            <w:tcW w:w="456" w:type="pct"/>
            <w:vMerge/>
            <w:tcBorders>
              <w:top w:val="nil"/>
              <w:bottom w:val="nil"/>
            </w:tcBorders>
            <w:vAlign w:val="center"/>
          </w:tcPr>
          <w:p w14:paraId="5F753245" w14:textId="77777777" w:rsidR="00064D19" w:rsidRPr="002D2A0A" w:rsidRDefault="00064D19" w:rsidP="002D2A0A">
            <w:pPr>
              <w:spacing w:beforeLines="40" w:before="96" w:afterLines="40" w:after="96" w:line="240" w:lineRule="auto"/>
              <w:rPr>
                <w:rFonts w:ascii="Arial" w:hAnsi="Arial" w:cs="Arial"/>
                <w:sz w:val="20"/>
                <w:szCs w:val="20"/>
              </w:rPr>
            </w:pPr>
          </w:p>
        </w:tc>
        <w:tc>
          <w:tcPr>
            <w:tcW w:w="2947" w:type="pct"/>
            <w:tcBorders>
              <w:top w:val="single" w:sz="4" w:space="0" w:color="auto"/>
              <w:bottom w:val="single" w:sz="4" w:space="0" w:color="auto"/>
            </w:tcBorders>
            <w:vAlign w:val="center"/>
          </w:tcPr>
          <w:p w14:paraId="2E16621A"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 xml:space="preserve">Bosentan Sun; </w:t>
            </w:r>
            <w:r w:rsidRPr="002D2A0A">
              <w:rPr>
                <w:rFonts w:ascii="Arial" w:hAnsi="Arial" w:cs="Arial"/>
                <w:b/>
                <w:sz w:val="20"/>
                <w:szCs w:val="20"/>
                <w:u w:val="single"/>
              </w:rPr>
              <w:t>Bosentan RBX</w:t>
            </w:r>
            <w:r w:rsidRPr="002D2A0A">
              <w:rPr>
                <w:rFonts w:ascii="Arial" w:hAnsi="Arial" w:cs="Arial"/>
                <w:sz w:val="20"/>
                <w:szCs w:val="20"/>
              </w:rPr>
              <w:t xml:space="preserve">; Bosentan RAN </w:t>
            </w:r>
          </w:p>
        </w:tc>
        <w:tc>
          <w:tcPr>
            <w:tcW w:w="1016" w:type="pct"/>
            <w:tcBorders>
              <w:top w:val="single" w:sz="4" w:space="0" w:color="auto"/>
              <w:bottom w:val="single" w:sz="4" w:space="0" w:color="auto"/>
            </w:tcBorders>
            <w:vAlign w:val="center"/>
          </w:tcPr>
          <w:p w14:paraId="2BBE3B8A"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Sun Pharma</w:t>
            </w:r>
          </w:p>
        </w:tc>
        <w:tc>
          <w:tcPr>
            <w:tcW w:w="581" w:type="pct"/>
            <w:tcBorders>
              <w:top w:val="single" w:sz="4" w:space="0" w:color="auto"/>
              <w:bottom w:val="single" w:sz="4" w:space="0" w:color="auto"/>
            </w:tcBorders>
          </w:tcPr>
          <w:p w14:paraId="3BFEEA89"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w:t>
            </w:r>
          </w:p>
        </w:tc>
      </w:tr>
      <w:tr w:rsidR="00064D19" w:rsidRPr="002D2A0A" w14:paraId="1C4BDCED" w14:textId="77777777" w:rsidTr="00C978EB">
        <w:tc>
          <w:tcPr>
            <w:tcW w:w="456" w:type="pct"/>
            <w:vMerge/>
            <w:tcBorders>
              <w:top w:val="nil"/>
              <w:bottom w:val="nil"/>
            </w:tcBorders>
            <w:vAlign w:val="center"/>
          </w:tcPr>
          <w:p w14:paraId="4C78A187" w14:textId="77777777" w:rsidR="00064D19" w:rsidRPr="002D2A0A" w:rsidRDefault="00064D19" w:rsidP="002D2A0A">
            <w:pPr>
              <w:spacing w:beforeLines="40" w:before="96" w:afterLines="40" w:after="96" w:line="240" w:lineRule="auto"/>
              <w:rPr>
                <w:rFonts w:ascii="Arial" w:hAnsi="Arial" w:cs="Arial"/>
                <w:sz w:val="20"/>
                <w:szCs w:val="20"/>
              </w:rPr>
            </w:pPr>
          </w:p>
        </w:tc>
        <w:tc>
          <w:tcPr>
            <w:tcW w:w="2947" w:type="pct"/>
            <w:tcBorders>
              <w:top w:val="single" w:sz="4" w:space="0" w:color="auto"/>
              <w:bottom w:val="single" w:sz="4" w:space="0" w:color="auto"/>
            </w:tcBorders>
            <w:vAlign w:val="center"/>
          </w:tcPr>
          <w:p w14:paraId="4AD994CE"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b/>
                <w:sz w:val="20"/>
                <w:szCs w:val="20"/>
                <w:u w:val="single"/>
              </w:rPr>
              <w:t>Bosentan Sandoz</w:t>
            </w:r>
          </w:p>
        </w:tc>
        <w:tc>
          <w:tcPr>
            <w:tcW w:w="1016" w:type="pct"/>
            <w:tcBorders>
              <w:top w:val="single" w:sz="4" w:space="0" w:color="auto"/>
              <w:bottom w:val="single" w:sz="4" w:space="0" w:color="auto"/>
            </w:tcBorders>
            <w:vAlign w:val="center"/>
          </w:tcPr>
          <w:p w14:paraId="182E77BC"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Sandoz</w:t>
            </w:r>
          </w:p>
        </w:tc>
        <w:tc>
          <w:tcPr>
            <w:tcW w:w="581" w:type="pct"/>
            <w:tcBorders>
              <w:top w:val="single" w:sz="4" w:space="0" w:color="auto"/>
              <w:bottom w:val="single" w:sz="4" w:space="0" w:color="auto"/>
            </w:tcBorders>
          </w:tcPr>
          <w:p w14:paraId="49B4130E"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w:t>
            </w:r>
          </w:p>
        </w:tc>
      </w:tr>
      <w:tr w:rsidR="00064D19" w:rsidRPr="002D2A0A" w14:paraId="5FAF4123" w14:textId="77777777" w:rsidTr="00C978EB">
        <w:tc>
          <w:tcPr>
            <w:tcW w:w="456" w:type="pct"/>
            <w:vMerge/>
            <w:tcBorders>
              <w:top w:val="nil"/>
              <w:bottom w:val="nil"/>
            </w:tcBorders>
            <w:vAlign w:val="center"/>
          </w:tcPr>
          <w:p w14:paraId="25672599" w14:textId="77777777" w:rsidR="00064D19" w:rsidRPr="002D2A0A" w:rsidRDefault="00064D19" w:rsidP="002D2A0A">
            <w:pPr>
              <w:spacing w:beforeLines="40" w:before="96" w:afterLines="40" w:after="96" w:line="240" w:lineRule="auto"/>
              <w:rPr>
                <w:rFonts w:ascii="Arial" w:hAnsi="Arial" w:cs="Arial"/>
                <w:sz w:val="20"/>
                <w:szCs w:val="20"/>
              </w:rPr>
            </w:pPr>
          </w:p>
        </w:tc>
        <w:tc>
          <w:tcPr>
            <w:tcW w:w="2947" w:type="pct"/>
            <w:tcBorders>
              <w:top w:val="single" w:sz="4" w:space="0" w:color="auto"/>
              <w:bottom w:val="single" w:sz="4" w:space="0" w:color="auto"/>
            </w:tcBorders>
            <w:vAlign w:val="center"/>
          </w:tcPr>
          <w:p w14:paraId="011A2C96"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Bosentan INTAS; Bosentan ASTRON</w:t>
            </w:r>
          </w:p>
        </w:tc>
        <w:tc>
          <w:tcPr>
            <w:tcW w:w="1016" w:type="pct"/>
            <w:tcBorders>
              <w:top w:val="single" w:sz="4" w:space="0" w:color="auto"/>
              <w:bottom w:val="single" w:sz="4" w:space="0" w:color="auto"/>
            </w:tcBorders>
            <w:vAlign w:val="center"/>
          </w:tcPr>
          <w:p w14:paraId="642D2D56"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Accord Healthcare</w:t>
            </w:r>
          </w:p>
        </w:tc>
        <w:tc>
          <w:tcPr>
            <w:tcW w:w="581" w:type="pct"/>
            <w:tcBorders>
              <w:top w:val="single" w:sz="4" w:space="0" w:color="auto"/>
              <w:bottom w:val="single" w:sz="4" w:space="0" w:color="auto"/>
            </w:tcBorders>
          </w:tcPr>
          <w:p w14:paraId="34313AF3"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No</w:t>
            </w:r>
          </w:p>
        </w:tc>
      </w:tr>
      <w:tr w:rsidR="00064D19" w:rsidRPr="002D2A0A" w14:paraId="2C77890D" w14:textId="77777777" w:rsidTr="00C978EB">
        <w:tc>
          <w:tcPr>
            <w:tcW w:w="456" w:type="pct"/>
            <w:vMerge/>
            <w:tcBorders>
              <w:top w:val="nil"/>
              <w:bottom w:val="nil"/>
            </w:tcBorders>
            <w:vAlign w:val="center"/>
          </w:tcPr>
          <w:p w14:paraId="6162B2C8" w14:textId="77777777" w:rsidR="00064D19" w:rsidRPr="002D2A0A" w:rsidRDefault="00064D19" w:rsidP="002D2A0A">
            <w:pPr>
              <w:spacing w:beforeLines="40" w:before="96" w:afterLines="40" w:after="96" w:line="240" w:lineRule="auto"/>
              <w:rPr>
                <w:rFonts w:ascii="Arial" w:hAnsi="Arial" w:cs="Arial"/>
                <w:sz w:val="20"/>
                <w:szCs w:val="20"/>
              </w:rPr>
            </w:pPr>
          </w:p>
        </w:tc>
        <w:tc>
          <w:tcPr>
            <w:tcW w:w="2947" w:type="pct"/>
            <w:tcBorders>
              <w:top w:val="single" w:sz="4" w:space="0" w:color="auto"/>
              <w:bottom w:val="single" w:sz="4" w:space="0" w:color="auto"/>
            </w:tcBorders>
            <w:vAlign w:val="center"/>
          </w:tcPr>
          <w:p w14:paraId="22717F0C" w14:textId="77777777" w:rsidR="00064D19" w:rsidRPr="002D2A0A" w:rsidRDefault="00064D19" w:rsidP="002D2A0A">
            <w:pPr>
              <w:spacing w:beforeLines="40" w:before="96" w:afterLines="40" w:after="96" w:line="240" w:lineRule="auto"/>
              <w:rPr>
                <w:rFonts w:ascii="Arial" w:hAnsi="Arial" w:cs="Arial"/>
                <w:sz w:val="20"/>
                <w:szCs w:val="20"/>
              </w:rPr>
            </w:pPr>
            <w:proofErr w:type="spellStart"/>
            <w:r w:rsidRPr="002D2A0A">
              <w:rPr>
                <w:rFonts w:ascii="Arial" w:hAnsi="Arial" w:cs="Arial"/>
                <w:b/>
                <w:sz w:val="20"/>
                <w:szCs w:val="20"/>
                <w:u w:val="single"/>
              </w:rPr>
              <w:t>Bosleer</w:t>
            </w:r>
            <w:proofErr w:type="spellEnd"/>
            <w:r w:rsidRPr="002D2A0A">
              <w:rPr>
                <w:rFonts w:ascii="Arial" w:hAnsi="Arial" w:cs="Arial"/>
                <w:sz w:val="20"/>
                <w:szCs w:val="20"/>
              </w:rPr>
              <w:t xml:space="preserve"> </w:t>
            </w:r>
          </w:p>
        </w:tc>
        <w:tc>
          <w:tcPr>
            <w:tcW w:w="1016" w:type="pct"/>
            <w:tcBorders>
              <w:top w:val="single" w:sz="4" w:space="0" w:color="auto"/>
              <w:bottom w:val="single" w:sz="4" w:space="0" w:color="auto"/>
            </w:tcBorders>
            <w:vAlign w:val="center"/>
          </w:tcPr>
          <w:p w14:paraId="7723A169"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Arrow Pharmaceuticals</w:t>
            </w:r>
          </w:p>
        </w:tc>
        <w:tc>
          <w:tcPr>
            <w:tcW w:w="581" w:type="pct"/>
            <w:tcBorders>
              <w:top w:val="single" w:sz="4" w:space="0" w:color="auto"/>
              <w:bottom w:val="single" w:sz="4" w:space="0" w:color="auto"/>
            </w:tcBorders>
          </w:tcPr>
          <w:p w14:paraId="2CF41FDF"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w:t>
            </w:r>
          </w:p>
        </w:tc>
      </w:tr>
      <w:tr w:rsidR="00064D19" w:rsidRPr="002D2A0A" w14:paraId="08122584" w14:textId="77777777" w:rsidTr="00C978EB">
        <w:tc>
          <w:tcPr>
            <w:tcW w:w="456" w:type="pct"/>
            <w:vMerge/>
            <w:tcBorders>
              <w:top w:val="nil"/>
              <w:bottom w:val="nil"/>
            </w:tcBorders>
            <w:vAlign w:val="center"/>
          </w:tcPr>
          <w:p w14:paraId="00D185CD" w14:textId="77777777" w:rsidR="00064D19" w:rsidRPr="002D2A0A" w:rsidRDefault="00064D19" w:rsidP="002D2A0A">
            <w:pPr>
              <w:spacing w:beforeLines="40" w:before="96" w:afterLines="40" w:after="96" w:line="240" w:lineRule="auto"/>
              <w:rPr>
                <w:rFonts w:ascii="Arial" w:hAnsi="Arial" w:cs="Arial"/>
                <w:sz w:val="20"/>
                <w:szCs w:val="20"/>
              </w:rPr>
            </w:pPr>
          </w:p>
        </w:tc>
        <w:tc>
          <w:tcPr>
            <w:tcW w:w="2947" w:type="pct"/>
            <w:tcBorders>
              <w:top w:val="single" w:sz="4" w:space="0" w:color="auto"/>
              <w:bottom w:val="single" w:sz="4" w:space="0" w:color="auto"/>
            </w:tcBorders>
            <w:vAlign w:val="center"/>
          </w:tcPr>
          <w:p w14:paraId="0106C74B"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Bosentan GH</w:t>
            </w:r>
          </w:p>
        </w:tc>
        <w:tc>
          <w:tcPr>
            <w:tcW w:w="1016" w:type="pct"/>
            <w:tcBorders>
              <w:top w:val="single" w:sz="4" w:space="0" w:color="auto"/>
              <w:bottom w:val="single" w:sz="4" w:space="0" w:color="auto"/>
            </w:tcBorders>
            <w:vAlign w:val="center"/>
          </w:tcPr>
          <w:p w14:paraId="7C18361A"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Generic Health</w:t>
            </w:r>
          </w:p>
        </w:tc>
        <w:tc>
          <w:tcPr>
            <w:tcW w:w="581" w:type="pct"/>
            <w:tcBorders>
              <w:top w:val="single" w:sz="4" w:space="0" w:color="auto"/>
              <w:bottom w:val="single" w:sz="4" w:space="0" w:color="auto"/>
            </w:tcBorders>
          </w:tcPr>
          <w:p w14:paraId="47E06F14"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No</w:t>
            </w:r>
          </w:p>
        </w:tc>
      </w:tr>
      <w:tr w:rsidR="00064D19" w:rsidRPr="002D2A0A" w14:paraId="20C59E3C" w14:textId="77777777" w:rsidTr="00C978EB">
        <w:tc>
          <w:tcPr>
            <w:tcW w:w="456" w:type="pct"/>
            <w:vMerge/>
            <w:tcBorders>
              <w:top w:val="nil"/>
              <w:bottom w:val="nil"/>
            </w:tcBorders>
            <w:vAlign w:val="center"/>
          </w:tcPr>
          <w:p w14:paraId="3B35E4DD" w14:textId="77777777" w:rsidR="00064D19" w:rsidRPr="002D2A0A" w:rsidRDefault="00064D19" w:rsidP="002D2A0A">
            <w:pPr>
              <w:spacing w:beforeLines="40" w:before="96" w:afterLines="40" w:after="96" w:line="240" w:lineRule="auto"/>
              <w:rPr>
                <w:rFonts w:ascii="Arial" w:hAnsi="Arial" w:cs="Arial"/>
                <w:sz w:val="20"/>
                <w:szCs w:val="20"/>
              </w:rPr>
            </w:pPr>
          </w:p>
        </w:tc>
        <w:tc>
          <w:tcPr>
            <w:tcW w:w="2947" w:type="pct"/>
            <w:tcBorders>
              <w:top w:val="single" w:sz="4" w:space="0" w:color="auto"/>
              <w:bottom w:val="single" w:sz="4" w:space="0" w:color="auto"/>
            </w:tcBorders>
            <w:vAlign w:val="center"/>
          </w:tcPr>
          <w:p w14:paraId="1D99B6B2"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b/>
                <w:sz w:val="20"/>
                <w:szCs w:val="20"/>
                <w:u w:val="single"/>
              </w:rPr>
              <w:t>Bosentan APOTEX</w:t>
            </w:r>
            <w:r w:rsidRPr="002D2A0A">
              <w:rPr>
                <w:rFonts w:ascii="Arial" w:hAnsi="Arial" w:cs="Arial"/>
                <w:sz w:val="20"/>
                <w:szCs w:val="20"/>
              </w:rPr>
              <w:t>; GENRX Bosentan</w:t>
            </w:r>
          </w:p>
        </w:tc>
        <w:tc>
          <w:tcPr>
            <w:tcW w:w="1016" w:type="pct"/>
            <w:tcBorders>
              <w:top w:val="single" w:sz="4" w:space="0" w:color="auto"/>
              <w:bottom w:val="single" w:sz="4" w:space="0" w:color="auto"/>
            </w:tcBorders>
            <w:vAlign w:val="center"/>
          </w:tcPr>
          <w:p w14:paraId="2D029E49" w14:textId="77777777" w:rsidR="00064D19" w:rsidRPr="002D2A0A" w:rsidRDefault="00064D19" w:rsidP="002D2A0A">
            <w:pPr>
              <w:spacing w:beforeLines="40" w:before="96" w:afterLines="40" w:after="96" w:line="240" w:lineRule="auto"/>
              <w:rPr>
                <w:rFonts w:ascii="Arial" w:hAnsi="Arial" w:cs="Arial"/>
                <w:sz w:val="20"/>
                <w:szCs w:val="20"/>
              </w:rPr>
            </w:pPr>
            <w:proofErr w:type="spellStart"/>
            <w:r w:rsidRPr="002D2A0A">
              <w:rPr>
                <w:rFonts w:ascii="Arial" w:hAnsi="Arial" w:cs="Arial"/>
                <w:sz w:val="20"/>
                <w:szCs w:val="20"/>
              </w:rPr>
              <w:t>Apotex</w:t>
            </w:r>
            <w:proofErr w:type="spellEnd"/>
          </w:p>
        </w:tc>
        <w:tc>
          <w:tcPr>
            <w:tcW w:w="581" w:type="pct"/>
            <w:tcBorders>
              <w:top w:val="single" w:sz="4" w:space="0" w:color="auto"/>
              <w:bottom w:val="single" w:sz="4" w:space="0" w:color="auto"/>
            </w:tcBorders>
          </w:tcPr>
          <w:p w14:paraId="587F2545"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w:t>
            </w:r>
          </w:p>
        </w:tc>
      </w:tr>
      <w:tr w:rsidR="00064D19" w:rsidRPr="002D2A0A" w14:paraId="6F566A5E" w14:textId="77777777" w:rsidTr="00C978EB">
        <w:tc>
          <w:tcPr>
            <w:tcW w:w="456" w:type="pct"/>
            <w:vMerge/>
            <w:tcBorders>
              <w:top w:val="nil"/>
              <w:bottom w:val="nil"/>
            </w:tcBorders>
            <w:vAlign w:val="center"/>
          </w:tcPr>
          <w:p w14:paraId="5854394A" w14:textId="77777777" w:rsidR="00064D19" w:rsidRPr="002D2A0A" w:rsidRDefault="00064D19" w:rsidP="002D2A0A">
            <w:pPr>
              <w:spacing w:beforeLines="40" w:before="96" w:afterLines="40" w:after="96" w:line="240" w:lineRule="auto"/>
              <w:rPr>
                <w:rFonts w:ascii="Arial" w:hAnsi="Arial" w:cs="Arial"/>
                <w:sz w:val="20"/>
                <w:szCs w:val="20"/>
              </w:rPr>
            </w:pPr>
          </w:p>
        </w:tc>
        <w:tc>
          <w:tcPr>
            <w:tcW w:w="2947" w:type="pct"/>
            <w:tcBorders>
              <w:top w:val="single" w:sz="4" w:space="0" w:color="auto"/>
              <w:bottom w:val="single" w:sz="4" w:space="0" w:color="auto"/>
            </w:tcBorders>
            <w:vAlign w:val="center"/>
          </w:tcPr>
          <w:p w14:paraId="3226AF64"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 xml:space="preserve">Bosentan ALPHAPHARM; </w:t>
            </w:r>
            <w:r w:rsidRPr="002D2A0A">
              <w:rPr>
                <w:rFonts w:ascii="Arial" w:hAnsi="Arial" w:cs="Arial"/>
                <w:b/>
                <w:sz w:val="20"/>
                <w:szCs w:val="20"/>
                <w:u w:val="single"/>
              </w:rPr>
              <w:t>Bosentan MYLAN</w:t>
            </w:r>
          </w:p>
        </w:tc>
        <w:tc>
          <w:tcPr>
            <w:tcW w:w="1016" w:type="pct"/>
            <w:tcBorders>
              <w:top w:val="single" w:sz="4" w:space="0" w:color="auto"/>
              <w:bottom w:val="single" w:sz="4" w:space="0" w:color="auto"/>
            </w:tcBorders>
            <w:vAlign w:val="center"/>
          </w:tcPr>
          <w:p w14:paraId="11234B33" w14:textId="77777777" w:rsidR="00064D19" w:rsidRPr="002D2A0A" w:rsidRDefault="00064D19" w:rsidP="002D2A0A">
            <w:pPr>
              <w:spacing w:beforeLines="40" w:before="96" w:afterLines="40" w:after="96" w:line="240" w:lineRule="auto"/>
              <w:rPr>
                <w:rFonts w:ascii="Arial" w:hAnsi="Arial" w:cs="Arial"/>
                <w:sz w:val="20"/>
                <w:szCs w:val="20"/>
              </w:rPr>
            </w:pPr>
            <w:proofErr w:type="spellStart"/>
            <w:r w:rsidRPr="002D2A0A">
              <w:rPr>
                <w:rFonts w:ascii="Arial" w:hAnsi="Arial" w:cs="Arial"/>
                <w:sz w:val="20"/>
                <w:szCs w:val="20"/>
              </w:rPr>
              <w:t>Alphapharm</w:t>
            </w:r>
            <w:proofErr w:type="spellEnd"/>
          </w:p>
        </w:tc>
        <w:tc>
          <w:tcPr>
            <w:tcW w:w="581" w:type="pct"/>
            <w:tcBorders>
              <w:top w:val="single" w:sz="4" w:space="0" w:color="auto"/>
              <w:bottom w:val="single" w:sz="4" w:space="0" w:color="auto"/>
            </w:tcBorders>
          </w:tcPr>
          <w:p w14:paraId="12089C07"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w:t>
            </w:r>
          </w:p>
        </w:tc>
      </w:tr>
      <w:tr w:rsidR="00064D19" w:rsidRPr="002D2A0A" w14:paraId="5F4DE1B1" w14:textId="77777777" w:rsidTr="00C978EB">
        <w:tc>
          <w:tcPr>
            <w:tcW w:w="456" w:type="pct"/>
            <w:tcBorders>
              <w:top w:val="nil"/>
              <w:bottom w:val="single" w:sz="4" w:space="0" w:color="auto"/>
            </w:tcBorders>
            <w:vAlign w:val="center"/>
          </w:tcPr>
          <w:p w14:paraId="613B9055" w14:textId="77777777" w:rsidR="00064D19" w:rsidRPr="002D2A0A" w:rsidRDefault="00064D19" w:rsidP="002D2A0A">
            <w:pPr>
              <w:spacing w:beforeLines="40" w:before="96" w:afterLines="40" w:after="96" w:line="240" w:lineRule="auto"/>
              <w:rPr>
                <w:rFonts w:ascii="Arial" w:hAnsi="Arial" w:cs="Arial"/>
                <w:sz w:val="20"/>
                <w:szCs w:val="20"/>
              </w:rPr>
            </w:pPr>
          </w:p>
        </w:tc>
        <w:tc>
          <w:tcPr>
            <w:tcW w:w="2947" w:type="pct"/>
            <w:tcBorders>
              <w:top w:val="single" w:sz="4" w:space="0" w:color="auto"/>
              <w:bottom w:val="single" w:sz="4" w:space="0" w:color="auto"/>
            </w:tcBorders>
            <w:vAlign w:val="center"/>
          </w:tcPr>
          <w:p w14:paraId="451CF434"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 xml:space="preserve">BOSENTAN CA; BOSENCIP; BOSENTAN CIPLA; BOSENTAS; </w:t>
            </w:r>
          </w:p>
        </w:tc>
        <w:tc>
          <w:tcPr>
            <w:tcW w:w="1016" w:type="pct"/>
            <w:tcBorders>
              <w:top w:val="single" w:sz="4" w:space="0" w:color="auto"/>
              <w:bottom w:val="single" w:sz="4" w:space="0" w:color="auto"/>
            </w:tcBorders>
            <w:vAlign w:val="center"/>
          </w:tcPr>
          <w:p w14:paraId="02D15B3E" w14:textId="77777777" w:rsidR="00064D19" w:rsidRPr="002D2A0A" w:rsidRDefault="00064D19" w:rsidP="002D2A0A">
            <w:pPr>
              <w:spacing w:beforeLines="40" w:before="96" w:afterLines="40" w:after="96" w:line="240" w:lineRule="auto"/>
              <w:rPr>
                <w:rFonts w:ascii="Arial" w:hAnsi="Arial" w:cs="Arial"/>
                <w:sz w:val="20"/>
                <w:szCs w:val="20"/>
              </w:rPr>
            </w:pPr>
            <w:proofErr w:type="spellStart"/>
            <w:r w:rsidRPr="002D2A0A">
              <w:rPr>
                <w:rFonts w:ascii="Arial" w:hAnsi="Arial" w:cs="Arial"/>
                <w:sz w:val="20"/>
                <w:szCs w:val="20"/>
              </w:rPr>
              <w:t>Cipla</w:t>
            </w:r>
            <w:proofErr w:type="spellEnd"/>
            <w:r w:rsidRPr="002D2A0A">
              <w:rPr>
                <w:rFonts w:ascii="Arial" w:hAnsi="Arial" w:cs="Arial"/>
                <w:sz w:val="20"/>
                <w:szCs w:val="20"/>
              </w:rPr>
              <w:t xml:space="preserve"> </w:t>
            </w:r>
          </w:p>
        </w:tc>
        <w:tc>
          <w:tcPr>
            <w:tcW w:w="581" w:type="pct"/>
            <w:tcBorders>
              <w:top w:val="single" w:sz="4" w:space="0" w:color="auto"/>
              <w:bottom w:val="single" w:sz="4" w:space="0" w:color="auto"/>
            </w:tcBorders>
          </w:tcPr>
          <w:p w14:paraId="34A5FFAA"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No</w:t>
            </w:r>
          </w:p>
        </w:tc>
      </w:tr>
      <w:tr w:rsidR="00064D19" w:rsidRPr="002D2A0A" w14:paraId="5A0EF808" w14:textId="77777777" w:rsidTr="00C978EB">
        <w:tc>
          <w:tcPr>
            <w:tcW w:w="456" w:type="pct"/>
            <w:tcBorders>
              <w:top w:val="single" w:sz="4" w:space="0" w:color="auto"/>
            </w:tcBorders>
            <w:vAlign w:val="center"/>
          </w:tcPr>
          <w:p w14:paraId="49D83857" w14:textId="77777777" w:rsidR="00064D19" w:rsidRPr="002D2A0A" w:rsidRDefault="00064D19" w:rsidP="002D2A0A">
            <w:pPr>
              <w:spacing w:beforeLines="40" w:before="96" w:afterLines="40" w:after="96" w:line="240" w:lineRule="auto"/>
              <w:rPr>
                <w:rFonts w:ascii="Arial" w:hAnsi="Arial" w:cs="Arial"/>
                <w:i/>
                <w:color w:val="808080" w:themeColor="background1" w:themeShade="80"/>
                <w:sz w:val="20"/>
                <w:szCs w:val="20"/>
              </w:rPr>
            </w:pPr>
            <w:proofErr w:type="spellStart"/>
            <w:r w:rsidRPr="002D2A0A">
              <w:rPr>
                <w:rFonts w:ascii="Arial" w:hAnsi="Arial" w:cs="Arial"/>
                <w:i/>
                <w:color w:val="808080" w:themeColor="background1" w:themeShade="80"/>
                <w:sz w:val="20"/>
                <w:szCs w:val="20"/>
              </w:rPr>
              <w:t>Sitaxentan</w:t>
            </w:r>
            <w:proofErr w:type="spellEnd"/>
          </w:p>
        </w:tc>
        <w:tc>
          <w:tcPr>
            <w:tcW w:w="2947" w:type="pct"/>
            <w:tcBorders>
              <w:top w:val="single" w:sz="4" w:space="0" w:color="auto"/>
            </w:tcBorders>
            <w:vAlign w:val="center"/>
          </w:tcPr>
          <w:p w14:paraId="06F630CF" w14:textId="77777777" w:rsidR="00064D19" w:rsidRPr="002D2A0A" w:rsidRDefault="00064D19" w:rsidP="002D2A0A">
            <w:pPr>
              <w:spacing w:beforeLines="40" w:before="96" w:afterLines="40" w:after="96" w:line="240" w:lineRule="auto"/>
              <w:rPr>
                <w:rFonts w:ascii="Arial" w:hAnsi="Arial" w:cs="Arial"/>
                <w:i/>
                <w:color w:val="808080" w:themeColor="background1" w:themeShade="80"/>
                <w:sz w:val="20"/>
                <w:szCs w:val="20"/>
              </w:rPr>
            </w:pPr>
            <w:r w:rsidRPr="002D2A0A">
              <w:rPr>
                <w:rFonts w:ascii="Arial" w:hAnsi="Arial" w:cs="Arial"/>
                <w:i/>
                <w:color w:val="808080" w:themeColor="background1" w:themeShade="80"/>
                <w:sz w:val="20"/>
                <w:szCs w:val="20"/>
              </w:rPr>
              <w:t>*</w:t>
            </w:r>
            <w:proofErr w:type="spellStart"/>
            <w:r w:rsidRPr="002D2A0A">
              <w:rPr>
                <w:rFonts w:ascii="Arial" w:hAnsi="Arial" w:cs="Arial"/>
                <w:b/>
                <w:i/>
                <w:color w:val="808080" w:themeColor="background1" w:themeShade="80"/>
                <w:sz w:val="20"/>
                <w:szCs w:val="20"/>
                <w:u w:val="single"/>
              </w:rPr>
              <w:t>Thelin</w:t>
            </w:r>
            <w:proofErr w:type="spellEnd"/>
            <w:r w:rsidR="00252749" w:rsidRPr="002D2A0A">
              <w:rPr>
                <w:rFonts w:ascii="Arial" w:hAnsi="Arial" w:cs="Arial"/>
                <w:b/>
                <w:i/>
                <w:color w:val="808080" w:themeColor="background1" w:themeShade="80"/>
                <w:sz w:val="20"/>
                <w:szCs w:val="20"/>
                <w:u w:val="single"/>
                <w:vertAlign w:val="superscript"/>
              </w:rPr>
              <w:t>®</w:t>
            </w:r>
            <w:r w:rsidRPr="002D2A0A">
              <w:rPr>
                <w:rFonts w:ascii="Arial" w:hAnsi="Arial" w:cs="Arial"/>
                <w:i/>
                <w:color w:val="808080" w:themeColor="background1" w:themeShade="80"/>
                <w:sz w:val="20"/>
                <w:szCs w:val="20"/>
              </w:rPr>
              <w:t>; withdrawn from market 10 December 2010 – no longer registered</w:t>
            </w:r>
          </w:p>
        </w:tc>
        <w:tc>
          <w:tcPr>
            <w:tcW w:w="1016" w:type="pct"/>
            <w:tcBorders>
              <w:top w:val="single" w:sz="4" w:space="0" w:color="auto"/>
            </w:tcBorders>
            <w:vAlign w:val="center"/>
          </w:tcPr>
          <w:p w14:paraId="2DBB2874" w14:textId="77777777" w:rsidR="00064D19" w:rsidRPr="002D2A0A" w:rsidRDefault="00064D19" w:rsidP="002D2A0A">
            <w:pPr>
              <w:spacing w:beforeLines="40" w:before="96" w:afterLines="40" w:after="96" w:line="240" w:lineRule="auto"/>
              <w:rPr>
                <w:rFonts w:ascii="Arial" w:hAnsi="Arial" w:cs="Arial"/>
                <w:i/>
                <w:color w:val="808080" w:themeColor="background1" w:themeShade="80"/>
                <w:sz w:val="20"/>
                <w:szCs w:val="20"/>
                <w:highlight w:val="yellow"/>
              </w:rPr>
            </w:pPr>
            <w:r w:rsidRPr="002D2A0A">
              <w:rPr>
                <w:rFonts w:ascii="Arial" w:hAnsi="Arial" w:cs="Arial"/>
                <w:i/>
                <w:color w:val="808080" w:themeColor="background1" w:themeShade="80"/>
                <w:sz w:val="20"/>
                <w:szCs w:val="20"/>
              </w:rPr>
              <w:t xml:space="preserve">Pfizer / </w:t>
            </w:r>
            <w:proofErr w:type="spellStart"/>
            <w:r w:rsidRPr="002D2A0A">
              <w:rPr>
                <w:rFonts w:ascii="Arial" w:hAnsi="Arial" w:cs="Arial"/>
                <w:i/>
                <w:color w:val="808080" w:themeColor="background1" w:themeShade="80"/>
                <w:sz w:val="20"/>
                <w:szCs w:val="20"/>
              </w:rPr>
              <w:t>Encysive</w:t>
            </w:r>
            <w:proofErr w:type="spellEnd"/>
            <w:r w:rsidRPr="002D2A0A">
              <w:rPr>
                <w:rFonts w:ascii="Arial" w:hAnsi="Arial" w:cs="Arial"/>
                <w:i/>
                <w:color w:val="808080" w:themeColor="background1" w:themeShade="80"/>
                <w:sz w:val="20"/>
                <w:szCs w:val="20"/>
              </w:rPr>
              <w:t xml:space="preserve"> Pharmaceuticals</w:t>
            </w:r>
          </w:p>
        </w:tc>
        <w:tc>
          <w:tcPr>
            <w:tcW w:w="581" w:type="pct"/>
            <w:tcBorders>
              <w:top w:val="single" w:sz="4" w:space="0" w:color="auto"/>
            </w:tcBorders>
          </w:tcPr>
          <w:p w14:paraId="000BA6E9" w14:textId="77777777" w:rsidR="00064D19" w:rsidRPr="002D2A0A" w:rsidRDefault="00064D19" w:rsidP="002D2A0A">
            <w:pPr>
              <w:spacing w:beforeLines="40" w:before="96" w:afterLines="40" w:after="96" w:line="240" w:lineRule="auto"/>
              <w:rPr>
                <w:rFonts w:ascii="Arial" w:hAnsi="Arial" w:cs="Arial"/>
                <w:i/>
                <w:color w:val="808080" w:themeColor="background1" w:themeShade="80"/>
                <w:sz w:val="20"/>
                <w:szCs w:val="20"/>
              </w:rPr>
            </w:pPr>
            <w:r w:rsidRPr="002D2A0A">
              <w:rPr>
                <w:rFonts w:ascii="Arial" w:hAnsi="Arial" w:cs="Arial"/>
                <w:i/>
                <w:color w:val="808080" w:themeColor="background1" w:themeShade="80"/>
                <w:sz w:val="20"/>
                <w:szCs w:val="20"/>
              </w:rPr>
              <w:t>Delisted</w:t>
            </w:r>
          </w:p>
        </w:tc>
      </w:tr>
      <w:tr w:rsidR="00064D19" w:rsidRPr="002D2A0A" w14:paraId="5E69E4BB" w14:textId="77777777" w:rsidTr="00C978EB">
        <w:tc>
          <w:tcPr>
            <w:tcW w:w="456" w:type="pct"/>
            <w:vMerge w:val="restart"/>
          </w:tcPr>
          <w:p w14:paraId="0B4E3E60"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Ambrisentan</w:t>
            </w:r>
          </w:p>
        </w:tc>
        <w:tc>
          <w:tcPr>
            <w:tcW w:w="2947" w:type="pct"/>
            <w:tcBorders>
              <w:bottom w:val="single" w:sz="4" w:space="0" w:color="auto"/>
            </w:tcBorders>
            <w:vAlign w:val="center"/>
          </w:tcPr>
          <w:p w14:paraId="53BBA677"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b/>
                <w:sz w:val="20"/>
                <w:szCs w:val="20"/>
                <w:u w:val="single"/>
              </w:rPr>
              <w:t>*</w:t>
            </w:r>
            <w:proofErr w:type="spellStart"/>
            <w:r w:rsidR="00777ACB" w:rsidRPr="002D2A0A">
              <w:rPr>
                <w:rFonts w:ascii="Arial" w:hAnsi="Arial" w:cs="Arial"/>
                <w:b/>
                <w:sz w:val="20"/>
                <w:szCs w:val="20"/>
                <w:u w:val="single"/>
              </w:rPr>
              <w:t>Volibris</w:t>
            </w:r>
            <w:proofErr w:type="spellEnd"/>
            <w:r w:rsidR="00252749" w:rsidRPr="007B459D">
              <w:rPr>
                <w:rFonts w:ascii="Arial" w:hAnsi="Arial" w:cs="Arial"/>
                <w:b/>
                <w:sz w:val="20"/>
                <w:szCs w:val="20"/>
                <w:u w:val="single"/>
                <w:vertAlign w:val="superscript"/>
              </w:rPr>
              <w:t>®</w:t>
            </w:r>
          </w:p>
        </w:tc>
        <w:tc>
          <w:tcPr>
            <w:tcW w:w="1016" w:type="pct"/>
            <w:tcBorders>
              <w:bottom w:val="single" w:sz="4" w:space="0" w:color="auto"/>
            </w:tcBorders>
            <w:vAlign w:val="center"/>
          </w:tcPr>
          <w:p w14:paraId="60EE08E8"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GlaxoSmithKline</w:t>
            </w:r>
          </w:p>
        </w:tc>
        <w:tc>
          <w:tcPr>
            <w:tcW w:w="581" w:type="pct"/>
            <w:tcBorders>
              <w:bottom w:val="single" w:sz="4" w:space="0" w:color="auto"/>
            </w:tcBorders>
          </w:tcPr>
          <w:p w14:paraId="26D898C7"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w:t>
            </w:r>
          </w:p>
        </w:tc>
      </w:tr>
      <w:tr w:rsidR="00064D19" w:rsidRPr="002D2A0A" w14:paraId="7D3B37BB" w14:textId="77777777" w:rsidTr="00C978EB">
        <w:tc>
          <w:tcPr>
            <w:tcW w:w="456" w:type="pct"/>
            <w:vMerge/>
            <w:tcBorders>
              <w:bottom w:val="single" w:sz="4" w:space="0" w:color="auto"/>
            </w:tcBorders>
            <w:vAlign w:val="center"/>
          </w:tcPr>
          <w:p w14:paraId="1F78BCFE" w14:textId="77777777" w:rsidR="00064D19" w:rsidRPr="002D2A0A" w:rsidRDefault="00064D19" w:rsidP="002D2A0A">
            <w:pPr>
              <w:spacing w:beforeLines="40" w:before="96" w:afterLines="40" w:after="96" w:line="240" w:lineRule="auto"/>
              <w:rPr>
                <w:rFonts w:ascii="Arial" w:hAnsi="Arial" w:cs="Arial"/>
                <w:sz w:val="20"/>
                <w:szCs w:val="20"/>
              </w:rPr>
            </w:pPr>
          </w:p>
        </w:tc>
        <w:tc>
          <w:tcPr>
            <w:tcW w:w="2947" w:type="pct"/>
            <w:tcBorders>
              <w:top w:val="single" w:sz="4" w:space="0" w:color="auto"/>
              <w:bottom w:val="single" w:sz="4" w:space="0" w:color="auto"/>
            </w:tcBorders>
            <w:vAlign w:val="center"/>
          </w:tcPr>
          <w:p w14:paraId="75F714B1" w14:textId="77777777" w:rsidR="00064D19" w:rsidRPr="002D2A0A" w:rsidRDefault="00064D19" w:rsidP="002D2A0A">
            <w:pPr>
              <w:spacing w:beforeLines="40" w:before="96" w:afterLines="40" w:after="96" w:line="240" w:lineRule="auto"/>
              <w:rPr>
                <w:rFonts w:ascii="Arial" w:hAnsi="Arial" w:cs="Arial"/>
                <w:b/>
                <w:sz w:val="20"/>
                <w:szCs w:val="20"/>
                <w:u w:val="single"/>
              </w:rPr>
            </w:pPr>
            <w:r w:rsidRPr="002D2A0A">
              <w:rPr>
                <w:rFonts w:ascii="Arial" w:hAnsi="Arial" w:cs="Arial"/>
                <w:sz w:val="20"/>
                <w:szCs w:val="20"/>
              </w:rPr>
              <w:t>CIPLA Ambrisentan; AMBRIS Ambrisentan; AMBRICIP Ambrisentan</w:t>
            </w:r>
          </w:p>
        </w:tc>
        <w:tc>
          <w:tcPr>
            <w:tcW w:w="1016" w:type="pct"/>
            <w:tcBorders>
              <w:top w:val="single" w:sz="4" w:space="0" w:color="auto"/>
              <w:bottom w:val="single" w:sz="4" w:space="0" w:color="auto"/>
            </w:tcBorders>
            <w:vAlign w:val="center"/>
          </w:tcPr>
          <w:p w14:paraId="22E1C1E3" w14:textId="77777777" w:rsidR="00064D19" w:rsidRPr="002D2A0A" w:rsidRDefault="00064D19" w:rsidP="002D2A0A">
            <w:pPr>
              <w:spacing w:beforeLines="40" w:before="96" w:afterLines="40" w:after="96" w:line="240" w:lineRule="auto"/>
              <w:rPr>
                <w:rFonts w:ascii="Arial" w:hAnsi="Arial" w:cs="Arial"/>
                <w:sz w:val="20"/>
                <w:szCs w:val="20"/>
              </w:rPr>
            </w:pPr>
            <w:proofErr w:type="spellStart"/>
            <w:r w:rsidRPr="002D2A0A">
              <w:rPr>
                <w:rFonts w:ascii="Arial" w:hAnsi="Arial" w:cs="Arial"/>
                <w:sz w:val="20"/>
                <w:szCs w:val="20"/>
              </w:rPr>
              <w:t>Cipla</w:t>
            </w:r>
            <w:proofErr w:type="spellEnd"/>
          </w:p>
        </w:tc>
        <w:tc>
          <w:tcPr>
            <w:tcW w:w="581" w:type="pct"/>
            <w:tcBorders>
              <w:top w:val="single" w:sz="4" w:space="0" w:color="auto"/>
              <w:bottom w:val="single" w:sz="4" w:space="0" w:color="auto"/>
            </w:tcBorders>
          </w:tcPr>
          <w:p w14:paraId="49D7F768"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No</w:t>
            </w:r>
          </w:p>
        </w:tc>
      </w:tr>
      <w:tr w:rsidR="00064D19" w:rsidRPr="002D2A0A" w14:paraId="18B53B09" w14:textId="77777777" w:rsidTr="00C978EB">
        <w:tc>
          <w:tcPr>
            <w:tcW w:w="456" w:type="pct"/>
            <w:tcBorders>
              <w:bottom w:val="single" w:sz="4" w:space="0" w:color="auto"/>
            </w:tcBorders>
            <w:shd w:val="clear" w:color="auto" w:fill="auto"/>
            <w:vAlign w:val="center"/>
          </w:tcPr>
          <w:p w14:paraId="63D5F0CD"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Macitentan</w:t>
            </w:r>
          </w:p>
        </w:tc>
        <w:tc>
          <w:tcPr>
            <w:tcW w:w="2947" w:type="pct"/>
            <w:tcBorders>
              <w:bottom w:val="single" w:sz="4" w:space="0" w:color="auto"/>
            </w:tcBorders>
            <w:vAlign w:val="center"/>
          </w:tcPr>
          <w:p w14:paraId="2183C9A8" w14:textId="77777777" w:rsidR="00064D19" w:rsidRPr="002D2A0A" w:rsidRDefault="00060C26" w:rsidP="002D2A0A">
            <w:pPr>
              <w:spacing w:beforeLines="40" w:before="96" w:afterLines="40" w:after="96" w:line="240" w:lineRule="auto"/>
              <w:rPr>
                <w:rFonts w:ascii="Arial" w:hAnsi="Arial" w:cs="Arial"/>
                <w:sz w:val="20"/>
                <w:szCs w:val="20"/>
              </w:rPr>
            </w:pPr>
            <w:proofErr w:type="spellStart"/>
            <w:r w:rsidRPr="002D2A0A">
              <w:rPr>
                <w:rFonts w:ascii="Arial" w:hAnsi="Arial" w:cs="Arial"/>
                <w:b/>
                <w:sz w:val="20"/>
                <w:szCs w:val="20"/>
                <w:u w:val="single"/>
              </w:rPr>
              <w:t>Opsumit</w:t>
            </w:r>
            <w:proofErr w:type="spellEnd"/>
            <w:r w:rsidR="00252749" w:rsidRPr="002D2A0A">
              <w:rPr>
                <w:rFonts w:ascii="Arial" w:hAnsi="Arial" w:cs="Arial"/>
                <w:b/>
                <w:sz w:val="20"/>
                <w:szCs w:val="20"/>
                <w:u w:val="single"/>
                <w:vertAlign w:val="superscript"/>
              </w:rPr>
              <w:t>®</w:t>
            </w:r>
          </w:p>
        </w:tc>
        <w:tc>
          <w:tcPr>
            <w:tcW w:w="1016" w:type="pct"/>
            <w:tcBorders>
              <w:bottom w:val="single" w:sz="4" w:space="0" w:color="auto"/>
            </w:tcBorders>
            <w:vAlign w:val="center"/>
          </w:tcPr>
          <w:p w14:paraId="57DBFC0F" w14:textId="77777777" w:rsidR="00064D19" w:rsidRPr="002D2A0A" w:rsidRDefault="00064D19" w:rsidP="002D2A0A">
            <w:pPr>
              <w:spacing w:beforeLines="40" w:before="96" w:afterLines="40" w:after="96" w:line="240" w:lineRule="auto"/>
              <w:rPr>
                <w:rFonts w:ascii="Arial" w:hAnsi="Arial" w:cs="Arial"/>
                <w:sz w:val="20"/>
                <w:szCs w:val="20"/>
              </w:rPr>
            </w:pPr>
            <w:proofErr w:type="spellStart"/>
            <w:r w:rsidRPr="002D2A0A">
              <w:rPr>
                <w:rFonts w:ascii="Arial" w:hAnsi="Arial" w:cs="Arial"/>
                <w:sz w:val="20"/>
                <w:szCs w:val="20"/>
              </w:rPr>
              <w:t>Actelion</w:t>
            </w:r>
            <w:proofErr w:type="spellEnd"/>
          </w:p>
        </w:tc>
        <w:tc>
          <w:tcPr>
            <w:tcW w:w="581" w:type="pct"/>
            <w:tcBorders>
              <w:bottom w:val="single" w:sz="4" w:space="0" w:color="auto"/>
            </w:tcBorders>
          </w:tcPr>
          <w:p w14:paraId="2D61B6F9"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w:t>
            </w:r>
          </w:p>
        </w:tc>
      </w:tr>
      <w:tr w:rsidR="00064D19" w:rsidRPr="002D2A0A" w14:paraId="3F3B70ED" w14:textId="77777777" w:rsidTr="00C978EB">
        <w:tc>
          <w:tcPr>
            <w:tcW w:w="456" w:type="pct"/>
            <w:vMerge w:val="restart"/>
          </w:tcPr>
          <w:p w14:paraId="7BA6942B"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Sildenafil</w:t>
            </w:r>
          </w:p>
        </w:tc>
        <w:tc>
          <w:tcPr>
            <w:tcW w:w="2947" w:type="pct"/>
            <w:vAlign w:val="center"/>
          </w:tcPr>
          <w:p w14:paraId="408F35E6" w14:textId="77777777" w:rsidR="00064D19" w:rsidRPr="002D2A0A" w:rsidRDefault="00064D19" w:rsidP="002D2A0A">
            <w:pPr>
              <w:spacing w:beforeLines="40" w:before="96" w:afterLines="40" w:after="96" w:line="240" w:lineRule="auto"/>
              <w:rPr>
                <w:rFonts w:ascii="Arial" w:hAnsi="Arial" w:cs="Arial"/>
                <w:b/>
                <w:sz w:val="20"/>
                <w:szCs w:val="20"/>
                <w:u w:val="single"/>
              </w:rPr>
            </w:pPr>
            <w:r w:rsidRPr="002D2A0A">
              <w:rPr>
                <w:rFonts w:ascii="Arial" w:hAnsi="Arial" w:cs="Arial"/>
                <w:b/>
                <w:sz w:val="20"/>
                <w:szCs w:val="20"/>
                <w:u w:val="single"/>
              </w:rPr>
              <w:t>*</w:t>
            </w:r>
            <w:proofErr w:type="spellStart"/>
            <w:r w:rsidR="00060C26" w:rsidRPr="002D2A0A">
              <w:rPr>
                <w:rFonts w:ascii="Arial" w:hAnsi="Arial" w:cs="Arial"/>
                <w:b/>
                <w:sz w:val="20"/>
                <w:szCs w:val="20"/>
                <w:u w:val="single"/>
              </w:rPr>
              <w:t>Revatio</w:t>
            </w:r>
            <w:proofErr w:type="spellEnd"/>
            <w:r w:rsidR="00252749" w:rsidRPr="002D2A0A">
              <w:rPr>
                <w:rFonts w:ascii="Arial" w:hAnsi="Arial" w:cs="Arial"/>
                <w:b/>
                <w:sz w:val="20"/>
                <w:szCs w:val="20"/>
                <w:u w:val="single"/>
                <w:vertAlign w:val="superscript"/>
              </w:rPr>
              <w:t>®</w:t>
            </w:r>
          </w:p>
        </w:tc>
        <w:tc>
          <w:tcPr>
            <w:tcW w:w="1016" w:type="pct"/>
            <w:vAlign w:val="center"/>
          </w:tcPr>
          <w:p w14:paraId="51139132"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Pfizer</w:t>
            </w:r>
          </w:p>
        </w:tc>
        <w:tc>
          <w:tcPr>
            <w:tcW w:w="581" w:type="pct"/>
          </w:tcPr>
          <w:p w14:paraId="76B6006E"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 (tablet only)</w:t>
            </w:r>
          </w:p>
        </w:tc>
      </w:tr>
      <w:tr w:rsidR="00064D19" w:rsidRPr="002D2A0A" w14:paraId="3FDE634A" w14:textId="77777777" w:rsidTr="00C978EB">
        <w:tc>
          <w:tcPr>
            <w:tcW w:w="456" w:type="pct"/>
            <w:vMerge/>
            <w:vAlign w:val="center"/>
          </w:tcPr>
          <w:p w14:paraId="6667FC67" w14:textId="77777777" w:rsidR="00064D19" w:rsidRPr="002D2A0A" w:rsidRDefault="00064D19" w:rsidP="002D2A0A">
            <w:pPr>
              <w:spacing w:beforeLines="40" w:before="96" w:afterLines="40" w:after="96" w:line="240" w:lineRule="auto"/>
              <w:rPr>
                <w:rFonts w:ascii="Arial" w:hAnsi="Arial" w:cs="Arial"/>
                <w:i/>
                <w:sz w:val="20"/>
                <w:szCs w:val="20"/>
              </w:rPr>
            </w:pPr>
          </w:p>
        </w:tc>
        <w:tc>
          <w:tcPr>
            <w:tcW w:w="2947" w:type="pct"/>
            <w:tcBorders>
              <w:top w:val="single" w:sz="4" w:space="0" w:color="auto"/>
            </w:tcBorders>
            <w:vAlign w:val="center"/>
          </w:tcPr>
          <w:p w14:paraId="3E4AE01F" w14:textId="77777777" w:rsidR="00064D19" w:rsidRPr="002D2A0A" w:rsidRDefault="00064D19" w:rsidP="002D2A0A">
            <w:pPr>
              <w:spacing w:beforeLines="40" w:before="96" w:afterLines="40" w:after="96" w:line="240" w:lineRule="auto"/>
              <w:rPr>
                <w:rFonts w:ascii="Arial" w:hAnsi="Arial" w:cs="Arial"/>
                <w:i/>
                <w:sz w:val="20"/>
                <w:szCs w:val="20"/>
              </w:rPr>
            </w:pPr>
            <w:r w:rsidRPr="002D2A0A">
              <w:rPr>
                <w:rFonts w:ascii="Arial" w:hAnsi="Arial" w:cs="Arial"/>
                <w:b/>
                <w:sz w:val="20"/>
                <w:szCs w:val="20"/>
              </w:rPr>
              <w:t>APO-Sildenafil PHT</w:t>
            </w:r>
            <w:r w:rsidRPr="002D2A0A">
              <w:rPr>
                <w:rFonts w:ascii="Arial" w:hAnsi="Arial" w:cs="Arial"/>
                <w:sz w:val="20"/>
                <w:szCs w:val="20"/>
              </w:rPr>
              <w:t>; CHEMMART SILDENAFIL PHT;</w:t>
            </w:r>
            <w:r w:rsidR="00011758">
              <w:rPr>
                <w:rFonts w:ascii="Arial" w:hAnsi="Arial" w:cs="Arial"/>
                <w:sz w:val="20"/>
                <w:szCs w:val="20"/>
              </w:rPr>
              <w:t xml:space="preserve"> </w:t>
            </w:r>
            <w:r w:rsidRPr="002D2A0A">
              <w:rPr>
                <w:rFonts w:ascii="Arial" w:hAnsi="Arial" w:cs="Arial"/>
                <w:sz w:val="20"/>
                <w:szCs w:val="20"/>
              </w:rPr>
              <w:t xml:space="preserve">TERRY WHITE CHEMISTS SILDENAFIL PHT </w:t>
            </w:r>
          </w:p>
        </w:tc>
        <w:tc>
          <w:tcPr>
            <w:tcW w:w="1016" w:type="pct"/>
            <w:tcBorders>
              <w:top w:val="single" w:sz="4" w:space="0" w:color="auto"/>
            </w:tcBorders>
            <w:vAlign w:val="center"/>
          </w:tcPr>
          <w:p w14:paraId="5984E3E5" w14:textId="77777777" w:rsidR="00064D19" w:rsidRPr="002D2A0A" w:rsidRDefault="00064D19" w:rsidP="002D2A0A">
            <w:pPr>
              <w:spacing w:beforeLines="40" w:before="96" w:afterLines="40" w:after="96" w:line="240" w:lineRule="auto"/>
              <w:rPr>
                <w:rFonts w:ascii="Arial" w:hAnsi="Arial" w:cs="Arial"/>
                <w:sz w:val="20"/>
                <w:szCs w:val="20"/>
              </w:rPr>
            </w:pPr>
            <w:proofErr w:type="spellStart"/>
            <w:r w:rsidRPr="002D2A0A">
              <w:rPr>
                <w:rFonts w:ascii="Arial" w:hAnsi="Arial" w:cs="Arial"/>
                <w:sz w:val="20"/>
                <w:szCs w:val="20"/>
              </w:rPr>
              <w:t>Apotex</w:t>
            </w:r>
            <w:proofErr w:type="spellEnd"/>
          </w:p>
        </w:tc>
        <w:tc>
          <w:tcPr>
            <w:tcW w:w="581" w:type="pct"/>
            <w:tcBorders>
              <w:top w:val="single" w:sz="4" w:space="0" w:color="auto"/>
            </w:tcBorders>
          </w:tcPr>
          <w:p w14:paraId="5A27B1D7"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w:t>
            </w:r>
          </w:p>
        </w:tc>
      </w:tr>
      <w:tr w:rsidR="00064D19" w:rsidRPr="002D2A0A" w14:paraId="2D9ABB9E" w14:textId="77777777" w:rsidTr="00C978EB">
        <w:tc>
          <w:tcPr>
            <w:tcW w:w="456" w:type="pct"/>
            <w:vMerge/>
            <w:vAlign w:val="center"/>
          </w:tcPr>
          <w:p w14:paraId="5193F416" w14:textId="77777777" w:rsidR="00064D19" w:rsidRPr="002D2A0A" w:rsidRDefault="00064D19" w:rsidP="002D2A0A">
            <w:pPr>
              <w:spacing w:beforeLines="40" w:before="96" w:afterLines="40" w:after="96" w:line="240" w:lineRule="auto"/>
              <w:rPr>
                <w:rFonts w:ascii="Arial" w:hAnsi="Arial" w:cs="Arial"/>
                <w:i/>
                <w:sz w:val="20"/>
                <w:szCs w:val="20"/>
              </w:rPr>
            </w:pPr>
          </w:p>
        </w:tc>
        <w:tc>
          <w:tcPr>
            <w:tcW w:w="2947" w:type="pct"/>
            <w:tcBorders>
              <w:top w:val="single" w:sz="4" w:space="0" w:color="auto"/>
            </w:tcBorders>
            <w:vAlign w:val="center"/>
          </w:tcPr>
          <w:p w14:paraId="3407C08B" w14:textId="77777777" w:rsidR="00064D19" w:rsidRPr="002D2A0A" w:rsidRDefault="00064D19" w:rsidP="002D2A0A">
            <w:pPr>
              <w:spacing w:beforeLines="40" w:before="96" w:afterLines="40" w:after="96" w:line="240" w:lineRule="auto"/>
              <w:rPr>
                <w:rFonts w:ascii="Arial" w:hAnsi="Arial" w:cs="Arial"/>
                <w:i/>
                <w:sz w:val="20"/>
                <w:szCs w:val="20"/>
              </w:rPr>
            </w:pPr>
            <w:r w:rsidRPr="002D2A0A">
              <w:rPr>
                <w:rFonts w:ascii="Arial" w:hAnsi="Arial" w:cs="Arial"/>
                <w:b/>
                <w:sz w:val="20"/>
                <w:szCs w:val="20"/>
              </w:rPr>
              <w:t>SILDENAFIL-</w:t>
            </w:r>
            <w:proofErr w:type="spellStart"/>
            <w:r w:rsidRPr="002D2A0A">
              <w:rPr>
                <w:rFonts w:ascii="Arial" w:hAnsi="Arial" w:cs="Arial"/>
                <w:b/>
                <w:sz w:val="20"/>
                <w:szCs w:val="20"/>
              </w:rPr>
              <w:t>DRx</w:t>
            </w:r>
            <w:proofErr w:type="spellEnd"/>
            <w:r w:rsidRPr="002D2A0A">
              <w:rPr>
                <w:rFonts w:ascii="Arial" w:hAnsi="Arial" w:cs="Arial"/>
                <w:sz w:val="20"/>
                <w:szCs w:val="20"/>
              </w:rPr>
              <w:t>; SYZUM-DRLA Sildenafil; MECFIL Sildenafil; ALSIOZ Sildenafil; CAVEROZ Sildenafil</w:t>
            </w:r>
          </w:p>
        </w:tc>
        <w:tc>
          <w:tcPr>
            <w:tcW w:w="1016" w:type="pct"/>
            <w:tcBorders>
              <w:top w:val="single" w:sz="4" w:space="0" w:color="auto"/>
            </w:tcBorders>
            <w:vAlign w:val="center"/>
          </w:tcPr>
          <w:p w14:paraId="28725217"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Dr Reddy’s Laboratories</w:t>
            </w:r>
          </w:p>
        </w:tc>
        <w:tc>
          <w:tcPr>
            <w:tcW w:w="581" w:type="pct"/>
            <w:tcBorders>
              <w:top w:val="single" w:sz="4" w:space="0" w:color="auto"/>
            </w:tcBorders>
          </w:tcPr>
          <w:p w14:paraId="44C3FBAB"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w:t>
            </w:r>
          </w:p>
        </w:tc>
      </w:tr>
      <w:tr w:rsidR="00064D19" w:rsidRPr="002D2A0A" w14:paraId="624CFC52" w14:textId="77777777" w:rsidTr="00C978EB">
        <w:tc>
          <w:tcPr>
            <w:tcW w:w="456" w:type="pct"/>
            <w:vMerge/>
            <w:vAlign w:val="center"/>
          </w:tcPr>
          <w:p w14:paraId="241C76D7" w14:textId="77777777" w:rsidR="00064D19" w:rsidRPr="002D2A0A" w:rsidRDefault="00064D19" w:rsidP="002D2A0A">
            <w:pPr>
              <w:spacing w:beforeLines="40" w:before="96" w:afterLines="40" w:after="96" w:line="240" w:lineRule="auto"/>
              <w:rPr>
                <w:rFonts w:ascii="Arial" w:hAnsi="Arial" w:cs="Arial"/>
                <w:i/>
                <w:sz w:val="20"/>
                <w:szCs w:val="20"/>
              </w:rPr>
            </w:pPr>
          </w:p>
        </w:tc>
        <w:tc>
          <w:tcPr>
            <w:tcW w:w="2947" w:type="pct"/>
            <w:tcBorders>
              <w:top w:val="single" w:sz="4" w:space="0" w:color="auto"/>
            </w:tcBorders>
            <w:vAlign w:val="center"/>
          </w:tcPr>
          <w:p w14:paraId="7307D2CB" w14:textId="77777777" w:rsidR="00064D19" w:rsidRPr="002D2A0A" w:rsidRDefault="00064D19" w:rsidP="002D2A0A">
            <w:pPr>
              <w:spacing w:beforeLines="40" w:before="96" w:afterLines="40" w:after="96" w:line="240" w:lineRule="auto"/>
              <w:rPr>
                <w:rFonts w:ascii="Arial" w:hAnsi="Arial" w:cs="Arial"/>
                <w:b/>
                <w:i/>
                <w:sz w:val="20"/>
                <w:szCs w:val="20"/>
              </w:rPr>
            </w:pPr>
            <w:r w:rsidRPr="002D2A0A">
              <w:rPr>
                <w:rFonts w:ascii="Arial" w:hAnsi="Arial" w:cs="Arial"/>
                <w:b/>
                <w:sz w:val="20"/>
                <w:szCs w:val="20"/>
              </w:rPr>
              <w:t>Sildenafil AN PHT 20</w:t>
            </w:r>
          </w:p>
        </w:tc>
        <w:tc>
          <w:tcPr>
            <w:tcW w:w="1016" w:type="pct"/>
            <w:tcBorders>
              <w:top w:val="single" w:sz="4" w:space="0" w:color="auto"/>
            </w:tcBorders>
            <w:vAlign w:val="center"/>
          </w:tcPr>
          <w:p w14:paraId="0E2EBAE6" w14:textId="77777777" w:rsidR="00064D19" w:rsidRPr="002D2A0A" w:rsidRDefault="00064D19" w:rsidP="002D2A0A">
            <w:pPr>
              <w:spacing w:beforeLines="40" w:before="96" w:afterLines="40" w:after="96" w:line="240" w:lineRule="auto"/>
              <w:rPr>
                <w:rFonts w:ascii="Arial" w:hAnsi="Arial" w:cs="Arial"/>
                <w:sz w:val="20"/>
                <w:szCs w:val="20"/>
              </w:rPr>
            </w:pPr>
            <w:proofErr w:type="spellStart"/>
            <w:r w:rsidRPr="002D2A0A">
              <w:rPr>
                <w:rFonts w:ascii="Arial" w:hAnsi="Arial" w:cs="Arial"/>
                <w:sz w:val="20"/>
                <w:szCs w:val="20"/>
              </w:rPr>
              <w:t>Amneal</w:t>
            </w:r>
            <w:proofErr w:type="spellEnd"/>
          </w:p>
        </w:tc>
        <w:tc>
          <w:tcPr>
            <w:tcW w:w="581" w:type="pct"/>
            <w:tcBorders>
              <w:top w:val="single" w:sz="4" w:space="0" w:color="auto"/>
            </w:tcBorders>
          </w:tcPr>
          <w:p w14:paraId="31C4B47D"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w:t>
            </w:r>
          </w:p>
        </w:tc>
      </w:tr>
      <w:tr w:rsidR="00064D19" w:rsidRPr="002D2A0A" w14:paraId="278A6C6C" w14:textId="77777777" w:rsidTr="00C978EB">
        <w:tc>
          <w:tcPr>
            <w:tcW w:w="456" w:type="pct"/>
            <w:vMerge/>
            <w:vAlign w:val="center"/>
          </w:tcPr>
          <w:p w14:paraId="3E78B89F" w14:textId="77777777" w:rsidR="00064D19" w:rsidRPr="002D2A0A" w:rsidRDefault="00064D19" w:rsidP="002D2A0A">
            <w:pPr>
              <w:spacing w:beforeLines="40" w:before="96" w:afterLines="40" w:after="96" w:line="240" w:lineRule="auto"/>
              <w:rPr>
                <w:rFonts w:ascii="Arial" w:hAnsi="Arial" w:cs="Arial"/>
                <w:i/>
                <w:sz w:val="20"/>
                <w:szCs w:val="20"/>
              </w:rPr>
            </w:pPr>
          </w:p>
        </w:tc>
        <w:tc>
          <w:tcPr>
            <w:tcW w:w="2947" w:type="pct"/>
            <w:tcBorders>
              <w:top w:val="single" w:sz="4" w:space="0" w:color="auto"/>
            </w:tcBorders>
            <w:vAlign w:val="center"/>
          </w:tcPr>
          <w:p w14:paraId="384F75A4" w14:textId="77777777" w:rsidR="00064D19" w:rsidRPr="002D2A0A" w:rsidRDefault="00064D19" w:rsidP="002D2A0A">
            <w:pPr>
              <w:spacing w:beforeLines="40" w:before="96" w:afterLines="40" w:after="96" w:line="240" w:lineRule="auto"/>
              <w:rPr>
                <w:rFonts w:ascii="Arial" w:hAnsi="Arial" w:cs="Arial"/>
                <w:i/>
                <w:sz w:val="20"/>
                <w:szCs w:val="20"/>
              </w:rPr>
            </w:pPr>
            <w:r w:rsidRPr="002D2A0A">
              <w:rPr>
                <w:rFonts w:ascii="Arial" w:hAnsi="Arial" w:cs="Arial"/>
                <w:b/>
                <w:sz w:val="20"/>
                <w:szCs w:val="20"/>
              </w:rPr>
              <w:t>Sildenafil Sandoz PHT 20</w:t>
            </w:r>
            <w:r w:rsidRPr="002D2A0A">
              <w:rPr>
                <w:rFonts w:ascii="Arial" w:hAnsi="Arial" w:cs="Arial"/>
                <w:sz w:val="20"/>
                <w:szCs w:val="20"/>
              </w:rPr>
              <w:t>;</w:t>
            </w:r>
            <w:r w:rsidR="00011758">
              <w:rPr>
                <w:rFonts w:ascii="Arial" w:hAnsi="Arial" w:cs="Arial"/>
                <w:sz w:val="20"/>
                <w:szCs w:val="20"/>
              </w:rPr>
              <w:t xml:space="preserve"> </w:t>
            </w:r>
            <w:r w:rsidRPr="002D2A0A">
              <w:rPr>
                <w:rFonts w:ascii="Arial" w:hAnsi="Arial" w:cs="Arial"/>
                <w:sz w:val="20"/>
                <w:szCs w:val="20"/>
              </w:rPr>
              <w:t>SILDACCORD PHT;</w:t>
            </w:r>
            <w:r w:rsidR="00011758">
              <w:rPr>
                <w:rFonts w:ascii="Arial" w:hAnsi="Arial" w:cs="Arial"/>
                <w:sz w:val="20"/>
                <w:szCs w:val="20"/>
              </w:rPr>
              <w:t xml:space="preserve"> </w:t>
            </w:r>
            <w:r w:rsidRPr="002D2A0A">
              <w:rPr>
                <w:rFonts w:ascii="Arial" w:hAnsi="Arial" w:cs="Arial"/>
                <w:sz w:val="20"/>
                <w:szCs w:val="20"/>
              </w:rPr>
              <w:t>SILDANIL PHT 20</w:t>
            </w:r>
          </w:p>
        </w:tc>
        <w:tc>
          <w:tcPr>
            <w:tcW w:w="1016" w:type="pct"/>
            <w:tcBorders>
              <w:top w:val="single" w:sz="4" w:space="0" w:color="auto"/>
            </w:tcBorders>
            <w:vAlign w:val="center"/>
          </w:tcPr>
          <w:p w14:paraId="5B60F22A"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Accord Healthcare</w:t>
            </w:r>
          </w:p>
        </w:tc>
        <w:tc>
          <w:tcPr>
            <w:tcW w:w="581" w:type="pct"/>
            <w:tcBorders>
              <w:top w:val="single" w:sz="4" w:space="0" w:color="auto"/>
            </w:tcBorders>
          </w:tcPr>
          <w:p w14:paraId="31370A14"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w:t>
            </w:r>
          </w:p>
        </w:tc>
      </w:tr>
      <w:tr w:rsidR="00064D19" w:rsidRPr="002D2A0A" w14:paraId="44068757" w14:textId="77777777" w:rsidTr="00C978EB">
        <w:tc>
          <w:tcPr>
            <w:tcW w:w="456" w:type="pct"/>
            <w:vMerge/>
            <w:vAlign w:val="center"/>
          </w:tcPr>
          <w:p w14:paraId="046E25D5" w14:textId="77777777" w:rsidR="00064D19" w:rsidRPr="002D2A0A" w:rsidRDefault="00064D19" w:rsidP="002D2A0A">
            <w:pPr>
              <w:spacing w:beforeLines="40" w:before="96" w:afterLines="40" w:after="96" w:line="240" w:lineRule="auto"/>
              <w:rPr>
                <w:rFonts w:ascii="Arial" w:hAnsi="Arial" w:cs="Arial"/>
                <w:i/>
                <w:sz w:val="20"/>
                <w:szCs w:val="20"/>
              </w:rPr>
            </w:pPr>
          </w:p>
        </w:tc>
        <w:tc>
          <w:tcPr>
            <w:tcW w:w="2947" w:type="pct"/>
            <w:tcBorders>
              <w:top w:val="single" w:sz="4" w:space="0" w:color="auto"/>
            </w:tcBorders>
            <w:vAlign w:val="center"/>
          </w:tcPr>
          <w:p w14:paraId="10AE1182"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DENSIL sildenafil; SILVIO sildenafil; SILDENAFIL ACTAVIS PAH</w:t>
            </w:r>
          </w:p>
        </w:tc>
        <w:tc>
          <w:tcPr>
            <w:tcW w:w="1016" w:type="pct"/>
            <w:tcBorders>
              <w:top w:val="single" w:sz="4" w:space="0" w:color="auto"/>
            </w:tcBorders>
            <w:vAlign w:val="center"/>
          </w:tcPr>
          <w:p w14:paraId="00E25364" w14:textId="77777777" w:rsidR="00064D19" w:rsidRPr="002D2A0A" w:rsidRDefault="00064D19" w:rsidP="002D2A0A">
            <w:pPr>
              <w:spacing w:beforeLines="40" w:before="96" w:afterLines="40" w:after="96" w:line="240" w:lineRule="auto"/>
              <w:rPr>
                <w:rFonts w:ascii="Arial" w:hAnsi="Arial" w:cs="Arial"/>
                <w:sz w:val="20"/>
                <w:szCs w:val="20"/>
              </w:rPr>
            </w:pPr>
            <w:proofErr w:type="spellStart"/>
            <w:r w:rsidRPr="002D2A0A">
              <w:rPr>
                <w:rFonts w:ascii="Arial" w:hAnsi="Arial" w:cs="Arial"/>
                <w:sz w:val="20"/>
                <w:szCs w:val="20"/>
              </w:rPr>
              <w:t>Medis</w:t>
            </w:r>
            <w:proofErr w:type="spellEnd"/>
            <w:r w:rsidRPr="002D2A0A">
              <w:rPr>
                <w:rFonts w:ascii="Arial" w:hAnsi="Arial" w:cs="Arial"/>
                <w:sz w:val="20"/>
                <w:szCs w:val="20"/>
              </w:rPr>
              <w:t xml:space="preserve"> Pharma</w:t>
            </w:r>
          </w:p>
        </w:tc>
        <w:tc>
          <w:tcPr>
            <w:tcW w:w="581" w:type="pct"/>
            <w:tcBorders>
              <w:top w:val="single" w:sz="4" w:space="0" w:color="auto"/>
            </w:tcBorders>
          </w:tcPr>
          <w:p w14:paraId="05A5C86C"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No</w:t>
            </w:r>
          </w:p>
        </w:tc>
      </w:tr>
      <w:tr w:rsidR="00064D19" w:rsidRPr="002D2A0A" w14:paraId="3B113374" w14:textId="77777777" w:rsidTr="00C978EB">
        <w:tc>
          <w:tcPr>
            <w:tcW w:w="456" w:type="pct"/>
            <w:vMerge/>
            <w:vAlign w:val="center"/>
          </w:tcPr>
          <w:p w14:paraId="4982EB1B" w14:textId="77777777" w:rsidR="00064D19" w:rsidRPr="002D2A0A" w:rsidRDefault="00064D19" w:rsidP="002D2A0A">
            <w:pPr>
              <w:spacing w:beforeLines="40" w:before="96" w:afterLines="40" w:after="96" w:line="240" w:lineRule="auto"/>
              <w:rPr>
                <w:rFonts w:ascii="Arial" w:hAnsi="Arial" w:cs="Arial"/>
                <w:i/>
                <w:sz w:val="20"/>
                <w:szCs w:val="20"/>
              </w:rPr>
            </w:pPr>
          </w:p>
        </w:tc>
        <w:tc>
          <w:tcPr>
            <w:tcW w:w="2947" w:type="pct"/>
            <w:tcBorders>
              <w:top w:val="single" w:sz="4" w:space="0" w:color="auto"/>
            </w:tcBorders>
            <w:vAlign w:val="center"/>
          </w:tcPr>
          <w:p w14:paraId="3E8244DF"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SILDENAFIL AN PHT 20</w:t>
            </w:r>
          </w:p>
        </w:tc>
        <w:tc>
          <w:tcPr>
            <w:tcW w:w="1016" w:type="pct"/>
            <w:tcBorders>
              <w:top w:val="single" w:sz="4" w:space="0" w:color="auto"/>
            </w:tcBorders>
            <w:vAlign w:val="center"/>
          </w:tcPr>
          <w:p w14:paraId="26990597"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Arrow Pharma</w:t>
            </w:r>
          </w:p>
        </w:tc>
        <w:tc>
          <w:tcPr>
            <w:tcW w:w="581" w:type="pct"/>
            <w:tcBorders>
              <w:top w:val="single" w:sz="4" w:space="0" w:color="auto"/>
            </w:tcBorders>
          </w:tcPr>
          <w:p w14:paraId="57783EE1"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No</w:t>
            </w:r>
          </w:p>
        </w:tc>
      </w:tr>
      <w:tr w:rsidR="00064D19" w:rsidRPr="002D2A0A" w14:paraId="68B0B237" w14:textId="77777777" w:rsidTr="00C978EB">
        <w:tc>
          <w:tcPr>
            <w:tcW w:w="456" w:type="pct"/>
            <w:vMerge/>
            <w:vAlign w:val="center"/>
          </w:tcPr>
          <w:p w14:paraId="1DEFAA55" w14:textId="77777777" w:rsidR="00064D19" w:rsidRPr="002D2A0A" w:rsidRDefault="00064D19" w:rsidP="002D2A0A">
            <w:pPr>
              <w:spacing w:beforeLines="40" w:before="96" w:afterLines="40" w:after="96" w:line="240" w:lineRule="auto"/>
              <w:rPr>
                <w:rFonts w:ascii="Arial" w:hAnsi="Arial" w:cs="Arial"/>
                <w:i/>
                <w:sz w:val="20"/>
                <w:szCs w:val="20"/>
              </w:rPr>
            </w:pPr>
          </w:p>
        </w:tc>
        <w:tc>
          <w:tcPr>
            <w:tcW w:w="2947" w:type="pct"/>
            <w:tcBorders>
              <w:top w:val="single" w:sz="4" w:space="0" w:color="auto"/>
            </w:tcBorders>
            <w:vAlign w:val="center"/>
          </w:tcPr>
          <w:p w14:paraId="0E663368"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 xml:space="preserve">PHARMACOR SILDENAFIL PHT 20 </w:t>
            </w:r>
          </w:p>
        </w:tc>
        <w:tc>
          <w:tcPr>
            <w:tcW w:w="1016" w:type="pct"/>
            <w:tcBorders>
              <w:top w:val="single" w:sz="4" w:space="0" w:color="auto"/>
            </w:tcBorders>
            <w:vAlign w:val="center"/>
          </w:tcPr>
          <w:p w14:paraId="01CEDCED" w14:textId="77777777" w:rsidR="00064D19" w:rsidRPr="002D2A0A" w:rsidRDefault="00064D19" w:rsidP="002D2A0A">
            <w:pPr>
              <w:spacing w:beforeLines="40" w:before="96" w:afterLines="40" w:after="96" w:line="240" w:lineRule="auto"/>
              <w:rPr>
                <w:rFonts w:ascii="Arial" w:hAnsi="Arial" w:cs="Arial"/>
                <w:sz w:val="20"/>
                <w:szCs w:val="20"/>
              </w:rPr>
            </w:pPr>
            <w:proofErr w:type="spellStart"/>
            <w:r w:rsidRPr="002D2A0A">
              <w:rPr>
                <w:rFonts w:ascii="Arial" w:hAnsi="Arial" w:cs="Arial"/>
                <w:sz w:val="20"/>
                <w:szCs w:val="20"/>
              </w:rPr>
              <w:t>Pharmacor</w:t>
            </w:r>
            <w:proofErr w:type="spellEnd"/>
          </w:p>
        </w:tc>
        <w:tc>
          <w:tcPr>
            <w:tcW w:w="581" w:type="pct"/>
            <w:tcBorders>
              <w:top w:val="single" w:sz="4" w:space="0" w:color="auto"/>
            </w:tcBorders>
          </w:tcPr>
          <w:p w14:paraId="77FE0FCA"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No</w:t>
            </w:r>
          </w:p>
        </w:tc>
      </w:tr>
      <w:tr w:rsidR="00064D19" w:rsidRPr="002D2A0A" w14:paraId="0C07E67B" w14:textId="77777777" w:rsidTr="00C978EB">
        <w:tc>
          <w:tcPr>
            <w:tcW w:w="456" w:type="pct"/>
            <w:vAlign w:val="center"/>
          </w:tcPr>
          <w:p w14:paraId="5DB1E63C"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Tadalafil</w:t>
            </w:r>
          </w:p>
        </w:tc>
        <w:tc>
          <w:tcPr>
            <w:tcW w:w="2947" w:type="pct"/>
            <w:vAlign w:val="center"/>
          </w:tcPr>
          <w:p w14:paraId="0CDA681D" w14:textId="77777777" w:rsidR="00064D19" w:rsidRPr="002D2A0A" w:rsidRDefault="00064D19" w:rsidP="002D2A0A">
            <w:pPr>
              <w:spacing w:beforeLines="40" w:before="96" w:afterLines="40" w:after="96" w:line="240" w:lineRule="auto"/>
              <w:rPr>
                <w:rFonts w:ascii="Arial" w:hAnsi="Arial" w:cs="Arial"/>
                <w:b/>
                <w:sz w:val="20"/>
                <w:szCs w:val="20"/>
                <w:u w:val="single"/>
              </w:rPr>
            </w:pPr>
            <w:r w:rsidRPr="002D2A0A">
              <w:rPr>
                <w:rFonts w:ascii="Arial" w:hAnsi="Arial" w:cs="Arial"/>
                <w:b/>
                <w:sz w:val="20"/>
                <w:szCs w:val="20"/>
                <w:u w:val="single"/>
              </w:rPr>
              <w:t>*</w:t>
            </w:r>
            <w:proofErr w:type="spellStart"/>
            <w:r w:rsidR="00060C26" w:rsidRPr="002D2A0A">
              <w:rPr>
                <w:rFonts w:ascii="Arial" w:hAnsi="Arial" w:cs="Arial"/>
                <w:b/>
                <w:sz w:val="20"/>
                <w:szCs w:val="20"/>
                <w:u w:val="single"/>
              </w:rPr>
              <w:t>Adcirca</w:t>
            </w:r>
            <w:proofErr w:type="spellEnd"/>
            <w:r w:rsidR="00252749" w:rsidRPr="002D2A0A">
              <w:rPr>
                <w:rFonts w:ascii="Arial" w:hAnsi="Arial" w:cs="Arial"/>
                <w:b/>
                <w:sz w:val="20"/>
                <w:szCs w:val="20"/>
                <w:u w:val="single"/>
                <w:vertAlign w:val="superscript"/>
              </w:rPr>
              <w:t>®</w:t>
            </w:r>
          </w:p>
        </w:tc>
        <w:tc>
          <w:tcPr>
            <w:tcW w:w="1016" w:type="pct"/>
            <w:vAlign w:val="center"/>
          </w:tcPr>
          <w:p w14:paraId="31D8CB9F"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Eli Lilly</w:t>
            </w:r>
          </w:p>
        </w:tc>
        <w:tc>
          <w:tcPr>
            <w:tcW w:w="581" w:type="pct"/>
          </w:tcPr>
          <w:p w14:paraId="6508573F"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w:t>
            </w:r>
          </w:p>
        </w:tc>
      </w:tr>
      <w:tr w:rsidR="00064D19" w:rsidRPr="002D2A0A" w14:paraId="7FD09714" w14:textId="77777777" w:rsidTr="00C978EB">
        <w:tc>
          <w:tcPr>
            <w:tcW w:w="456" w:type="pct"/>
            <w:vAlign w:val="center"/>
          </w:tcPr>
          <w:p w14:paraId="2621A0F3"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 xml:space="preserve">Riociguat </w:t>
            </w:r>
          </w:p>
        </w:tc>
        <w:tc>
          <w:tcPr>
            <w:tcW w:w="2947" w:type="pct"/>
            <w:vAlign w:val="center"/>
          </w:tcPr>
          <w:p w14:paraId="732860D1" w14:textId="77777777" w:rsidR="00064D19" w:rsidRPr="002D2A0A" w:rsidRDefault="00064D19" w:rsidP="002D2A0A">
            <w:pPr>
              <w:spacing w:beforeLines="40" w:before="96" w:afterLines="40" w:after="96" w:line="240" w:lineRule="auto"/>
              <w:rPr>
                <w:rFonts w:ascii="Arial" w:hAnsi="Arial" w:cs="Arial"/>
                <w:b/>
                <w:sz w:val="20"/>
                <w:szCs w:val="20"/>
                <w:u w:val="single"/>
              </w:rPr>
            </w:pPr>
            <w:r w:rsidRPr="002D2A0A">
              <w:rPr>
                <w:rFonts w:ascii="Arial" w:hAnsi="Arial" w:cs="Arial"/>
                <w:b/>
                <w:sz w:val="20"/>
                <w:szCs w:val="20"/>
                <w:u w:val="single"/>
              </w:rPr>
              <w:t>*</w:t>
            </w:r>
            <w:proofErr w:type="spellStart"/>
            <w:r w:rsidR="00060C26" w:rsidRPr="002D2A0A">
              <w:rPr>
                <w:rFonts w:ascii="Arial" w:hAnsi="Arial" w:cs="Arial"/>
                <w:b/>
                <w:sz w:val="20"/>
                <w:szCs w:val="20"/>
                <w:u w:val="single"/>
              </w:rPr>
              <w:t>Adempas</w:t>
            </w:r>
            <w:proofErr w:type="spellEnd"/>
            <w:r w:rsidR="00252749" w:rsidRPr="002D2A0A">
              <w:rPr>
                <w:rFonts w:ascii="Arial" w:hAnsi="Arial" w:cs="Arial"/>
                <w:b/>
                <w:sz w:val="20"/>
                <w:szCs w:val="20"/>
                <w:u w:val="single"/>
                <w:vertAlign w:val="superscript"/>
              </w:rPr>
              <w:t>®</w:t>
            </w:r>
          </w:p>
        </w:tc>
        <w:tc>
          <w:tcPr>
            <w:tcW w:w="1016" w:type="pct"/>
            <w:vAlign w:val="center"/>
          </w:tcPr>
          <w:p w14:paraId="6F172A42" w14:textId="77777777" w:rsidR="00064D19" w:rsidRPr="002D2A0A" w:rsidRDefault="00064D19" w:rsidP="002D2A0A">
            <w:pPr>
              <w:pStyle w:val="TableText"/>
              <w:tabs>
                <w:tab w:val="left" w:pos="180"/>
                <w:tab w:val="center" w:pos="671"/>
              </w:tabs>
              <w:spacing w:beforeLines="40" w:before="96" w:afterLines="40" w:after="96"/>
              <w:rPr>
                <w:rFonts w:ascii="Arial" w:hAnsi="Arial"/>
                <w:szCs w:val="20"/>
              </w:rPr>
            </w:pPr>
            <w:r w:rsidRPr="002D2A0A">
              <w:rPr>
                <w:rFonts w:ascii="Arial" w:hAnsi="Arial"/>
                <w:szCs w:val="20"/>
              </w:rPr>
              <w:t>Bayer</w:t>
            </w:r>
          </w:p>
        </w:tc>
        <w:tc>
          <w:tcPr>
            <w:tcW w:w="581" w:type="pct"/>
          </w:tcPr>
          <w:p w14:paraId="66BD1B63"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Yes</w:t>
            </w:r>
          </w:p>
        </w:tc>
      </w:tr>
      <w:tr w:rsidR="00064D19" w:rsidRPr="002D2A0A" w14:paraId="76B1D6F9" w14:textId="77777777" w:rsidTr="00C978EB">
        <w:tc>
          <w:tcPr>
            <w:tcW w:w="456" w:type="pct"/>
            <w:vMerge w:val="restart"/>
          </w:tcPr>
          <w:p w14:paraId="0040CC9C"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Epoprostenol</w:t>
            </w:r>
          </w:p>
        </w:tc>
        <w:tc>
          <w:tcPr>
            <w:tcW w:w="2947" w:type="pct"/>
            <w:vAlign w:val="center"/>
          </w:tcPr>
          <w:p w14:paraId="50F63757" w14:textId="77777777" w:rsidR="00064D19" w:rsidRPr="002D2A0A" w:rsidRDefault="00064D19" w:rsidP="002D2A0A">
            <w:pPr>
              <w:pStyle w:val="TableText"/>
              <w:spacing w:beforeLines="40" w:before="96" w:afterLines="40" w:after="96"/>
              <w:rPr>
                <w:rFonts w:ascii="Arial" w:hAnsi="Arial"/>
                <w:szCs w:val="20"/>
              </w:rPr>
            </w:pPr>
            <w:r w:rsidRPr="002D2A0A">
              <w:rPr>
                <w:rFonts w:ascii="Arial" w:hAnsi="Arial"/>
                <w:szCs w:val="20"/>
              </w:rPr>
              <w:t>*</w:t>
            </w:r>
            <w:proofErr w:type="spellStart"/>
            <w:r w:rsidR="00060C26" w:rsidRPr="002D2A0A">
              <w:rPr>
                <w:rFonts w:ascii="Arial" w:hAnsi="Arial"/>
                <w:b/>
                <w:szCs w:val="20"/>
                <w:u w:val="single"/>
              </w:rPr>
              <w:t>Flolan</w:t>
            </w:r>
            <w:proofErr w:type="spellEnd"/>
            <w:r w:rsidR="00252749" w:rsidRPr="002D2A0A">
              <w:rPr>
                <w:rFonts w:ascii="Arial" w:hAnsi="Arial"/>
                <w:b/>
                <w:szCs w:val="20"/>
                <w:u w:val="single"/>
                <w:vertAlign w:val="superscript"/>
              </w:rPr>
              <w:t>®</w:t>
            </w:r>
          </w:p>
        </w:tc>
        <w:tc>
          <w:tcPr>
            <w:tcW w:w="1016" w:type="pct"/>
            <w:vAlign w:val="center"/>
          </w:tcPr>
          <w:p w14:paraId="10B5E711" w14:textId="77777777" w:rsidR="00064D19" w:rsidRPr="002D2A0A" w:rsidRDefault="00064D19" w:rsidP="002D2A0A">
            <w:pPr>
              <w:pStyle w:val="TableText"/>
              <w:spacing w:beforeLines="40" w:before="96" w:afterLines="40" w:after="96"/>
              <w:rPr>
                <w:rFonts w:ascii="Arial" w:hAnsi="Arial"/>
                <w:szCs w:val="20"/>
              </w:rPr>
            </w:pPr>
            <w:r w:rsidRPr="002D2A0A">
              <w:rPr>
                <w:rFonts w:ascii="Arial" w:hAnsi="Arial"/>
                <w:szCs w:val="20"/>
              </w:rPr>
              <w:t>GlaxoSmithKline</w:t>
            </w:r>
          </w:p>
        </w:tc>
        <w:tc>
          <w:tcPr>
            <w:tcW w:w="581" w:type="pct"/>
            <w:vAlign w:val="center"/>
          </w:tcPr>
          <w:p w14:paraId="2D6E2C9A" w14:textId="77777777" w:rsidR="00064D19" w:rsidRPr="002D2A0A" w:rsidRDefault="00064D19" w:rsidP="002D2A0A">
            <w:pPr>
              <w:pStyle w:val="TableText"/>
              <w:spacing w:beforeLines="40" w:before="96" w:afterLines="40" w:after="96"/>
              <w:rPr>
                <w:rFonts w:ascii="Arial" w:hAnsi="Arial"/>
                <w:szCs w:val="20"/>
              </w:rPr>
            </w:pPr>
            <w:r w:rsidRPr="002D2A0A">
              <w:rPr>
                <w:rFonts w:ascii="Arial" w:hAnsi="Arial"/>
                <w:szCs w:val="20"/>
              </w:rPr>
              <w:t>Yes</w:t>
            </w:r>
          </w:p>
        </w:tc>
      </w:tr>
      <w:tr w:rsidR="00064D19" w:rsidRPr="002D2A0A" w14:paraId="5E67B6C5" w14:textId="77777777" w:rsidTr="00C978EB">
        <w:tc>
          <w:tcPr>
            <w:tcW w:w="456" w:type="pct"/>
            <w:vMerge/>
            <w:vAlign w:val="center"/>
          </w:tcPr>
          <w:p w14:paraId="1F911628" w14:textId="77777777" w:rsidR="00064D19" w:rsidRPr="002D2A0A" w:rsidRDefault="00064D19" w:rsidP="002D2A0A">
            <w:pPr>
              <w:spacing w:beforeLines="40" w:before="96" w:afterLines="40" w:after="96" w:line="240" w:lineRule="auto"/>
              <w:rPr>
                <w:rFonts w:ascii="Arial" w:hAnsi="Arial" w:cs="Arial"/>
                <w:sz w:val="20"/>
                <w:szCs w:val="20"/>
              </w:rPr>
            </w:pPr>
          </w:p>
        </w:tc>
        <w:tc>
          <w:tcPr>
            <w:tcW w:w="2947" w:type="pct"/>
            <w:vAlign w:val="center"/>
          </w:tcPr>
          <w:p w14:paraId="1C0BAE36" w14:textId="77777777" w:rsidR="00064D19" w:rsidRPr="002D2A0A" w:rsidRDefault="00060C26" w:rsidP="002D2A0A">
            <w:pPr>
              <w:pStyle w:val="TableText"/>
              <w:spacing w:beforeLines="40" w:before="96" w:afterLines="40" w:after="96"/>
              <w:rPr>
                <w:rFonts w:ascii="Arial" w:hAnsi="Arial"/>
                <w:szCs w:val="20"/>
              </w:rPr>
            </w:pPr>
            <w:proofErr w:type="spellStart"/>
            <w:r w:rsidRPr="002D2A0A">
              <w:rPr>
                <w:rFonts w:ascii="Arial" w:hAnsi="Arial"/>
                <w:b/>
                <w:szCs w:val="20"/>
                <w:u w:val="single"/>
              </w:rPr>
              <w:t>Veletri</w:t>
            </w:r>
            <w:proofErr w:type="spellEnd"/>
            <w:r w:rsidR="00252749" w:rsidRPr="002D2A0A">
              <w:rPr>
                <w:rFonts w:ascii="Arial" w:hAnsi="Arial"/>
                <w:b/>
                <w:szCs w:val="20"/>
                <w:u w:val="single"/>
                <w:vertAlign w:val="superscript"/>
              </w:rPr>
              <w:t>®</w:t>
            </w:r>
          </w:p>
        </w:tc>
        <w:tc>
          <w:tcPr>
            <w:tcW w:w="1016" w:type="pct"/>
          </w:tcPr>
          <w:p w14:paraId="07271182" w14:textId="77777777" w:rsidR="00064D19" w:rsidRPr="002D2A0A" w:rsidRDefault="00064D19" w:rsidP="002D2A0A">
            <w:pPr>
              <w:pStyle w:val="TableText"/>
              <w:spacing w:beforeLines="40" w:before="96" w:afterLines="40" w:after="96"/>
              <w:rPr>
                <w:rFonts w:ascii="Arial" w:hAnsi="Arial"/>
                <w:szCs w:val="20"/>
              </w:rPr>
            </w:pPr>
            <w:proofErr w:type="spellStart"/>
            <w:r w:rsidRPr="002D2A0A">
              <w:rPr>
                <w:rFonts w:ascii="Arial" w:hAnsi="Arial"/>
                <w:szCs w:val="20"/>
              </w:rPr>
              <w:t>Actelion</w:t>
            </w:r>
            <w:proofErr w:type="spellEnd"/>
          </w:p>
        </w:tc>
        <w:tc>
          <w:tcPr>
            <w:tcW w:w="581" w:type="pct"/>
          </w:tcPr>
          <w:p w14:paraId="00D74B13" w14:textId="77777777" w:rsidR="00064D19" w:rsidRPr="002D2A0A" w:rsidRDefault="00064D19" w:rsidP="002D2A0A">
            <w:pPr>
              <w:pStyle w:val="TableText"/>
              <w:spacing w:beforeLines="40" w:before="96" w:afterLines="40" w:after="96"/>
              <w:rPr>
                <w:rFonts w:ascii="Arial" w:hAnsi="Arial"/>
                <w:szCs w:val="20"/>
              </w:rPr>
            </w:pPr>
            <w:r w:rsidRPr="002D2A0A">
              <w:rPr>
                <w:rFonts w:ascii="Arial" w:hAnsi="Arial"/>
                <w:szCs w:val="20"/>
              </w:rPr>
              <w:t>Yes</w:t>
            </w:r>
          </w:p>
        </w:tc>
      </w:tr>
      <w:tr w:rsidR="00064D19" w:rsidRPr="002D2A0A" w14:paraId="0C7E8990" w14:textId="77777777" w:rsidTr="00C978EB">
        <w:tc>
          <w:tcPr>
            <w:tcW w:w="456" w:type="pct"/>
            <w:vMerge/>
            <w:vAlign w:val="center"/>
          </w:tcPr>
          <w:p w14:paraId="4BDB9D7A" w14:textId="77777777" w:rsidR="00064D19" w:rsidRPr="002D2A0A" w:rsidRDefault="00064D19" w:rsidP="002D2A0A">
            <w:pPr>
              <w:spacing w:beforeLines="40" w:before="96" w:afterLines="40" w:after="96" w:line="240" w:lineRule="auto"/>
              <w:rPr>
                <w:rFonts w:ascii="Arial" w:hAnsi="Arial" w:cs="Arial"/>
                <w:sz w:val="20"/>
                <w:szCs w:val="20"/>
              </w:rPr>
            </w:pPr>
          </w:p>
        </w:tc>
        <w:tc>
          <w:tcPr>
            <w:tcW w:w="2947" w:type="pct"/>
            <w:vAlign w:val="center"/>
          </w:tcPr>
          <w:p w14:paraId="43352491" w14:textId="77777777" w:rsidR="00064D19" w:rsidRPr="002D2A0A" w:rsidRDefault="00064D19" w:rsidP="002D2A0A">
            <w:pPr>
              <w:pStyle w:val="TableText"/>
              <w:spacing w:beforeLines="40" w:before="96" w:afterLines="40" w:after="96"/>
              <w:rPr>
                <w:rFonts w:ascii="Arial" w:hAnsi="Arial"/>
                <w:szCs w:val="20"/>
              </w:rPr>
            </w:pPr>
            <w:r w:rsidRPr="002D2A0A">
              <w:rPr>
                <w:rFonts w:ascii="Arial" w:hAnsi="Arial"/>
                <w:szCs w:val="20"/>
              </w:rPr>
              <w:t>Epoprostenol MYX</w:t>
            </w:r>
          </w:p>
        </w:tc>
        <w:tc>
          <w:tcPr>
            <w:tcW w:w="1016" w:type="pct"/>
          </w:tcPr>
          <w:p w14:paraId="68C8A0F2" w14:textId="77777777" w:rsidR="00064D19" w:rsidRPr="002D2A0A" w:rsidRDefault="00064D19" w:rsidP="002D2A0A">
            <w:pPr>
              <w:pStyle w:val="TableText"/>
              <w:spacing w:beforeLines="40" w:before="96" w:afterLines="40" w:after="96"/>
              <w:rPr>
                <w:rFonts w:ascii="Arial" w:hAnsi="Arial"/>
                <w:szCs w:val="20"/>
              </w:rPr>
            </w:pPr>
            <w:r w:rsidRPr="002D2A0A">
              <w:rPr>
                <w:rFonts w:ascii="Arial" w:hAnsi="Arial"/>
                <w:szCs w:val="20"/>
              </w:rPr>
              <w:t>Mayne Pharma</w:t>
            </w:r>
          </w:p>
        </w:tc>
        <w:tc>
          <w:tcPr>
            <w:tcW w:w="581" w:type="pct"/>
          </w:tcPr>
          <w:p w14:paraId="73D34EAF" w14:textId="77777777" w:rsidR="00064D19" w:rsidRPr="002D2A0A" w:rsidRDefault="00064D19" w:rsidP="002D2A0A">
            <w:pPr>
              <w:pStyle w:val="TableText"/>
              <w:spacing w:beforeLines="40" w:before="96" w:afterLines="40" w:after="96"/>
              <w:rPr>
                <w:rFonts w:ascii="Arial" w:hAnsi="Arial"/>
                <w:szCs w:val="20"/>
              </w:rPr>
            </w:pPr>
            <w:r w:rsidRPr="002D2A0A">
              <w:rPr>
                <w:rFonts w:ascii="Arial" w:hAnsi="Arial"/>
                <w:szCs w:val="20"/>
              </w:rPr>
              <w:t>No</w:t>
            </w:r>
          </w:p>
        </w:tc>
      </w:tr>
      <w:tr w:rsidR="00064D19" w:rsidRPr="002D2A0A" w14:paraId="03C736A8" w14:textId="77777777" w:rsidTr="00C978EB">
        <w:tc>
          <w:tcPr>
            <w:tcW w:w="456" w:type="pct"/>
            <w:vAlign w:val="center"/>
          </w:tcPr>
          <w:p w14:paraId="6D7001B2" w14:textId="77777777" w:rsidR="00064D19" w:rsidRPr="002D2A0A" w:rsidRDefault="00064D19" w:rsidP="002D2A0A">
            <w:pPr>
              <w:spacing w:beforeLines="40" w:before="96" w:afterLines="40" w:after="96" w:line="240" w:lineRule="auto"/>
              <w:rPr>
                <w:rFonts w:ascii="Arial" w:hAnsi="Arial" w:cs="Arial"/>
                <w:sz w:val="20"/>
                <w:szCs w:val="20"/>
              </w:rPr>
            </w:pPr>
            <w:r w:rsidRPr="002D2A0A">
              <w:rPr>
                <w:rFonts w:ascii="Arial" w:hAnsi="Arial" w:cs="Arial"/>
                <w:sz w:val="20"/>
                <w:szCs w:val="20"/>
              </w:rPr>
              <w:t>Iloprost</w:t>
            </w:r>
          </w:p>
        </w:tc>
        <w:tc>
          <w:tcPr>
            <w:tcW w:w="2947" w:type="pct"/>
            <w:vAlign w:val="center"/>
          </w:tcPr>
          <w:p w14:paraId="7CFE0631" w14:textId="77777777" w:rsidR="00064D19" w:rsidRPr="002D2A0A" w:rsidRDefault="00064D19" w:rsidP="002D2A0A">
            <w:pPr>
              <w:pStyle w:val="TableText"/>
              <w:tabs>
                <w:tab w:val="left" w:pos="180"/>
                <w:tab w:val="center" w:pos="671"/>
              </w:tabs>
              <w:spacing w:beforeLines="40" w:before="96" w:afterLines="40" w:after="96"/>
              <w:rPr>
                <w:rFonts w:ascii="Arial" w:hAnsi="Arial"/>
                <w:szCs w:val="20"/>
              </w:rPr>
            </w:pPr>
            <w:r w:rsidRPr="002D2A0A">
              <w:rPr>
                <w:rFonts w:ascii="Arial" w:hAnsi="Arial"/>
                <w:szCs w:val="20"/>
              </w:rPr>
              <w:t>*</w:t>
            </w:r>
            <w:proofErr w:type="spellStart"/>
            <w:r w:rsidR="00060C26" w:rsidRPr="002D2A0A">
              <w:rPr>
                <w:rFonts w:ascii="Arial" w:hAnsi="Arial"/>
                <w:b/>
                <w:szCs w:val="20"/>
                <w:u w:val="single"/>
              </w:rPr>
              <w:t>Ventavis</w:t>
            </w:r>
            <w:proofErr w:type="spellEnd"/>
            <w:r w:rsidR="00252749" w:rsidRPr="002D2A0A">
              <w:rPr>
                <w:rFonts w:ascii="Arial" w:hAnsi="Arial"/>
                <w:b/>
                <w:szCs w:val="20"/>
                <w:u w:val="single"/>
                <w:vertAlign w:val="superscript"/>
              </w:rPr>
              <w:t>®</w:t>
            </w:r>
          </w:p>
        </w:tc>
        <w:tc>
          <w:tcPr>
            <w:tcW w:w="1016" w:type="pct"/>
            <w:vAlign w:val="center"/>
          </w:tcPr>
          <w:p w14:paraId="384081CF" w14:textId="77777777" w:rsidR="00064D19" w:rsidRPr="002D2A0A" w:rsidRDefault="00064D19" w:rsidP="002D2A0A">
            <w:pPr>
              <w:pStyle w:val="TableText"/>
              <w:tabs>
                <w:tab w:val="left" w:pos="180"/>
                <w:tab w:val="center" w:pos="671"/>
              </w:tabs>
              <w:spacing w:beforeLines="40" w:before="96" w:afterLines="40" w:after="96"/>
              <w:rPr>
                <w:rFonts w:ascii="Arial" w:hAnsi="Arial"/>
                <w:szCs w:val="20"/>
              </w:rPr>
            </w:pPr>
            <w:r w:rsidRPr="002D2A0A">
              <w:rPr>
                <w:rFonts w:ascii="Arial" w:hAnsi="Arial"/>
                <w:szCs w:val="20"/>
              </w:rPr>
              <w:t>Bayer</w:t>
            </w:r>
          </w:p>
        </w:tc>
        <w:tc>
          <w:tcPr>
            <w:tcW w:w="581" w:type="pct"/>
          </w:tcPr>
          <w:p w14:paraId="1DC0AD5B" w14:textId="77777777" w:rsidR="00064D19" w:rsidRPr="002D2A0A" w:rsidRDefault="00064D19" w:rsidP="002D2A0A">
            <w:pPr>
              <w:pStyle w:val="TableText"/>
              <w:tabs>
                <w:tab w:val="left" w:pos="180"/>
                <w:tab w:val="center" w:pos="671"/>
              </w:tabs>
              <w:spacing w:beforeLines="40" w:before="96" w:afterLines="40" w:after="96"/>
              <w:rPr>
                <w:rFonts w:ascii="Arial" w:hAnsi="Arial"/>
                <w:szCs w:val="20"/>
              </w:rPr>
            </w:pPr>
            <w:r w:rsidRPr="002D2A0A">
              <w:rPr>
                <w:rFonts w:ascii="Arial" w:hAnsi="Arial"/>
                <w:szCs w:val="20"/>
              </w:rPr>
              <w:t>Yes</w:t>
            </w:r>
          </w:p>
        </w:tc>
      </w:tr>
      <w:tr w:rsidR="00064D19" w:rsidRPr="002D2A0A" w14:paraId="19BF46D2" w14:textId="77777777" w:rsidTr="00C978EB">
        <w:tc>
          <w:tcPr>
            <w:tcW w:w="456" w:type="pct"/>
          </w:tcPr>
          <w:p w14:paraId="0C888029" w14:textId="77777777" w:rsidR="00064D19" w:rsidRPr="002D2A0A" w:rsidRDefault="00064D19" w:rsidP="002D2A0A">
            <w:pPr>
              <w:spacing w:beforeLines="40" w:before="96" w:afterLines="40" w:after="96" w:line="240" w:lineRule="auto"/>
              <w:rPr>
                <w:rFonts w:ascii="Arial" w:hAnsi="Arial" w:cs="Arial"/>
                <w:i/>
                <w:color w:val="808080" w:themeColor="background1" w:themeShade="80"/>
                <w:sz w:val="20"/>
                <w:szCs w:val="20"/>
              </w:rPr>
            </w:pPr>
            <w:proofErr w:type="spellStart"/>
            <w:r w:rsidRPr="002D2A0A">
              <w:rPr>
                <w:rFonts w:ascii="Arial" w:hAnsi="Arial" w:cs="Arial"/>
                <w:i/>
                <w:color w:val="808080" w:themeColor="background1" w:themeShade="80"/>
                <w:sz w:val="20"/>
                <w:szCs w:val="20"/>
              </w:rPr>
              <w:t>Treprostinil</w:t>
            </w:r>
            <w:proofErr w:type="spellEnd"/>
          </w:p>
        </w:tc>
        <w:tc>
          <w:tcPr>
            <w:tcW w:w="2947" w:type="pct"/>
            <w:vAlign w:val="center"/>
          </w:tcPr>
          <w:p w14:paraId="6BA9500D" w14:textId="77777777" w:rsidR="00064D19" w:rsidRPr="002D2A0A" w:rsidRDefault="00064D19" w:rsidP="002D2A0A">
            <w:pPr>
              <w:pStyle w:val="TableText"/>
              <w:spacing w:beforeLines="40" w:before="96" w:afterLines="40" w:after="96"/>
              <w:rPr>
                <w:rFonts w:ascii="Arial" w:hAnsi="Arial"/>
                <w:i/>
                <w:color w:val="808080" w:themeColor="background1" w:themeShade="80"/>
                <w:szCs w:val="20"/>
              </w:rPr>
            </w:pPr>
            <w:proofErr w:type="spellStart"/>
            <w:r w:rsidRPr="002D2A0A">
              <w:rPr>
                <w:rFonts w:ascii="Arial" w:hAnsi="Arial"/>
                <w:i/>
                <w:color w:val="808080" w:themeColor="background1" w:themeShade="80"/>
                <w:szCs w:val="20"/>
              </w:rPr>
              <w:t>Remodulin</w:t>
            </w:r>
            <w:proofErr w:type="spellEnd"/>
            <w:r w:rsidR="00252749" w:rsidRPr="002D2A0A">
              <w:rPr>
                <w:rFonts w:ascii="Arial" w:hAnsi="Arial"/>
                <w:i/>
                <w:color w:val="808080" w:themeColor="background1" w:themeShade="80"/>
                <w:szCs w:val="20"/>
                <w:vertAlign w:val="superscript"/>
              </w:rPr>
              <w:t>®</w:t>
            </w:r>
            <w:r w:rsidRPr="002D2A0A">
              <w:rPr>
                <w:rFonts w:ascii="Arial" w:hAnsi="Arial"/>
                <w:i/>
                <w:color w:val="808080" w:themeColor="background1" w:themeShade="80"/>
                <w:szCs w:val="20"/>
              </w:rPr>
              <w:t>; withdrawn from market after November 2016 (exact date unknown) – no longer registered</w:t>
            </w:r>
          </w:p>
        </w:tc>
        <w:tc>
          <w:tcPr>
            <w:tcW w:w="1016" w:type="pct"/>
            <w:vAlign w:val="center"/>
          </w:tcPr>
          <w:p w14:paraId="5970F48A" w14:textId="77777777" w:rsidR="00064D19" w:rsidRPr="002D2A0A" w:rsidRDefault="00064D19" w:rsidP="002D2A0A">
            <w:pPr>
              <w:pStyle w:val="TableText"/>
              <w:spacing w:beforeLines="40" w:before="96" w:afterLines="40" w:after="96"/>
              <w:rPr>
                <w:rFonts w:ascii="Arial" w:hAnsi="Arial"/>
                <w:i/>
                <w:color w:val="808080" w:themeColor="background1" w:themeShade="80"/>
                <w:szCs w:val="20"/>
              </w:rPr>
            </w:pPr>
            <w:r w:rsidRPr="002D2A0A">
              <w:rPr>
                <w:rFonts w:ascii="Arial" w:hAnsi="Arial"/>
                <w:i/>
                <w:color w:val="808080" w:themeColor="background1" w:themeShade="80"/>
                <w:szCs w:val="20"/>
              </w:rPr>
              <w:t>Orphan Australia</w:t>
            </w:r>
          </w:p>
        </w:tc>
        <w:tc>
          <w:tcPr>
            <w:tcW w:w="581" w:type="pct"/>
            <w:vAlign w:val="center"/>
          </w:tcPr>
          <w:p w14:paraId="5D6228AC" w14:textId="77777777" w:rsidR="00064D19" w:rsidRPr="002D2A0A" w:rsidRDefault="00064D19" w:rsidP="002D2A0A">
            <w:pPr>
              <w:pStyle w:val="TableText"/>
              <w:spacing w:beforeLines="40" w:before="96" w:afterLines="40" w:after="96"/>
              <w:rPr>
                <w:rFonts w:ascii="Arial" w:hAnsi="Arial"/>
                <w:i/>
                <w:color w:val="808080" w:themeColor="background1" w:themeShade="80"/>
                <w:szCs w:val="20"/>
              </w:rPr>
            </w:pPr>
            <w:r w:rsidRPr="002D2A0A">
              <w:rPr>
                <w:rFonts w:ascii="Arial" w:hAnsi="Arial"/>
                <w:i/>
                <w:color w:val="808080" w:themeColor="background1" w:themeShade="80"/>
                <w:szCs w:val="20"/>
              </w:rPr>
              <w:t>No</w:t>
            </w:r>
          </w:p>
        </w:tc>
      </w:tr>
      <w:tr w:rsidR="00064D19" w:rsidRPr="002D2A0A" w14:paraId="2AEF9CC4" w14:textId="77777777" w:rsidTr="00C978EB">
        <w:tc>
          <w:tcPr>
            <w:tcW w:w="456" w:type="pct"/>
          </w:tcPr>
          <w:p w14:paraId="5A0CB530" w14:textId="77777777" w:rsidR="00064D19" w:rsidRPr="002D2A0A" w:rsidRDefault="00064D19" w:rsidP="002D2A0A">
            <w:pPr>
              <w:spacing w:beforeLines="40" w:before="96" w:afterLines="40" w:after="96" w:line="240" w:lineRule="auto"/>
              <w:rPr>
                <w:rFonts w:ascii="Arial" w:hAnsi="Arial" w:cs="Arial"/>
                <w:i/>
                <w:color w:val="808080" w:themeColor="background1" w:themeShade="80"/>
                <w:sz w:val="20"/>
                <w:szCs w:val="20"/>
              </w:rPr>
            </w:pPr>
            <w:r w:rsidRPr="002D2A0A">
              <w:rPr>
                <w:rFonts w:ascii="Arial" w:hAnsi="Arial" w:cs="Arial"/>
                <w:i/>
                <w:color w:val="808080" w:themeColor="background1" w:themeShade="80"/>
                <w:sz w:val="20"/>
                <w:szCs w:val="20"/>
              </w:rPr>
              <w:t>Selexipag</w:t>
            </w:r>
          </w:p>
        </w:tc>
        <w:tc>
          <w:tcPr>
            <w:tcW w:w="2947" w:type="pct"/>
            <w:vAlign w:val="center"/>
          </w:tcPr>
          <w:p w14:paraId="348FD68B" w14:textId="77777777" w:rsidR="00064D19" w:rsidRPr="002D2A0A" w:rsidRDefault="00064D19" w:rsidP="002D2A0A">
            <w:pPr>
              <w:pStyle w:val="TableText"/>
              <w:spacing w:beforeLines="40" w:before="96" w:afterLines="40" w:after="96"/>
              <w:rPr>
                <w:rFonts w:ascii="Arial" w:hAnsi="Arial"/>
                <w:i/>
                <w:color w:val="808080" w:themeColor="background1" w:themeShade="80"/>
                <w:szCs w:val="20"/>
              </w:rPr>
            </w:pPr>
            <w:proofErr w:type="spellStart"/>
            <w:r w:rsidRPr="002D2A0A">
              <w:rPr>
                <w:rFonts w:ascii="Arial" w:hAnsi="Arial"/>
                <w:i/>
                <w:color w:val="808080" w:themeColor="background1" w:themeShade="80"/>
                <w:szCs w:val="20"/>
              </w:rPr>
              <w:t>Uptravi</w:t>
            </w:r>
            <w:proofErr w:type="spellEnd"/>
            <w:r w:rsidR="00252749" w:rsidRPr="002D2A0A">
              <w:rPr>
                <w:rFonts w:ascii="Arial" w:hAnsi="Arial"/>
                <w:i/>
                <w:color w:val="808080" w:themeColor="background1" w:themeShade="80"/>
                <w:szCs w:val="20"/>
                <w:vertAlign w:val="superscript"/>
              </w:rPr>
              <w:t>®</w:t>
            </w:r>
          </w:p>
        </w:tc>
        <w:tc>
          <w:tcPr>
            <w:tcW w:w="1016" w:type="pct"/>
            <w:vAlign w:val="center"/>
          </w:tcPr>
          <w:p w14:paraId="0D265FC0" w14:textId="77777777" w:rsidR="00064D19" w:rsidRPr="002D2A0A" w:rsidRDefault="00064D19" w:rsidP="002D2A0A">
            <w:pPr>
              <w:pStyle w:val="TableText"/>
              <w:spacing w:beforeLines="40" w:before="96" w:afterLines="40" w:after="96"/>
              <w:rPr>
                <w:rFonts w:ascii="Arial" w:hAnsi="Arial"/>
                <w:i/>
                <w:color w:val="808080" w:themeColor="background1" w:themeShade="80"/>
                <w:szCs w:val="20"/>
              </w:rPr>
            </w:pPr>
            <w:proofErr w:type="spellStart"/>
            <w:r w:rsidRPr="002D2A0A">
              <w:rPr>
                <w:rFonts w:ascii="Arial" w:hAnsi="Arial"/>
                <w:i/>
                <w:color w:val="808080" w:themeColor="background1" w:themeShade="80"/>
                <w:szCs w:val="20"/>
              </w:rPr>
              <w:t>Actelion</w:t>
            </w:r>
            <w:proofErr w:type="spellEnd"/>
          </w:p>
        </w:tc>
        <w:tc>
          <w:tcPr>
            <w:tcW w:w="581" w:type="pct"/>
            <w:vAlign w:val="center"/>
          </w:tcPr>
          <w:p w14:paraId="143406A5" w14:textId="77777777" w:rsidR="00064D19" w:rsidRPr="002D2A0A" w:rsidRDefault="00064D19" w:rsidP="002D2A0A">
            <w:pPr>
              <w:pStyle w:val="TableText"/>
              <w:spacing w:beforeLines="40" w:before="96" w:afterLines="40" w:after="96"/>
              <w:rPr>
                <w:rFonts w:ascii="Arial" w:hAnsi="Arial"/>
                <w:i/>
                <w:color w:val="808080" w:themeColor="background1" w:themeShade="80"/>
                <w:szCs w:val="20"/>
              </w:rPr>
            </w:pPr>
            <w:r w:rsidRPr="002D2A0A">
              <w:rPr>
                <w:rFonts w:ascii="Arial" w:hAnsi="Arial"/>
                <w:i/>
                <w:color w:val="808080" w:themeColor="background1" w:themeShade="80"/>
                <w:szCs w:val="20"/>
              </w:rPr>
              <w:t>No</w:t>
            </w:r>
          </w:p>
        </w:tc>
      </w:tr>
    </w:tbl>
    <w:p w14:paraId="455DE737" w14:textId="77777777" w:rsidR="00064D19" w:rsidRPr="002D2A0A" w:rsidRDefault="00064D19" w:rsidP="002D2A0A">
      <w:pPr>
        <w:pStyle w:val="Tablenote"/>
        <w:spacing w:beforeLines="40" w:before="96" w:afterLines="40" w:after="96"/>
        <w:rPr>
          <w:rFonts w:ascii="Arial" w:hAnsi="Arial" w:cs="Arial"/>
          <w:sz w:val="18"/>
        </w:rPr>
      </w:pPr>
      <w:r w:rsidRPr="002D2A0A">
        <w:rPr>
          <w:rFonts w:ascii="Arial" w:hAnsi="Arial" w:cs="Arial"/>
          <w:sz w:val="18"/>
        </w:rPr>
        <w:t>†PBS Listed brands are</w:t>
      </w:r>
      <w:r w:rsidRPr="002D2A0A">
        <w:rPr>
          <w:rFonts w:ascii="Arial" w:hAnsi="Arial" w:cs="Arial"/>
          <w:b/>
          <w:sz w:val="18"/>
        </w:rPr>
        <w:t xml:space="preserve"> </w:t>
      </w:r>
      <w:r w:rsidRPr="002D2A0A">
        <w:rPr>
          <w:rFonts w:ascii="Arial" w:hAnsi="Arial" w:cs="Arial"/>
          <w:b/>
          <w:sz w:val="18"/>
          <w:u w:val="single"/>
        </w:rPr>
        <w:t>bold</w:t>
      </w:r>
      <w:r w:rsidRPr="002D2A0A">
        <w:rPr>
          <w:rFonts w:ascii="Arial" w:hAnsi="Arial" w:cs="Arial"/>
          <w:b/>
          <w:sz w:val="18"/>
        </w:rPr>
        <w:t>; *</w:t>
      </w:r>
      <w:r w:rsidRPr="002D2A0A">
        <w:rPr>
          <w:rFonts w:ascii="Arial" w:hAnsi="Arial" w:cs="Arial"/>
          <w:sz w:val="18"/>
        </w:rPr>
        <w:t>Indicates first brand to be registered on ARTG (primary search of 13 December 2017)</w:t>
      </w:r>
    </w:p>
    <w:p w14:paraId="3E7C04EB" w14:textId="77777777" w:rsidR="00064D19" w:rsidRPr="002D2A0A" w:rsidRDefault="00064D19" w:rsidP="002D2A0A">
      <w:pPr>
        <w:pStyle w:val="Tablenote"/>
        <w:spacing w:beforeLines="40" w:before="96" w:afterLines="40" w:after="96"/>
        <w:rPr>
          <w:rFonts w:ascii="Arial" w:hAnsi="Arial" w:cs="Arial"/>
          <w:sz w:val="18"/>
        </w:rPr>
      </w:pPr>
      <w:r w:rsidRPr="002D2A0A">
        <w:rPr>
          <w:rFonts w:ascii="Arial" w:hAnsi="Arial" w:cs="Arial"/>
          <w:sz w:val="18"/>
        </w:rPr>
        <w:t xml:space="preserve">Source: Relevant product Information for each brand; </w:t>
      </w:r>
      <w:r w:rsidRPr="00F4698B">
        <w:rPr>
          <w:rFonts w:ascii="Arial" w:hAnsi="Arial" w:cs="Arial"/>
          <w:sz w:val="18"/>
        </w:rPr>
        <w:t>www.pbs.gov.au</w:t>
      </w:r>
      <w:r w:rsidRPr="002D2A0A">
        <w:rPr>
          <w:rFonts w:ascii="Arial" w:hAnsi="Arial" w:cs="Arial"/>
        </w:rPr>
        <w:br w:type="page"/>
      </w:r>
    </w:p>
    <w:p w14:paraId="36D58057" w14:textId="77777777" w:rsidR="00064D19" w:rsidRDefault="00560313" w:rsidP="002D2A0A">
      <w:pPr>
        <w:pStyle w:val="Caption"/>
        <w:spacing w:before="0" w:after="0"/>
        <w:ind w:left="0" w:firstLine="0"/>
        <w:jc w:val="left"/>
      </w:pPr>
      <w:bookmarkStart w:id="312" w:name="_Ref501910408"/>
      <w:bookmarkStart w:id="313" w:name="_Toc502867742"/>
      <w:bookmarkStart w:id="314" w:name="_Toc29377245"/>
      <w:r>
        <w:lastRenderedPageBreak/>
        <w:t>Table B.</w:t>
      </w:r>
      <w:r w:rsidR="00505D99">
        <w:rPr>
          <w:noProof/>
        </w:rPr>
        <w:t>8</w:t>
      </w:r>
      <w:bookmarkEnd w:id="312"/>
      <w:r w:rsidR="003D386D">
        <w:tab/>
      </w:r>
      <w:r w:rsidR="00064D19">
        <w:t>History of PBAC Considerations for PAH Medicines</w:t>
      </w:r>
      <w:bookmarkEnd w:id="313"/>
      <w:bookmarkEnd w:id="314"/>
    </w:p>
    <w:tbl>
      <w:tblPr>
        <w:tblStyle w:val="TableGrid2"/>
        <w:tblW w:w="5000" w:type="pct"/>
        <w:tblLook w:val="04A0" w:firstRow="1" w:lastRow="0" w:firstColumn="1" w:lastColumn="0" w:noHBand="0" w:noVBand="1"/>
        <w:tblCaption w:val="History of PBAC Considerations for PAH Medicines"/>
      </w:tblPr>
      <w:tblGrid>
        <w:gridCol w:w="1393"/>
        <w:gridCol w:w="3266"/>
        <w:gridCol w:w="1218"/>
        <w:gridCol w:w="8683"/>
      </w:tblGrid>
      <w:tr w:rsidR="00EA0CBC" w:rsidRPr="002D2A0A" w14:paraId="6DF88A84" w14:textId="77777777" w:rsidTr="00DD098B">
        <w:trPr>
          <w:cnfStyle w:val="100000000000" w:firstRow="1" w:lastRow="0" w:firstColumn="0" w:lastColumn="0" w:oddVBand="0" w:evenVBand="0" w:oddHBand="0" w:evenHBand="0" w:firstRowFirstColumn="0" w:firstRowLastColumn="0" w:lastRowFirstColumn="0" w:lastRowLastColumn="0"/>
        </w:trPr>
        <w:tc>
          <w:tcPr>
            <w:tcW w:w="478" w:type="pct"/>
            <w:shd w:val="clear" w:color="auto" w:fill="BFBFBF" w:themeFill="background1" w:themeFillShade="BF"/>
          </w:tcPr>
          <w:p w14:paraId="37A962B2" w14:textId="77777777" w:rsidR="00064D19" w:rsidRPr="002D2A0A" w:rsidRDefault="00064D19" w:rsidP="002D2A0A">
            <w:pPr>
              <w:spacing w:before="0" w:line="240" w:lineRule="auto"/>
              <w:ind w:left="147" w:right="57"/>
              <w:rPr>
                <w:rFonts w:ascii="Arial" w:hAnsi="Arial" w:cs="Arial"/>
                <w:b/>
                <w:color w:val="auto"/>
                <w:sz w:val="20"/>
                <w:szCs w:val="20"/>
              </w:rPr>
            </w:pPr>
            <w:r w:rsidRPr="002D2A0A">
              <w:rPr>
                <w:rFonts w:ascii="Arial" w:hAnsi="Arial" w:cs="Arial"/>
                <w:b/>
                <w:color w:val="auto"/>
                <w:sz w:val="20"/>
                <w:szCs w:val="20"/>
              </w:rPr>
              <w:t>Drug</w:t>
            </w:r>
          </w:p>
        </w:tc>
        <w:tc>
          <w:tcPr>
            <w:tcW w:w="1366" w:type="pct"/>
            <w:shd w:val="clear" w:color="auto" w:fill="BFBFBF" w:themeFill="background1" w:themeFillShade="BF"/>
          </w:tcPr>
          <w:p w14:paraId="783C1F60" w14:textId="77777777" w:rsidR="00064D19" w:rsidRPr="002D2A0A" w:rsidRDefault="00064D19" w:rsidP="002D2A0A">
            <w:pPr>
              <w:spacing w:before="0" w:line="240" w:lineRule="auto"/>
              <w:ind w:left="172" w:right="57"/>
              <w:rPr>
                <w:rFonts w:ascii="Arial" w:hAnsi="Arial" w:cs="Arial"/>
                <w:b/>
                <w:color w:val="auto"/>
                <w:sz w:val="20"/>
                <w:szCs w:val="20"/>
              </w:rPr>
            </w:pPr>
            <w:r w:rsidRPr="002D2A0A">
              <w:rPr>
                <w:rFonts w:ascii="Arial" w:hAnsi="Arial" w:cs="Arial"/>
                <w:b/>
                <w:color w:val="auto"/>
                <w:sz w:val="20"/>
                <w:szCs w:val="20"/>
              </w:rPr>
              <w:t>Proposed PBS listing</w:t>
            </w:r>
          </w:p>
        </w:tc>
        <w:tc>
          <w:tcPr>
            <w:tcW w:w="490" w:type="pct"/>
            <w:shd w:val="clear" w:color="auto" w:fill="BFBFBF" w:themeFill="background1" w:themeFillShade="BF"/>
          </w:tcPr>
          <w:p w14:paraId="358CA87A" w14:textId="77777777" w:rsidR="00064D19" w:rsidRPr="002D2A0A" w:rsidRDefault="00064D19" w:rsidP="002D2A0A">
            <w:pPr>
              <w:spacing w:before="0" w:line="240" w:lineRule="auto"/>
              <w:ind w:left="172" w:right="57"/>
              <w:rPr>
                <w:rFonts w:ascii="Arial" w:hAnsi="Arial" w:cs="Arial"/>
                <w:b/>
                <w:color w:val="auto"/>
                <w:sz w:val="20"/>
                <w:szCs w:val="20"/>
              </w:rPr>
            </w:pPr>
            <w:r w:rsidRPr="002D2A0A">
              <w:rPr>
                <w:rFonts w:ascii="Arial" w:hAnsi="Arial" w:cs="Arial"/>
                <w:b/>
                <w:color w:val="auto"/>
                <w:sz w:val="20"/>
                <w:szCs w:val="20"/>
              </w:rPr>
              <w:t>PBAC Meeting</w:t>
            </w:r>
          </w:p>
        </w:tc>
        <w:tc>
          <w:tcPr>
            <w:tcW w:w="2665" w:type="pct"/>
            <w:shd w:val="clear" w:color="auto" w:fill="BFBFBF" w:themeFill="background1" w:themeFillShade="BF"/>
          </w:tcPr>
          <w:p w14:paraId="70281ADF" w14:textId="77777777" w:rsidR="00064D19" w:rsidRPr="002D2A0A" w:rsidRDefault="00064D19" w:rsidP="00807704">
            <w:pPr>
              <w:widowControl w:val="0"/>
              <w:numPr>
                <w:ilvl w:val="0"/>
                <w:numId w:val="15"/>
              </w:numPr>
              <w:spacing w:before="0" w:line="240" w:lineRule="auto"/>
              <w:ind w:left="172" w:right="57"/>
              <w:rPr>
                <w:rFonts w:ascii="Arial" w:hAnsi="Arial" w:cs="Arial"/>
                <w:b/>
                <w:color w:val="auto"/>
                <w:sz w:val="20"/>
                <w:szCs w:val="20"/>
              </w:rPr>
            </w:pPr>
            <w:r w:rsidRPr="002D2A0A">
              <w:rPr>
                <w:rFonts w:ascii="Arial" w:hAnsi="Arial" w:cs="Arial"/>
                <w:b/>
                <w:color w:val="auto"/>
                <w:sz w:val="20"/>
                <w:szCs w:val="20"/>
              </w:rPr>
              <w:t>PBAC decision</w:t>
            </w:r>
          </w:p>
          <w:p w14:paraId="4D9BD2F3" w14:textId="77777777" w:rsidR="00064D19" w:rsidRPr="002D2A0A" w:rsidRDefault="00064D19" w:rsidP="00807704">
            <w:pPr>
              <w:widowControl w:val="0"/>
              <w:numPr>
                <w:ilvl w:val="0"/>
                <w:numId w:val="15"/>
              </w:numPr>
              <w:spacing w:before="0" w:line="240" w:lineRule="auto"/>
              <w:ind w:left="172" w:right="57"/>
              <w:rPr>
                <w:rFonts w:ascii="Arial" w:hAnsi="Arial" w:cs="Arial"/>
                <w:b/>
                <w:color w:val="auto"/>
                <w:sz w:val="20"/>
                <w:szCs w:val="20"/>
              </w:rPr>
            </w:pPr>
            <w:r w:rsidRPr="002D2A0A">
              <w:rPr>
                <w:rFonts w:ascii="Arial" w:hAnsi="Arial" w:cs="Arial"/>
                <w:b/>
                <w:color w:val="auto"/>
                <w:sz w:val="20"/>
                <w:szCs w:val="20"/>
              </w:rPr>
              <w:t>Reasons</w:t>
            </w:r>
          </w:p>
        </w:tc>
      </w:tr>
      <w:tr w:rsidR="00064D19" w:rsidRPr="00064D19" w14:paraId="20166DD4" w14:textId="77777777" w:rsidTr="00064D19">
        <w:tc>
          <w:tcPr>
            <w:tcW w:w="5000" w:type="pct"/>
            <w:gridSpan w:val="4"/>
          </w:tcPr>
          <w:p w14:paraId="72E6ECC6" w14:textId="77777777" w:rsidR="00064D19" w:rsidRPr="002D2A0A" w:rsidRDefault="00064D19" w:rsidP="00DD098B">
            <w:pPr>
              <w:spacing w:before="60" w:after="60" w:line="240" w:lineRule="auto"/>
              <w:ind w:left="170" w:right="57"/>
              <w:rPr>
                <w:rFonts w:ascii="Arial" w:hAnsi="Arial" w:cs="Arial"/>
                <w:b/>
                <w:sz w:val="20"/>
                <w:szCs w:val="20"/>
              </w:rPr>
            </w:pPr>
            <w:r w:rsidRPr="002D2A0A">
              <w:rPr>
                <w:rFonts w:ascii="Arial" w:hAnsi="Arial" w:cs="Arial"/>
                <w:b/>
                <w:sz w:val="20"/>
                <w:szCs w:val="20"/>
              </w:rPr>
              <w:t>Endothelin receptor antagonist</w:t>
            </w:r>
          </w:p>
        </w:tc>
      </w:tr>
      <w:tr w:rsidR="00064D19" w:rsidRPr="00064D19" w14:paraId="06D82237" w14:textId="77777777" w:rsidTr="00DD098B">
        <w:tc>
          <w:tcPr>
            <w:tcW w:w="478" w:type="pct"/>
            <w:tcBorders>
              <w:bottom w:val="nil"/>
            </w:tcBorders>
          </w:tcPr>
          <w:p w14:paraId="17802846" w14:textId="77777777" w:rsidR="00064D19" w:rsidRPr="002D2A0A" w:rsidRDefault="00064D19" w:rsidP="002D2A0A">
            <w:pPr>
              <w:spacing w:before="0" w:line="240" w:lineRule="auto"/>
              <w:ind w:left="147" w:right="57"/>
              <w:rPr>
                <w:rFonts w:ascii="Arial" w:hAnsi="Arial" w:cs="Arial"/>
                <w:sz w:val="20"/>
                <w:szCs w:val="20"/>
              </w:rPr>
            </w:pPr>
            <w:r w:rsidRPr="002D2A0A">
              <w:rPr>
                <w:rFonts w:ascii="Arial" w:hAnsi="Arial" w:cs="Arial"/>
                <w:sz w:val="20"/>
                <w:szCs w:val="20"/>
              </w:rPr>
              <w:t>Bosentan</w:t>
            </w:r>
          </w:p>
        </w:tc>
        <w:tc>
          <w:tcPr>
            <w:tcW w:w="1366" w:type="pct"/>
          </w:tcPr>
          <w:p w14:paraId="2A95B922" w14:textId="77777777" w:rsidR="00064D19" w:rsidRPr="002D2A0A" w:rsidRDefault="00064D19" w:rsidP="002D2A0A">
            <w:pPr>
              <w:spacing w:before="0" w:line="240" w:lineRule="auto"/>
              <w:ind w:left="172" w:right="57"/>
              <w:rPr>
                <w:rFonts w:ascii="Arial" w:hAnsi="Arial" w:cs="Arial"/>
                <w:sz w:val="20"/>
                <w:szCs w:val="20"/>
                <w:u w:val="single"/>
              </w:rPr>
            </w:pPr>
            <w:r w:rsidRPr="002D2A0A">
              <w:rPr>
                <w:rFonts w:ascii="Arial" w:hAnsi="Arial" w:cs="Arial"/>
                <w:sz w:val="20"/>
                <w:szCs w:val="20"/>
              </w:rPr>
              <w:t>Treatment of IPAH or PAH associated with scleroderma in patients with WHO FC III or IV severity</w:t>
            </w:r>
          </w:p>
        </w:tc>
        <w:tc>
          <w:tcPr>
            <w:tcW w:w="490" w:type="pct"/>
          </w:tcPr>
          <w:p w14:paraId="4CEC0D91"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December 2002</w:t>
            </w:r>
          </w:p>
        </w:tc>
        <w:tc>
          <w:tcPr>
            <w:tcW w:w="2665" w:type="pct"/>
          </w:tcPr>
          <w:p w14:paraId="16D140B4" w14:textId="77777777" w:rsidR="00064D19" w:rsidRPr="002D2A0A" w:rsidRDefault="00064D19" w:rsidP="00807704">
            <w:pPr>
              <w:widowControl w:val="0"/>
              <w:numPr>
                <w:ilvl w:val="0"/>
                <w:numId w:val="15"/>
              </w:numPr>
              <w:spacing w:before="0" w:line="240" w:lineRule="auto"/>
              <w:ind w:left="172" w:right="57"/>
              <w:rPr>
                <w:rFonts w:ascii="Arial" w:hAnsi="Arial" w:cs="Arial"/>
                <w:b/>
                <w:caps/>
                <w:color w:val="000000"/>
                <w:spacing w:val="5"/>
                <w:kern w:val="28"/>
                <w:sz w:val="20"/>
                <w:szCs w:val="20"/>
                <w:lang w:val="en-US"/>
              </w:rPr>
            </w:pPr>
            <w:r w:rsidRPr="002D2A0A">
              <w:rPr>
                <w:rFonts w:ascii="Arial" w:hAnsi="Arial" w:cs="Arial"/>
                <w:sz w:val="20"/>
                <w:szCs w:val="20"/>
              </w:rPr>
              <w:t>Rejected</w:t>
            </w:r>
          </w:p>
          <w:p w14:paraId="74AC08BD"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Unacceptable and uncertain cost-effectiveness</w:t>
            </w:r>
            <w:r w:rsidR="007769E3">
              <w:rPr>
                <w:rFonts w:ascii="Arial" w:hAnsi="Arial" w:cs="Arial"/>
                <w:sz w:val="20"/>
                <w:szCs w:val="20"/>
              </w:rPr>
              <w:t>.</w:t>
            </w:r>
          </w:p>
        </w:tc>
      </w:tr>
      <w:tr w:rsidR="00064D19" w:rsidRPr="00064D19" w14:paraId="1AB6EAD4" w14:textId="77777777" w:rsidTr="00DD098B">
        <w:tc>
          <w:tcPr>
            <w:tcW w:w="478" w:type="pct"/>
            <w:tcBorders>
              <w:top w:val="nil"/>
              <w:bottom w:val="nil"/>
            </w:tcBorders>
          </w:tcPr>
          <w:p w14:paraId="2CA54CA8" w14:textId="77777777" w:rsidR="00064D19" w:rsidRPr="002D2A0A" w:rsidRDefault="00064D19" w:rsidP="002D2A0A">
            <w:pPr>
              <w:spacing w:before="0" w:line="240" w:lineRule="auto"/>
              <w:ind w:left="147" w:right="57"/>
              <w:rPr>
                <w:rFonts w:ascii="Arial" w:hAnsi="Arial" w:cs="Arial"/>
                <w:sz w:val="20"/>
                <w:szCs w:val="20"/>
              </w:rPr>
            </w:pPr>
          </w:p>
        </w:tc>
        <w:tc>
          <w:tcPr>
            <w:tcW w:w="1366" w:type="pct"/>
          </w:tcPr>
          <w:p w14:paraId="5C7A971B" w14:textId="77777777" w:rsidR="00064D19" w:rsidRPr="002D2A0A" w:rsidRDefault="00064D19" w:rsidP="002D2A0A">
            <w:pPr>
              <w:spacing w:before="0" w:line="240" w:lineRule="auto"/>
              <w:ind w:left="172" w:right="57"/>
              <w:rPr>
                <w:rFonts w:ascii="Arial" w:hAnsi="Arial" w:cs="Arial"/>
                <w:sz w:val="20"/>
                <w:szCs w:val="20"/>
                <w:u w:val="single"/>
              </w:rPr>
            </w:pPr>
            <w:r w:rsidRPr="002D2A0A">
              <w:rPr>
                <w:rFonts w:ascii="Arial" w:hAnsi="Arial" w:cs="Arial"/>
                <w:sz w:val="20"/>
                <w:szCs w:val="20"/>
              </w:rPr>
              <w:t>Re-submission (as above)</w:t>
            </w:r>
          </w:p>
        </w:tc>
        <w:tc>
          <w:tcPr>
            <w:tcW w:w="490" w:type="pct"/>
          </w:tcPr>
          <w:p w14:paraId="6603CAFC"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June 2003</w:t>
            </w:r>
          </w:p>
        </w:tc>
        <w:tc>
          <w:tcPr>
            <w:tcW w:w="2665" w:type="pct"/>
          </w:tcPr>
          <w:p w14:paraId="3A8F2021"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Rejected</w:t>
            </w:r>
          </w:p>
          <w:p w14:paraId="1FD07220"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Uncertainty in the clinical benefit, in terms of the extent in any gain in survival, and uncertain and unacceptable cost-effectiveness</w:t>
            </w:r>
            <w:r w:rsidR="007769E3">
              <w:rPr>
                <w:rFonts w:ascii="Arial" w:hAnsi="Arial" w:cs="Arial"/>
                <w:sz w:val="20"/>
                <w:szCs w:val="20"/>
              </w:rPr>
              <w:t>.</w:t>
            </w:r>
          </w:p>
        </w:tc>
      </w:tr>
      <w:tr w:rsidR="00064D19" w:rsidRPr="00064D19" w14:paraId="46742F56" w14:textId="77777777" w:rsidTr="00DD098B">
        <w:tc>
          <w:tcPr>
            <w:tcW w:w="478" w:type="pct"/>
            <w:tcBorders>
              <w:top w:val="nil"/>
              <w:bottom w:val="nil"/>
            </w:tcBorders>
          </w:tcPr>
          <w:p w14:paraId="765B7924" w14:textId="77777777" w:rsidR="00064D19" w:rsidRPr="002D2A0A" w:rsidRDefault="00064D19" w:rsidP="002D2A0A">
            <w:pPr>
              <w:spacing w:before="0" w:line="240" w:lineRule="auto"/>
              <w:ind w:left="147" w:right="57"/>
              <w:rPr>
                <w:rFonts w:ascii="Arial" w:hAnsi="Arial" w:cs="Arial"/>
                <w:sz w:val="20"/>
                <w:szCs w:val="20"/>
              </w:rPr>
            </w:pPr>
          </w:p>
        </w:tc>
        <w:tc>
          <w:tcPr>
            <w:tcW w:w="1366" w:type="pct"/>
          </w:tcPr>
          <w:p w14:paraId="2E4347C6" w14:textId="77777777" w:rsidR="00064D19" w:rsidRPr="002D2A0A" w:rsidRDefault="00064D19" w:rsidP="002D2A0A">
            <w:pPr>
              <w:spacing w:before="0" w:line="240" w:lineRule="auto"/>
              <w:ind w:left="172" w:right="57"/>
              <w:rPr>
                <w:rFonts w:ascii="Arial" w:hAnsi="Arial" w:cs="Arial"/>
                <w:sz w:val="20"/>
                <w:szCs w:val="20"/>
                <w:u w:val="single"/>
              </w:rPr>
            </w:pPr>
            <w:r w:rsidRPr="002D2A0A">
              <w:rPr>
                <w:rFonts w:ascii="Arial" w:hAnsi="Arial" w:cs="Arial"/>
                <w:sz w:val="20"/>
                <w:szCs w:val="20"/>
              </w:rPr>
              <w:t>Re-submission (as above)</w:t>
            </w:r>
          </w:p>
        </w:tc>
        <w:tc>
          <w:tcPr>
            <w:tcW w:w="490" w:type="pct"/>
          </w:tcPr>
          <w:p w14:paraId="66254DC5"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September 2003</w:t>
            </w:r>
          </w:p>
        </w:tc>
        <w:tc>
          <w:tcPr>
            <w:tcW w:w="2665" w:type="pct"/>
          </w:tcPr>
          <w:p w14:paraId="40256C69"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Rejected</w:t>
            </w:r>
          </w:p>
          <w:p w14:paraId="76BCDCEC"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Uncertain and unacceptable cost-effectiveness</w:t>
            </w:r>
            <w:r w:rsidR="007769E3">
              <w:rPr>
                <w:rFonts w:ascii="Arial" w:hAnsi="Arial" w:cs="Arial"/>
                <w:sz w:val="20"/>
                <w:szCs w:val="20"/>
              </w:rPr>
              <w:t>.</w:t>
            </w:r>
          </w:p>
        </w:tc>
      </w:tr>
      <w:tr w:rsidR="00064D19" w:rsidRPr="00064D19" w14:paraId="487CA184" w14:textId="77777777" w:rsidTr="00DD098B">
        <w:tc>
          <w:tcPr>
            <w:tcW w:w="478" w:type="pct"/>
            <w:tcBorders>
              <w:top w:val="nil"/>
              <w:bottom w:val="nil"/>
            </w:tcBorders>
          </w:tcPr>
          <w:p w14:paraId="7248DBC4" w14:textId="77777777" w:rsidR="00064D19" w:rsidRPr="002D2A0A" w:rsidRDefault="00064D19" w:rsidP="002D2A0A">
            <w:pPr>
              <w:spacing w:before="0" w:line="240" w:lineRule="auto"/>
              <w:ind w:left="147" w:right="57"/>
              <w:rPr>
                <w:rFonts w:ascii="Arial" w:hAnsi="Arial" w:cs="Arial"/>
                <w:sz w:val="20"/>
                <w:szCs w:val="20"/>
              </w:rPr>
            </w:pPr>
          </w:p>
        </w:tc>
        <w:tc>
          <w:tcPr>
            <w:tcW w:w="1366" w:type="pct"/>
          </w:tcPr>
          <w:p w14:paraId="7023F320" w14:textId="77777777" w:rsidR="00064D19" w:rsidRPr="00541D71" w:rsidRDefault="00064D19" w:rsidP="002D2A0A">
            <w:pPr>
              <w:spacing w:before="0" w:line="240" w:lineRule="auto"/>
              <w:ind w:left="172" w:right="57"/>
              <w:rPr>
                <w:rFonts w:ascii="Arial" w:hAnsi="Arial" w:cs="Arial"/>
                <w:sz w:val="20"/>
                <w:szCs w:val="20"/>
                <w:u w:val="single"/>
              </w:rPr>
            </w:pPr>
            <w:r w:rsidRPr="00541D71">
              <w:rPr>
                <w:rFonts w:ascii="Arial" w:hAnsi="Arial" w:cs="Arial"/>
                <w:sz w:val="20"/>
                <w:szCs w:val="20"/>
              </w:rPr>
              <w:t>Re-submission (as above)</w:t>
            </w:r>
          </w:p>
        </w:tc>
        <w:tc>
          <w:tcPr>
            <w:tcW w:w="490" w:type="pct"/>
          </w:tcPr>
          <w:p w14:paraId="2E32F575" w14:textId="77777777" w:rsidR="00064D19" w:rsidRPr="00541D71" w:rsidRDefault="00064D19" w:rsidP="002D2A0A">
            <w:pPr>
              <w:spacing w:before="0" w:line="240" w:lineRule="auto"/>
              <w:ind w:left="172" w:right="57"/>
              <w:rPr>
                <w:rFonts w:ascii="Arial" w:hAnsi="Arial" w:cs="Arial"/>
                <w:sz w:val="20"/>
                <w:szCs w:val="20"/>
              </w:rPr>
            </w:pPr>
            <w:r w:rsidRPr="00541D71">
              <w:rPr>
                <w:rFonts w:ascii="Arial" w:hAnsi="Arial" w:cs="Arial"/>
                <w:sz w:val="20"/>
                <w:szCs w:val="20"/>
              </w:rPr>
              <w:t>December 2003</w:t>
            </w:r>
          </w:p>
        </w:tc>
        <w:tc>
          <w:tcPr>
            <w:tcW w:w="2665" w:type="pct"/>
          </w:tcPr>
          <w:p w14:paraId="73FF5375" w14:textId="77777777" w:rsidR="00064D19" w:rsidRPr="00541D71" w:rsidRDefault="00064D19" w:rsidP="00807704">
            <w:pPr>
              <w:widowControl w:val="0"/>
              <w:numPr>
                <w:ilvl w:val="0"/>
                <w:numId w:val="15"/>
              </w:numPr>
              <w:spacing w:before="0" w:line="240" w:lineRule="auto"/>
              <w:ind w:left="172" w:right="57"/>
              <w:rPr>
                <w:rFonts w:ascii="Arial" w:hAnsi="Arial" w:cs="Arial"/>
                <w:sz w:val="20"/>
                <w:szCs w:val="20"/>
              </w:rPr>
            </w:pPr>
            <w:r w:rsidRPr="00541D71">
              <w:rPr>
                <w:rFonts w:ascii="Arial" w:hAnsi="Arial" w:cs="Arial"/>
                <w:sz w:val="20"/>
                <w:szCs w:val="20"/>
              </w:rPr>
              <w:t>Recommended listing on basis of acceptable, but high, cost-effectiveness ratio.</w:t>
            </w:r>
          </w:p>
          <w:p w14:paraId="2531940F" w14:textId="77777777" w:rsidR="00EA0CBC" w:rsidRDefault="00F4698B" w:rsidP="00EA0CBC">
            <w:pPr>
              <w:widowControl w:val="0"/>
              <w:spacing w:before="0" w:line="240" w:lineRule="auto"/>
              <w:ind w:left="172" w:right="57" w:hanging="360"/>
              <w:rPr>
                <w:rFonts w:ascii="Symbol" w:hAnsi="Symbol" w:cs="Arial"/>
                <w:noProof/>
                <w:color w:val="000000"/>
                <w:sz w:val="12"/>
                <w:szCs w:val="12"/>
                <w:highlight w:val="black"/>
              </w:rPr>
            </w:pP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p>
          <w:p w14:paraId="7A09D44B" w14:textId="77777777" w:rsidR="00EA0CBC" w:rsidRDefault="00F4698B" w:rsidP="00EA0CBC">
            <w:pPr>
              <w:widowControl w:val="0"/>
              <w:spacing w:before="0" w:line="240" w:lineRule="auto"/>
              <w:ind w:left="172" w:right="57" w:hanging="360"/>
              <w:rPr>
                <w:rFonts w:ascii="Symbol" w:hAnsi="Symbol" w:cs="Arial"/>
                <w:noProof/>
                <w:color w:val="000000"/>
                <w:sz w:val="12"/>
                <w:szCs w:val="12"/>
                <w:highlight w:val="black"/>
              </w:rPr>
            </w:pP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p>
          <w:p w14:paraId="66224112" w14:textId="77777777" w:rsidR="00EA0CBC" w:rsidRDefault="00F4698B" w:rsidP="00EA0CBC">
            <w:pPr>
              <w:widowControl w:val="0"/>
              <w:spacing w:before="0" w:line="240" w:lineRule="auto"/>
              <w:ind w:left="172" w:right="57" w:hanging="360"/>
              <w:rPr>
                <w:rFonts w:ascii="Symbol" w:hAnsi="Symbol" w:cs="Arial"/>
                <w:noProof/>
                <w:color w:val="000000"/>
                <w:sz w:val="12"/>
                <w:szCs w:val="12"/>
                <w:highlight w:val="black"/>
              </w:rPr>
            </w:pP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p>
          <w:p w14:paraId="4B274B3F" w14:textId="77777777" w:rsidR="00EA0CBC" w:rsidRDefault="00F4698B" w:rsidP="00EA0CBC">
            <w:pPr>
              <w:widowControl w:val="0"/>
              <w:spacing w:before="0" w:line="240" w:lineRule="auto"/>
              <w:ind w:left="172" w:right="57" w:hanging="360"/>
              <w:rPr>
                <w:rFonts w:ascii="Symbol" w:hAnsi="Symbol" w:cs="Arial"/>
                <w:noProof/>
                <w:color w:val="000000"/>
                <w:sz w:val="12"/>
                <w:szCs w:val="12"/>
                <w:highlight w:val="black"/>
              </w:rPr>
            </w:pP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p>
          <w:p w14:paraId="3D7E8575" w14:textId="77777777" w:rsidR="00EA0CBC" w:rsidRDefault="00F4698B" w:rsidP="00EA0CBC">
            <w:pPr>
              <w:widowControl w:val="0"/>
              <w:spacing w:before="0" w:line="240" w:lineRule="auto"/>
              <w:ind w:left="172" w:right="57" w:hanging="360"/>
              <w:rPr>
                <w:rFonts w:ascii="Symbol" w:hAnsi="Symbol" w:cs="Arial"/>
                <w:noProof/>
                <w:color w:val="000000"/>
                <w:sz w:val="12"/>
                <w:szCs w:val="12"/>
                <w:highlight w:val="black"/>
              </w:rPr>
            </w:pP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p>
          <w:p w14:paraId="39D29D9D" w14:textId="77777777" w:rsidR="00EA0CBC" w:rsidRDefault="00F4698B" w:rsidP="00EA0CBC">
            <w:pPr>
              <w:widowControl w:val="0"/>
              <w:spacing w:before="0" w:line="240" w:lineRule="auto"/>
              <w:ind w:left="172" w:right="57" w:hanging="360"/>
              <w:rPr>
                <w:rFonts w:ascii="Symbol" w:hAnsi="Symbol" w:cs="Arial"/>
                <w:noProof/>
                <w:color w:val="000000"/>
                <w:sz w:val="12"/>
                <w:szCs w:val="12"/>
                <w:highlight w:val="black"/>
              </w:rPr>
            </w:pP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p>
          <w:p w14:paraId="5FF56E25" w14:textId="77777777" w:rsidR="00064D19" w:rsidRDefault="00F4698B" w:rsidP="00EA0CBC">
            <w:pPr>
              <w:widowControl w:val="0"/>
              <w:spacing w:before="0" w:line="240" w:lineRule="auto"/>
              <w:ind w:left="172" w:right="57" w:hanging="360"/>
              <w:rPr>
                <w:rFonts w:ascii="Symbol" w:hAnsi="Symbol" w:cs="Arial"/>
                <w:noProof/>
                <w:color w:val="000000"/>
                <w:sz w:val="12"/>
                <w:szCs w:val="12"/>
                <w:highlight w:val="black"/>
              </w:rPr>
            </w:pP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p>
          <w:p w14:paraId="658F60AC" w14:textId="77777777" w:rsidR="00EA0CBC" w:rsidRPr="00F4698B" w:rsidRDefault="00EA0CBC" w:rsidP="00EA0CBC">
            <w:pPr>
              <w:widowControl w:val="0"/>
              <w:spacing w:before="0" w:line="240" w:lineRule="auto"/>
              <w:ind w:left="172" w:right="57" w:hanging="360"/>
              <w:rPr>
                <w:rFonts w:ascii="Arial" w:hAnsi="Arial" w:cs="Arial"/>
                <w:sz w:val="20"/>
                <w:szCs w:val="20"/>
                <w:highlight w:val="black"/>
              </w:rPr>
            </w:pPr>
          </w:p>
        </w:tc>
      </w:tr>
      <w:tr w:rsidR="00064D19" w:rsidRPr="00064D19" w14:paraId="344684C7" w14:textId="77777777" w:rsidTr="00DD098B">
        <w:tc>
          <w:tcPr>
            <w:tcW w:w="478" w:type="pct"/>
            <w:tcBorders>
              <w:top w:val="nil"/>
              <w:bottom w:val="nil"/>
            </w:tcBorders>
          </w:tcPr>
          <w:p w14:paraId="704D2888" w14:textId="77777777" w:rsidR="00064D19" w:rsidRPr="002D2A0A" w:rsidRDefault="00064D19" w:rsidP="002D2A0A">
            <w:pPr>
              <w:spacing w:before="0" w:line="240" w:lineRule="auto"/>
              <w:ind w:left="147" w:right="57"/>
              <w:rPr>
                <w:rFonts w:ascii="Arial" w:hAnsi="Arial" w:cs="Arial"/>
                <w:sz w:val="20"/>
                <w:szCs w:val="20"/>
              </w:rPr>
            </w:pPr>
          </w:p>
        </w:tc>
        <w:tc>
          <w:tcPr>
            <w:tcW w:w="1366" w:type="pct"/>
          </w:tcPr>
          <w:p w14:paraId="5B18D29B" w14:textId="77777777" w:rsidR="00064D19" w:rsidRPr="002D2A0A" w:rsidRDefault="00064D19" w:rsidP="002D2A0A">
            <w:pPr>
              <w:spacing w:before="0" w:line="240" w:lineRule="auto"/>
              <w:ind w:left="172" w:right="57"/>
              <w:rPr>
                <w:rFonts w:ascii="Arial" w:hAnsi="Arial" w:cs="Arial"/>
                <w:b/>
                <w:caps/>
                <w:color w:val="000000"/>
                <w:spacing w:val="5"/>
                <w:kern w:val="28"/>
                <w:sz w:val="20"/>
                <w:szCs w:val="20"/>
                <w:u w:val="single"/>
                <w:lang w:val="en-US"/>
              </w:rPr>
            </w:pPr>
            <w:r w:rsidRPr="002D2A0A">
              <w:rPr>
                <w:rFonts w:ascii="Arial" w:hAnsi="Arial" w:cs="Arial"/>
                <w:sz w:val="20"/>
                <w:szCs w:val="20"/>
              </w:rPr>
              <w:t>Extend listing to include PAH associated with congenital systemic-to-pulmonary shunts including Eisenmenger</w:t>
            </w:r>
            <w:r w:rsidR="00FC2D2F">
              <w:rPr>
                <w:rFonts w:ascii="Arial" w:hAnsi="Arial" w:cs="Arial"/>
                <w:sz w:val="20"/>
                <w:szCs w:val="20"/>
              </w:rPr>
              <w:t xml:space="preserve"> </w:t>
            </w:r>
            <w:r w:rsidRPr="002D2A0A">
              <w:rPr>
                <w:rFonts w:ascii="Arial" w:hAnsi="Arial" w:cs="Arial"/>
                <w:sz w:val="20"/>
                <w:szCs w:val="20"/>
              </w:rPr>
              <w:t>physiology</w:t>
            </w:r>
          </w:p>
        </w:tc>
        <w:tc>
          <w:tcPr>
            <w:tcW w:w="490" w:type="pct"/>
          </w:tcPr>
          <w:p w14:paraId="62545F0C"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March 2008</w:t>
            </w:r>
          </w:p>
        </w:tc>
        <w:tc>
          <w:tcPr>
            <w:tcW w:w="2665" w:type="pct"/>
          </w:tcPr>
          <w:p w14:paraId="59CF27EC"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 xml:space="preserve">Recommended listing </w:t>
            </w:r>
          </w:p>
          <w:p w14:paraId="7B3B7D65"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 xml:space="preserve">Acceptable cost-effectiveness compared with standard care (evidence is presented at </w:t>
            </w:r>
            <w:proofErr w:type="spellStart"/>
            <w:r w:rsidRPr="002D2A0A">
              <w:rPr>
                <w:rFonts w:ascii="Arial" w:hAnsi="Arial" w:cs="Arial"/>
                <w:sz w:val="20"/>
                <w:szCs w:val="20"/>
              </w:rPr>
              <w:t>i</w:t>
            </w:r>
            <w:proofErr w:type="spellEnd"/>
            <w:r w:rsidRPr="002D2A0A">
              <w:rPr>
                <w:rFonts w:ascii="Arial" w:hAnsi="Arial" w:cs="Arial"/>
                <w:sz w:val="20"/>
                <w:szCs w:val="20"/>
              </w:rPr>
              <w:t>) below).</w:t>
            </w:r>
          </w:p>
        </w:tc>
      </w:tr>
      <w:tr w:rsidR="00064D19" w:rsidRPr="00064D19" w14:paraId="6E1ACFE5" w14:textId="77777777" w:rsidTr="00DD098B">
        <w:tc>
          <w:tcPr>
            <w:tcW w:w="478" w:type="pct"/>
            <w:tcBorders>
              <w:top w:val="nil"/>
            </w:tcBorders>
          </w:tcPr>
          <w:p w14:paraId="10608E27" w14:textId="77777777" w:rsidR="00064D19" w:rsidRPr="002D2A0A" w:rsidRDefault="00064D19" w:rsidP="002D2A0A">
            <w:pPr>
              <w:spacing w:before="0" w:line="240" w:lineRule="auto"/>
              <w:ind w:left="147" w:right="57"/>
              <w:rPr>
                <w:rFonts w:ascii="Arial" w:hAnsi="Arial" w:cs="Arial"/>
                <w:sz w:val="20"/>
                <w:szCs w:val="20"/>
              </w:rPr>
            </w:pPr>
          </w:p>
        </w:tc>
        <w:tc>
          <w:tcPr>
            <w:tcW w:w="1366" w:type="pct"/>
          </w:tcPr>
          <w:p w14:paraId="633A290F"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Minor submission from PHSANZ requesting amendment of the current ‘continuing treatment’ restriction</w:t>
            </w:r>
          </w:p>
        </w:tc>
        <w:tc>
          <w:tcPr>
            <w:tcW w:w="490" w:type="pct"/>
          </w:tcPr>
          <w:p w14:paraId="49461BCF"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 xml:space="preserve">July 2015 </w:t>
            </w:r>
          </w:p>
        </w:tc>
        <w:tc>
          <w:tcPr>
            <w:tcW w:w="2665" w:type="pct"/>
          </w:tcPr>
          <w:p w14:paraId="21A5BB9A"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Recommended that that the current “continuing treatment (all patients)” restriction be replaced by a “continuing treatment – new patient” restriction (written authority)</w:t>
            </w:r>
            <w:proofErr w:type="gramStart"/>
            <w:r w:rsidRPr="002D2A0A">
              <w:rPr>
                <w:rFonts w:ascii="Arial" w:hAnsi="Arial" w:cs="Arial"/>
                <w:sz w:val="20"/>
                <w:szCs w:val="20"/>
              </w:rPr>
              <w:t>;</w:t>
            </w:r>
            <w:proofErr w:type="gramEnd"/>
            <w:r w:rsidRPr="002D2A0A">
              <w:rPr>
                <w:rFonts w:ascii="Arial" w:hAnsi="Arial" w:cs="Arial"/>
                <w:sz w:val="20"/>
                <w:szCs w:val="20"/>
              </w:rPr>
              <w:t xml:space="preserve"> and a subsequent “continuing treatment” restriction (telephone authority) without a requirement to provide evidence of response to the most recent treatment course</w:t>
            </w:r>
            <w:r w:rsidR="007769E3">
              <w:rPr>
                <w:rFonts w:ascii="Arial" w:hAnsi="Arial" w:cs="Arial"/>
                <w:sz w:val="20"/>
                <w:szCs w:val="20"/>
              </w:rPr>
              <w:t>.</w:t>
            </w:r>
          </w:p>
        </w:tc>
      </w:tr>
      <w:tr w:rsidR="00064D19" w:rsidRPr="00064D19" w14:paraId="7B937C0B" w14:textId="77777777" w:rsidTr="00DD098B">
        <w:tc>
          <w:tcPr>
            <w:tcW w:w="478" w:type="pct"/>
            <w:tcBorders>
              <w:bottom w:val="single" w:sz="4" w:space="0" w:color="000000" w:themeColor="text1"/>
            </w:tcBorders>
          </w:tcPr>
          <w:p w14:paraId="15A672F0" w14:textId="77777777" w:rsidR="00064D19" w:rsidRPr="002D2A0A" w:rsidRDefault="00064D19" w:rsidP="002D2A0A">
            <w:pPr>
              <w:spacing w:before="0" w:line="240" w:lineRule="auto"/>
              <w:ind w:left="147" w:right="57"/>
              <w:rPr>
                <w:rFonts w:ascii="Arial" w:hAnsi="Arial" w:cs="Arial"/>
                <w:sz w:val="20"/>
                <w:szCs w:val="20"/>
              </w:rPr>
            </w:pPr>
            <w:r w:rsidRPr="002D2A0A">
              <w:rPr>
                <w:rFonts w:ascii="Arial" w:hAnsi="Arial" w:cs="Arial"/>
                <w:sz w:val="20"/>
                <w:szCs w:val="20"/>
              </w:rPr>
              <w:t>Ambrisentan</w:t>
            </w:r>
          </w:p>
        </w:tc>
        <w:tc>
          <w:tcPr>
            <w:tcW w:w="1366" w:type="pct"/>
          </w:tcPr>
          <w:p w14:paraId="2D9426A6" w14:textId="77777777" w:rsidR="00064D19" w:rsidRPr="002D2A0A" w:rsidRDefault="00064D19" w:rsidP="002D2A0A">
            <w:pPr>
              <w:spacing w:before="0" w:line="240" w:lineRule="auto"/>
              <w:ind w:left="172" w:right="57"/>
              <w:rPr>
                <w:rFonts w:ascii="Arial" w:hAnsi="Arial" w:cs="Arial"/>
                <w:b/>
                <w:caps/>
                <w:color w:val="000000"/>
                <w:spacing w:val="5"/>
                <w:kern w:val="28"/>
                <w:sz w:val="20"/>
                <w:szCs w:val="20"/>
                <w:u w:val="single"/>
                <w:lang w:val="en-US"/>
              </w:rPr>
            </w:pPr>
            <w:r w:rsidRPr="002D2A0A">
              <w:rPr>
                <w:rFonts w:ascii="Arial" w:hAnsi="Arial" w:cs="Arial"/>
                <w:sz w:val="20"/>
                <w:szCs w:val="20"/>
              </w:rPr>
              <w:t>Treatment of IPAH or PAH-CTD in patients with a WHO FC III-IV severity</w:t>
            </w:r>
          </w:p>
        </w:tc>
        <w:tc>
          <w:tcPr>
            <w:tcW w:w="490" w:type="pct"/>
          </w:tcPr>
          <w:p w14:paraId="279B7065"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July 2009</w:t>
            </w:r>
          </w:p>
        </w:tc>
        <w:tc>
          <w:tcPr>
            <w:tcW w:w="2665" w:type="pct"/>
          </w:tcPr>
          <w:p w14:paraId="11338E1D"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Recommended listing as Section 100 HSD Program Public and Private Hospital Authority Required</w:t>
            </w:r>
          </w:p>
          <w:p w14:paraId="01DFA397" w14:textId="48F6D4CA"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 xml:space="preserve">Cost minimisation basis to bosentan. </w:t>
            </w:r>
            <w:proofErr w:type="spellStart"/>
            <w:r w:rsidRPr="002D2A0A">
              <w:rPr>
                <w:rFonts w:ascii="Arial" w:hAnsi="Arial" w:cs="Arial"/>
                <w:sz w:val="20"/>
                <w:szCs w:val="20"/>
              </w:rPr>
              <w:t>Equi</w:t>
            </w:r>
            <w:proofErr w:type="spellEnd"/>
            <w:r w:rsidRPr="002D2A0A">
              <w:rPr>
                <w:rFonts w:ascii="Arial" w:hAnsi="Arial" w:cs="Arial"/>
                <w:sz w:val="20"/>
                <w:szCs w:val="20"/>
              </w:rPr>
              <w:t>-effective doses are ambrisentan 5</w:t>
            </w:r>
            <w:r w:rsidR="00067504">
              <w:rPr>
                <w:rFonts w:ascii="Arial" w:hAnsi="Arial" w:cs="Arial"/>
                <w:sz w:val="20"/>
                <w:szCs w:val="20"/>
              </w:rPr>
              <w:t xml:space="preserve"> mg</w:t>
            </w:r>
            <w:r w:rsidRPr="002D2A0A">
              <w:rPr>
                <w:rFonts w:ascii="Arial" w:hAnsi="Arial" w:cs="Arial"/>
                <w:sz w:val="20"/>
                <w:szCs w:val="20"/>
              </w:rPr>
              <w:t xml:space="preserve"> daily and bosentan 125</w:t>
            </w:r>
            <w:r w:rsidR="00067504">
              <w:rPr>
                <w:rFonts w:ascii="Arial" w:hAnsi="Arial" w:cs="Arial"/>
                <w:sz w:val="20"/>
                <w:szCs w:val="20"/>
              </w:rPr>
              <w:t xml:space="preserve"> mg</w:t>
            </w:r>
            <w:r w:rsidRPr="002D2A0A">
              <w:rPr>
                <w:rFonts w:ascii="Arial" w:hAnsi="Arial" w:cs="Arial"/>
                <w:sz w:val="20"/>
                <w:szCs w:val="20"/>
              </w:rPr>
              <w:t xml:space="preserve"> bid (evidence is presented at ii) below).</w:t>
            </w:r>
          </w:p>
        </w:tc>
      </w:tr>
      <w:tr w:rsidR="00064D19" w:rsidRPr="00064D19" w14:paraId="2293B1B1" w14:textId="77777777" w:rsidTr="00DD098B">
        <w:tc>
          <w:tcPr>
            <w:tcW w:w="478" w:type="pct"/>
            <w:tcBorders>
              <w:top w:val="single" w:sz="4" w:space="0" w:color="000000" w:themeColor="text1"/>
              <w:bottom w:val="nil"/>
            </w:tcBorders>
          </w:tcPr>
          <w:p w14:paraId="640AA7EF" w14:textId="77777777" w:rsidR="00064D19" w:rsidRPr="002D2A0A" w:rsidRDefault="00064D19" w:rsidP="002D2A0A">
            <w:pPr>
              <w:spacing w:before="0" w:line="240" w:lineRule="auto"/>
              <w:ind w:left="147" w:right="57"/>
              <w:rPr>
                <w:rFonts w:ascii="Arial" w:hAnsi="Arial" w:cs="Arial"/>
                <w:sz w:val="20"/>
                <w:szCs w:val="20"/>
              </w:rPr>
            </w:pPr>
            <w:r w:rsidRPr="002D2A0A">
              <w:rPr>
                <w:rFonts w:ascii="Arial" w:hAnsi="Arial" w:cs="Arial"/>
                <w:sz w:val="20"/>
                <w:szCs w:val="20"/>
              </w:rPr>
              <w:t>Macitentan</w:t>
            </w:r>
          </w:p>
        </w:tc>
        <w:tc>
          <w:tcPr>
            <w:tcW w:w="1366" w:type="pct"/>
          </w:tcPr>
          <w:p w14:paraId="07D96900" w14:textId="77777777" w:rsidR="00064D19" w:rsidRPr="002D2A0A" w:rsidRDefault="00064D19" w:rsidP="002D2A0A">
            <w:pPr>
              <w:spacing w:before="0" w:line="240" w:lineRule="auto"/>
              <w:ind w:left="172" w:right="57"/>
              <w:rPr>
                <w:rFonts w:ascii="Arial" w:hAnsi="Arial" w:cs="Arial"/>
                <w:b/>
                <w:caps/>
                <w:color w:val="000000"/>
                <w:spacing w:val="5"/>
                <w:kern w:val="28"/>
                <w:sz w:val="20"/>
                <w:szCs w:val="20"/>
                <w:u w:val="single"/>
                <w:lang w:val="en-US"/>
              </w:rPr>
            </w:pPr>
            <w:r w:rsidRPr="002D2A0A">
              <w:rPr>
                <w:rFonts w:ascii="Arial" w:hAnsi="Arial" w:cs="Arial"/>
                <w:sz w:val="20"/>
                <w:szCs w:val="20"/>
              </w:rPr>
              <w:t>Treatment of WHO FC III or IV IPAH, PAH-CTD or PAH-CHD</w:t>
            </w:r>
          </w:p>
        </w:tc>
        <w:tc>
          <w:tcPr>
            <w:tcW w:w="490" w:type="pct"/>
          </w:tcPr>
          <w:p w14:paraId="3A9DCB10"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March 2014</w:t>
            </w:r>
          </w:p>
        </w:tc>
        <w:tc>
          <w:tcPr>
            <w:tcW w:w="2665" w:type="pct"/>
          </w:tcPr>
          <w:p w14:paraId="52840924"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 xml:space="preserve">Recommended listing </w:t>
            </w:r>
          </w:p>
          <w:p w14:paraId="2E5F8C3C" w14:textId="36612A80"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 xml:space="preserve">Cost minimisation basis to bosentan. </w:t>
            </w:r>
            <w:proofErr w:type="spellStart"/>
            <w:r w:rsidRPr="002D2A0A">
              <w:rPr>
                <w:rFonts w:ascii="Arial" w:hAnsi="Arial" w:cs="Arial"/>
                <w:sz w:val="20"/>
                <w:szCs w:val="20"/>
              </w:rPr>
              <w:t>Equi</w:t>
            </w:r>
            <w:proofErr w:type="spellEnd"/>
            <w:r w:rsidRPr="002D2A0A">
              <w:rPr>
                <w:rFonts w:ascii="Arial" w:hAnsi="Arial" w:cs="Arial"/>
                <w:sz w:val="20"/>
                <w:szCs w:val="20"/>
              </w:rPr>
              <w:t>-effective doses are macitentan 10</w:t>
            </w:r>
            <w:r w:rsidR="00067504">
              <w:rPr>
                <w:rFonts w:ascii="Arial" w:hAnsi="Arial" w:cs="Arial"/>
                <w:sz w:val="20"/>
                <w:szCs w:val="20"/>
              </w:rPr>
              <w:t xml:space="preserve"> mg</w:t>
            </w:r>
            <w:r w:rsidRPr="002D2A0A">
              <w:rPr>
                <w:rFonts w:ascii="Arial" w:hAnsi="Arial" w:cs="Arial"/>
                <w:sz w:val="20"/>
                <w:szCs w:val="20"/>
              </w:rPr>
              <w:t xml:space="preserve"> once daily versus bosentan 62.5</w:t>
            </w:r>
            <w:r w:rsidR="00067504">
              <w:rPr>
                <w:rFonts w:ascii="Arial" w:hAnsi="Arial" w:cs="Arial"/>
                <w:sz w:val="20"/>
                <w:szCs w:val="20"/>
              </w:rPr>
              <w:t xml:space="preserve"> mg</w:t>
            </w:r>
            <w:r w:rsidRPr="002D2A0A">
              <w:rPr>
                <w:rFonts w:ascii="Arial" w:hAnsi="Arial" w:cs="Arial"/>
                <w:sz w:val="20"/>
                <w:szCs w:val="20"/>
              </w:rPr>
              <w:t xml:space="preserve"> twice daily for 4 weeks, then a maintenance dose of 125</w:t>
            </w:r>
            <w:r w:rsidR="00067504">
              <w:rPr>
                <w:rFonts w:ascii="Arial" w:hAnsi="Arial" w:cs="Arial"/>
                <w:sz w:val="20"/>
                <w:szCs w:val="20"/>
              </w:rPr>
              <w:t xml:space="preserve"> mg</w:t>
            </w:r>
            <w:r w:rsidRPr="002D2A0A">
              <w:rPr>
                <w:rFonts w:ascii="Arial" w:hAnsi="Arial" w:cs="Arial"/>
                <w:sz w:val="20"/>
                <w:szCs w:val="20"/>
              </w:rPr>
              <w:t xml:space="preserve"> twice daily.</w:t>
            </w:r>
          </w:p>
        </w:tc>
      </w:tr>
      <w:tr w:rsidR="00064D19" w:rsidRPr="00064D19" w14:paraId="796C2B56" w14:textId="77777777" w:rsidTr="00DD098B">
        <w:tc>
          <w:tcPr>
            <w:tcW w:w="478" w:type="pct"/>
            <w:tcBorders>
              <w:top w:val="nil"/>
              <w:bottom w:val="single" w:sz="4" w:space="0" w:color="000000" w:themeColor="text1"/>
            </w:tcBorders>
          </w:tcPr>
          <w:p w14:paraId="17148941" w14:textId="77777777" w:rsidR="00064D19" w:rsidRPr="002D2A0A" w:rsidRDefault="00064D19" w:rsidP="002D2A0A">
            <w:pPr>
              <w:spacing w:before="0" w:line="240" w:lineRule="auto"/>
              <w:ind w:left="147" w:right="57"/>
              <w:rPr>
                <w:rFonts w:ascii="Arial" w:hAnsi="Arial" w:cs="Arial"/>
                <w:sz w:val="20"/>
                <w:szCs w:val="20"/>
              </w:rPr>
            </w:pPr>
          </w:p>
        </w:tc>
        <w:tc>
          <w:tcPr>
            <w:tcW w:w="1366" w:type="pct"/>
          </w:tcPr>
          <w:p w14:paraId="09E22DB3"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Minor submission from PHSANZ requesting amendment of the current ‘continuing treatment’ restriction</w:t>
            </w:r>
          </w:p>
        </w:tc>
        <w:tc>
          <w:tcPr>
            <w:tcW w:w="490" w:type="pct"/>
          </w:tcPr>
          <w:p w14:paraId="44FFF083"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 xml:space="preserve">July 2015 </w:t>
            </w:r>
          </w:p>
        </w:tc>
        <w:tc>
          <w:tcPr>
            <w:tcW w:w="2665" w:type="pct"/>
          </w:tcPr>
          <w:p w14:paraId="29BAAC2E" w14:textId="77777777" w:rsidR="00064D19" w:rsidRPr="002D2A0A"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Recommended that that the current “continuing treatment (all patients)” restriction be replaced by a “continuing treatment – new patient” restriction (written authority)</w:t>
            </w:r>
            <w:proofErr w:type="gramStart"/>
            <w:r w:rsidRPr="002D2A0A">
              <w:rPr>
                <w:rFonts w:ascii="Arial" w:hAnsi="Arial" w:cs="Arial"/>
                <w:sz w:val="20"/>
                <w:szCs w:val="20"/>
              </w:rPr>
              <w:t>;</w:t>
            </w:r>
            <w:proofErr w:type="gramEnd"/>
            <w:r w:rsidRPr="002D2A0A">
              <w:rPr>
                <w:rFonts w:ascii="Arial" w:hAnsi="Arial" w:cs="Arial"/>
                <w:sz w:val="20"/>
                <w:szCs w:val="20"/>
              </w:rPr>
              <w:t xml:space="preserve"> and a subsequent “continuing treatment” restriction (telephone authority) without a requirement to provide evidence of response to the most recent treatment course</w:t>
            </w:r>
            <w:r w:rsidR="00E93086">
              <w:rPr>
                <w:rFonts w:ascii="Arial" w:hAnsi="Arial" w:cs="Arial"/>
                <w:sz w:val="20"/>
                <w:szCs w:val="20"/>
              </w:rPr>
              <w:t>.</w:t>
            </w:r>
          </w:p>
        </w:tc>
      </w:tr>
      <w:tr w:rsidR="00064D19" w:rsidRPr="00064D19" w14:paraId="2B64C808" w14:textId="77777777" w:rsidTr="00DD098B">
        <w:tc>
          <w:tcPr>
            <w:tcW w:w="478" w:type="pct"/>
            <w:tcBorders>
              <w:top w:val="single" w:sz="4" w:space="0" w:color="000000" w:themeColor="text1"/>
            </w:tcBorders>
          </w:tcPr>
          <w:p w14:paraId="45C77F26" w14:textId="77777777" w:rsidR="00064D19" w:rsidRPr="002D2A0A" w:rsidRDefault="00064D19" w:rsidP="002D2A0A">
            <w:pPr>
              <w:spacing w:before="0" w:line="240" w:lineRule="auto"/>
              <w:ind w:left="147" w:right="57"/>
              <w:rPr>
                <w:rFonts w:ascii="Arial" w:hAnsi="Arial" w:cs="Arial"/>
                <w:sz w:val="20"/>
                <w:szCs w:val="20"/>
              </w:rPr>
            </w:pPr>
            <w:proofErr w:type="spellStart"/>
            <w:r w:rsidRPr="002D2A0A">
              <w:rPr>
                <w:rFonts w:ascii="Arial" w:hAnsi="Arial" w:cs="Arial"/>
                <w:sz w:val="20"/>
                <w:szCs w:val="20"/>
              </w:rPr>
              <w:t>Sitaxentan</w:t>
            </w:r>
            <w:proofErr w:type="spellEnd"/>
          </w:p>
        </w:tc>
        <w:tc>
          <w:tcPr>
            <w:tcW w:w="1366" w:type="pct"/>
          </w:tcPr>
          <w:p w14:paraId="1165A6DB"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Treatment of IPAH in patients with WHO FC III symptoms, and PAH-CTD</w:t>
            </w:r>
          </w:p>
        </w:tc>
        <w:tc>
          <w:tcPr>
            <w:tcW w:w="490" w:type="pct"/>
          </w:tcPr>
          <w:p w14:paraId="03BECF11"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July 2007</w:t>
            </w:r>
          </w:p>
        </w:tc>
        <w:tc>
          <w:tcPr>
            <w:tcW w:w="2665" w:type="pct"/>
          </w:tcPr>
          <w:p w14:paraId="4A1A78CC" w14:textId="77777777" w:rsidR="00064D19" w:rsidRPr="002D2A0A"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Recommended listing as a Section 100 HSD Program Public and Private Hospital Authority</w:t>
            </w:r>
          </w:p>
          <w:p w14:paraId="7498F7BB" w14:textId="65348ECE" w:rsidR="00064D19" w:rsidRPr="002D2A0A"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 xml:space="preserve">Cost minimisation basis to bosentan. </w:t>
            </w:r>
            <w:proofErr w:type="spellStart"/>
            <w:r w:rsidRPr="002D2A0A">
              <w:rPr>
                <w:rFonts w:ascii="Arial" w:hAnsi="Arial" w:cs="Arial"/>
                <w:sz w:val="20"/>
                <w:szCs w:val="20"/>
              </w:rPr>
              <w:t>Equi</w:t>
            </w:r>
            <w:proofErr w:type="spellEnd"/>
            <w:r w:rsidRPr="002D2A0A">
              <w:rPr>
                <w:rFonts w:ascii="Arial" w:hAnsi="Arial" w:cs="Arial"/>
                <w:sz w:val="20"/>
                <w:szCs w:val="20"/>
              </w:rPr>
              <w:t xml:space="preserve">-effective doses are </w:t>
            </w:r>
            <w:proofErr w:type="spellStart"/>
            <w:r w:rsidRPr="002D2A0A">
              <w:rPr>
                <w:rFonts w:ascii="Arial" w:hAnsi="Arial" w:cs="Arial"/>
                <w:sz w:val="20"/>
                <w:szCs w:val="20"/>
              </w:rPr>
              <w:t>sitaxentan</w:t>
            </w:r>
            <w:proofErr w:type="spellEnd"/>
            <w:r w:rsidRPr="002D2A0A">
              <w:rPr>
                <w:rFonts w:ascii="Arial" w:hAnsi="Arial" w:cs="Arial"/>
                <w:sz w:val="20"/>
                <w:szCs w:val="20"/>
              </w:rPr>
              <w:t xml:space="preserve"> 100</w:t>
            </w:r>
            <w:r w:rsidR="00067504">
              <w:rPr>
                <w:rFonts w:ascii="Arial" w:hAnsi="Arial" w:cs="Arial"/>
                <w:sz w:val="20"/>
                <w:szCs w:val="20"/>
              </w:rPr>
              <w:t xml:space="preserve"> mg</w:t>
            </w:r>
            <w:r w:rsidRPr="002D2A0A">
              <w:rPr>
                <w:rFonts w:ascii="Arial" w:hAnsi="Arial" w:cs="Arial"/>
                <w:sz w:val="20"/>
                <w:szCs w:val="20"/>
              </w:rPr>
              <w:t xml:space="preserve"> daily and bosentan 125 mg bid (evidence is presented at iii) below).</w:t>
            </w:r>
          </w:p>
        </w:tc>
      </w:tr>
      <w:tr w:rsidR="00064D19" w:rsidRPr="00064D19" w14:paraId="33F4F62B" w14:textId="77777777" w:rsidTr="00064D19">
        <w:tc>
          <w:tcPr>
            <w:tcW w:w="5000" w:type="pct"/>
            <w:gridSpan w:val="4"/>
          </w:tcPr>
          <w:p w14:paraId="545AA190" w14:textId="77777777" w:rsidR="00064D19" w:rsidRPr="002D2A0A" w:rsidRDefault="00064D19" w:rsidP="00DD098B">
            <w:pPr>
              <w:spacing w:before="60" w:after="60" w:line="240" w:lineRule="auto"/>
              <w:ind w:left="170" w:right="57"/>
              <w:rPr>
                <w:rFonts w:ascii="Arial" w:hAnsi="Arial" w:cs="Arial"/>
                <w:sz w:val="20"/>
                <w:szCs w:val="20"/>
              </w:rPr>
            </w:pPr>
            <w:r w:rsidRPr="002D2A0A">
              <w:rPr>
                <w:rFonts w:ascii="Arial" w:hAnsi="Arial" w:cs="Arial"/>
                <w:b/>
                <w:sz w:val="20"/>
                <w:szCs w:val="20"/>
              </w:rPr>
              <w:t>Phosphodiesterase inhibitors</w:t>
            </w:r>
          </w:p>
        </w:tc>
      </w:tr>
      <w:tr w:rsidR="00064D19" w:rsidRPr="00064D19" w14:paraId="18416FA7" w14:textId="77777777" w:rsidTr="00DD098B">
        <w:tc>
          <w:tcPr>
            <w:tcW w:w="478" w:type="pct"/>
          </w:tcPr>
          <w:p w14:paraId="579495D4" w14:textId="77777777" w:rsidR="00064D19" w:rsidRPr="002D2A0A" w:rsidRDefault="00064D19" w:rsidP="002D2A0A">
            <w:pPr>
              <w:spacing w:before="0" w:line="240" w:lineRule="auto"/>
              <w:ind w:left="147" w:right="57"/>
              <w:rPr>
                <w:rFonts w:ascii="Arial" w:hAnsi="Arial" w:cs="Arial"/>
                <w:sz w:val="20"/>
                <w:szCs w:val="20"/>
              </w:rPr>
            </w:pPr>
            <w:r w:rsidRPr="002D2A0A">
              <w:rPr>
                <w:rFonts w:ascii="Arial" w:hAnsi="Arial" w:cs="Arial"/>
                <w:sz w:val="20"/>
                <w:szCs w:val="20"/>
              </w:rPr>
              <w:t>Sildenafil</w:t>
            </w:r>
          </w:p>
        </w:tc>
        <w:tc>
          <w:tcPr>
            <w:tcW w:w="1366" w:type="pct"/>
          </w:tcPr>
          <w:p w14:paraId="7A44C76B"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Treatment of IPAH or PAH-CTD in patients with WHO FC III</w:t>
            </w:r>
          </w:p>
        </w:tc>
        <w:tc>
          <w:tcPr>
            <w:tcW w:w="490" w:type="pct"/>
          </w:tcPr>
          <w:p w14:paraId="3BA3592B"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November 2006</w:t>
            </w:r>
          </w:p>
        </w:tc>
        <w:tc>
          <w:tcPr>
            <w:tcW w:w="2665" w:type="pct"/>
          </w:tcPr>
          <w:p w14:paraId="04A0A5DC" w14:textId="77777777" w:rsidR="00064D19" w:rsidRPr="002D2A0A"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Recommended listing</w:t>
            </w:r>
          </w:p>
          <w:p w14:paraId="2207973B" w14:textId="20704A78" w:rsidR="00064D19" w:rsidRPr="002D2A0A"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 xml:space="preserve">Sildenafil is no worse than bosentan in terms of effectiveness and has similar toxicity. The </w:t>
            </w:r>
            <w:proofErr w:type="spellStart"/>
            <w:r w:rsidRPr="002D2A0A">
              <w:rPr>
                <w:rFonts w:ascii="Arial" w:hAnsi="Arial" w:cs="Arial"/>
                <w:sz w:val="20"/>
                <w:szCs w:val="20"/>
              </w:rPr>
              <w:t>equi</w:t>
            </w:r>
            <w:proofErr w:type="spellEnd"/>
            <w:r w:rsidRPr="002D2A0A">
              <w:rPr>
                <w:rFonts w:ascii="Arial" w:hAnsi="Arial" w:cs="Arial"/>
                <w:sz w:val="20"/>
                <w:szCs w:val="20"/>
              </w:rPr>
              <w:t>-effective doses are sildenafil 20</w:t>
            </w:r>
            <w:r w:rsidR="00067504">
              <w:rPr>
                <w:rFonts w:ascii="Arial" w:hAnsi="Arial" w:cs="Arial"/>
                <w:sz w:val="20"/>
                <w:szCs w:val="20"/>
              </w:rPr>
              <w:t xml:space="preserve"> mg</w:t>
            </w:r>
            <w:r w:rsidRPr="002D2A0A">
              <w:rPr>
                <w:rFonts w:ascii="Arial" w:hAnsi="Arial" w:cs="Arial"/>
                <w:sz w:val="20"/>
                <w:szCs w:val="20"/>
              </w:rPr>
              <w:t xml:space="preserve"> three times daily (</w:t>
            </w:r>
            <w:proofErr w:type="spellStart"/>
            <w:r w:rsidRPr="002D2A0A">
              <w:rPr>
                <w:rFonts w:ascii="Arial" w:hAnsi="Arial" w:cs="Arial"/>
                <w:sz w:val="20"/>
                <w:szCs w:val="20"/>
              </w:rPr>
              <w:t>tid</w:t>
            </w:r>
            <w:proofErr w:type="spellEnd"/>
            <w:r w:rsidRPr="002D2A0A">
              <w:rPr>
                <w:rFonts w:ascii="Arial" w:hAnsi="Arial" w:cs="Arial"/>
                <w:sz w:val="20"/>
                <w:szCs w:val="20"/>
              </w:rPr>
              <w:t>) and bosentan 62.5</w:t>
            </w:r>
            <w:r w:rsidR="00067504">
              <w:rPr>
                <w:rFonts w:ascii="Arial" w:hAnsi="Arial" w:cs="Arial"/>
                <w:sz w:val="20"/>
                <w:szCs w:val="20"/>
              </w:rPr>
              <w:t xml:space="preserve"> mg</w:t>
            </w:r>
            <w:r w:rsidRPr="002D2A0A">
              <w:rPr>
                <w:rFonts w:ascii="Arial" w:hAnsi="Arial" w:cs="Arial"/>
                <w:sz w:val="20"/>
                <w:szCs w:val="20"/>
              </w:rPr>
              <w:t xml:space="preserve"> bid for 4 weeks followed by a maintenance dose of 125</w:t>
            </w:r>
            <w:r w:rsidR="00067504">
              <w:rPr>
                <w:rFonts w:ascii="Arial" w:hAnsi="Arial" w:cs="Arial"/>
                <w:sz w:val="20"/>
                <w:szCs w:val="20"/>
              </w:rPr>
              <w:t xml:space="preserve"> mg</w:t>
            </w:r>
            <w:r w:rsidRPr="002D2A0A">
              <w:rPr>
                <w:rFonts w:ascii="Arial" w:hAnsi="Arial" w:cs="Arial"/>
                <w:sz w:val="20"/>
                <w:szCs w:val="20"/>
              </w:rPr>
              <w:t xml:space="preserve"> bid (evidence is presented at iv) below). </w:t>
            </w:r>
          </w:p>
        </w:tc>
      </w:tr>
      <w:tr w:rsidR="00064D19" w:rsidRPr="00064D19" w14:paraId="4B9CBFF3" w14:textId="77777777" w:rsidTr="00DD098B">
        <w:tc>
          <w:tcPr>
            <w:tcW w:w="478" w:type="pct"/>
          </w:tcPr>
          <w:p w14:paraId="21651C82" w14:textId="77777777" w:rsidR="00064D19" w:rsidRPr="002D2A0A" w:rsidRDefault="00064D19" w:rsidP="002D2A0A">
            <w:pPr>
              <w:spacing w:before="0" w:line="240" w:lineRule="auto"/>
              <w:ind w:left="147" w:right="57"/>
              <w:rPr>
                <w:rFonts w:ascii="Arial" w:hAnsi="Arial" w:cs="Arial"/>
                <w:sz w:val="20"/>
                <w:szCs w:val="20"/>
              </w:rPr>
            </w:pPr>
            <w:r w:rsidRPr="002D2A0A">
              <w:rPr>
                <w:rFonts w:ascii="Arial" w:hAnsi="Arial" w:cs="Arial"/>
                <w:sz w:val="20"/>
                <w:szCs w:val="20"/>
              </w:rPr>
              <w:t>Tadalafil</w:t>
            </w:r>
          </w:p>
        </w:tc>
        <w:tc>
          <w:tcPr>
            <w:tcW w:w="1366" w:type="pct"/>
          </w:tcPr>
          <w:p w14:paraId="3F035B9A"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Treatment of WHO FC III IPAH and PAH-CTD</w:t>
            </w:r>
          </w:p>
        </w:tc>
        <w:tc>
          <w:tcPr>
            <w:tcW w:w="490" w:type="pct"/>
          </w:tcPr>
          <w:p w14:paraId="7EDDFB82"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November 2011</w:t>
            </w:r>
          </w:p>
        </w:tc>
        <w:tc>
          <w:tcPr>
            <w:tcW w:w="2665" w:type="pct"/>
          </w:tcPr>
          <w:p w14:paraId="25069EE4" w14:textId="77777777" w:rsidR="00064D19" w:rsidRPr="002D2A0A"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Recommended listing as Section 100 HSD Program Public and Private Hospital Authority Required</w:t>
            </w:r>
          </w:p>
          <w:p w14:paraId="0A0A63A1" w14:textId="7A86BD0B" w:rsidR="00DD098B" w:rsidRPr="00DD098B" w:rsidRDefault="00064D19" w:rsidP="00DD098B">
            <w:pPr>
              <w:widowControl w:val="0"/>
              <w:numPr>
                <w:ilvl w:val="0"/>
                <w:numId w:val="15"/>
              </w:numPr>
              <w:spacing w:before="0" w:after="1320" w:line="240" w:lineRule="auto"/>
              <w:ind w:left="170" w:right="57" w:hanging="357"/>
              <w:rPr>
                <w:rFonts w:ascii="Arial" w:hAnsi="Arial" w:cs="Arial"/>
                <w:sz w:val="20"/>
                <w:szCs w:val="20"/>
              </w:rPr>
            </w:pPr>
            <w:r w:rsidRPr="002D2A0A">
              <w:rPr>
                <w:rFonts w:ascii="Arial" w:hAnsi="Arial" w:cs="Arial"/>
                <w:sz w:val="20"/>
                <w:szCs w:val="20"/>
              </w:rPr>
              <w:t xml:space="preserve">Cost minimisation basis compared with sildenafil. The </w:t>
            </w:r>
            <w:proofErr w:type="spellStart"/>
            <w:r w:rsidRPr="002D2A0A">
              <w:rPr>
                <w:rFonts w:ascii="Arial" w:hAnsi="Arial" w:cs="Arial"/>
                <w:sz w:val="20"/>
                <w:szCs w:val="20"/>
              </w:rPr>
              <w:t>equi</w:t>
            </w:r>
            <w:proofErr w:type="spellEnd"/>
            <w:r w:rsidRPr="002D2A0A">
              <w:rPr>
                <w:rFonts w:ascii="Arial" w:hAnsi="Arial" w:cs="Arial"/>
                <w:sz w:val="20"/>
                <w:szCs w:val="20"/>
              </w:rPr>
              <w:t>-effective doses are tadalafil 40</w:t>
            </w:r>
            <w:r w:rsidR="00067504">
              <w:rPr>
                <w:rFonts w:ascii="Arial" w:hAnsi="Arial" w:cs="Arial"/>
                <w:sz w:val="20"/>
                <w:szCs w:val="20"/>
              </w:rPr>
              <w:t xml:space="preserve"> mg</w:t>
            </w:r>
            <w:r w:rsidRPr="002D2A0A">
              <w:rPr>
                <w:rFonts w:ascii="Arial" w:hAnsi="Arial" w:cs="Arial"/>
                <w:sz w:val="20"/>
                <w:szCs w:val="20"/>
              </w:rPr>
              <w:t xml:space="preserve"> once daily and sildenafil 20</w:t>
            </w:r>
            <w:r w:rsidR="00067504">
              <w:rPr>
                <w:rFonts w:ascii="Arial" w:hAnsi="Arial" w:cs="Arial"/>
                <w:sz w:val="20"/>
                <w:szCs w:val="20"/>
              </w:rPr>
              <w:t xml:space="preserve"> mg</w:t>
            </w:r>
            <w:r w:rsidRPr="002D2A0A">
              <w:rPr>
                <w:rFonts w:ascii="Arial" w:hAnsi="Arial" w:cs="Arial"/>
                <w:sz w:val="20"/>
                <w:szCs w:val="20"/>
              </w:rPr>
              <w:t xml:space="preserve"> </w:t>
            </w:r>
            <w:proofErr w:type="spellStart"/>
            <w:r w:rsidRPr="002D2A0A">
              <w:rPr>
                <w:rFonts w:ascii="Arial" w:hAnsi="Arial" w:cs="Arial"/>
                <w:sz w:val="20"/>
                <w:szCs w:val="20"/>
              </w:rPr>
              <w:t>tid</w:t>
            </w:r>
            <w:proofErr w:type="spellEnd"/>
            <w:r w:rsidRPr="002D2A0A">
              <w:rPr>
                <w:rFonts w:ascii="Arial" w:hAnsi="Arial" w:cs="Arial"/>
                <w:sz w:val="20"/>
                <w:szCs w:val="20"/>
              </w:rPr>
              <w:t xml:space="preserve"> (evidence is presented at v) below).</w:t>
            </w:r>
          </w:p>
        </w:tc>
      </w:tr>
      <w:tr w:rsidR="00064D19" w:rsidRPr="00064D19" w14:paraId="64A275E1" w14:textId="77777777" w:rsidTr="00064D19">
        <w:tc>
          <w:tcPr>
            <w:tcW w:w="5000" w:type="pct"/>
            <w:gridSpan w:val="4"/>
          </w:tcPr>
          <w:p w14:paraId="577CAA69" w14:textId="77777777" w:rsidR="00064D19" w:rsidRPr="002D2A0A" w:rsidRDefault="00064D19" w:rsidP="00DD098B">
            <w:pPr>
              <w:spacing w:before="60" w:after="60" w:line="240" w:lineRule="auto"/>
              <w:ind w:left="170" w:right="57"/>
              <w:rPr>
                <w:rFonts w:ascii="Arial" w:hAnsi="Arial" w:cs="Arial"/>
                <w:sz w:val="20"/>
                <w:szCs w:val="20"/>
              </w:rPr>
            </w:pPr>
            <w:r w:rsidRPr="002D2A0A">
              <w:rPr>
                <w:rFonts w:ascii="Arial" w:hAnsi="Arial" w:cs="Arial"/>
                <w:b/>
                <w:sz w:val="20"/>
                <w:szCs w:val="20"/>
              </w:rPr>
              <w:t>Prostanoids</w:t>
            </w:r>
          </w:p>
        </w:tc>
      </w:tr>
      <w:tr w:rsidR="00064D19" w:rsidRPr="00064D19" w14:paraId="37654EA6" w14:textId="77777777" w:rsidTr="00DD098B">
        <w:tc>
          <w:tcPr>
            <w:tcW w:w="478" w:type="pct"/>
            <w:tcBorders>
              <w:bottom w:val="nil"/>
            </w:tcBorders>
          </w:tcPr>
          <w:p w14:paraId="47911C9E" w14:textId="77777777" w:rsidR="00064D19" w:rsidRPr="00541D71" w:rsidRDefault="00064D19" w:rsidP="002D2A0A">
            <w:pPr>
              <w:spacing w:before="0" w:line="240" w:lineRule="auto"/>
              <w:ind w:left="147" w:right="57"/>
              <w:rPr>
                <w:rFonts w:ascii="Arial" w:hAnsi="Arial" w:cs="Arial"/>
                <w:sz w:val="20"/>
                <w:szCs w:val="20"/>
              </w:rPr>
            </w:pPr>
            <w:r w:rsidRPr="00541D71">
              <w:rPr>
                <w:rFonts w:ascii="Arial" w:hAnsi="Arial" w:cs="Arial"/>
                <w:sz w:val="20"/>
                <w:szCs w:val="20"/>
              </w:rPr>
              <w:t xml:space="preserve">Iloprost </w:t>
            </w:r>
          </w:p>
          <w:p w14:paraId="2503B81C" w14:textId="77777777" w:rsidR="00064D19" w:rsidRPr="00541D71" w:rsidRDefault="00064D19" w:rsidP="002D2A0A">
            <w:pPr>
              <w:widowControl w:val="0"/>
              <w:spacing w:before="0" w:line="240" w:lineRule="auto"/>
              <w:ind w:left="147" w:right="57"/>
              <w:rPr>
                <w:rFonts w:ascii="Arial" w:hAnsi="Arial" w:cs="Arial"/>
                <w:snapToGrid w:val="0"/>
                <w:sz w:val="20"/>
                <w:szCs w:val="20"/>
              </w:rPr>
            </w:pPr>
          </w:p>
          <w:p w14:paraId="1ABAD46E" w14:textId="77777777" w:rsidR="00064D19" w:rsidRPr="00541D71" w:rsidRDefault="00064D19" w:rsidP="002D2A0A">
            <w:pPr>
              <w:spacing w:before="0" w:line="240" w:lineRule="auto"/>
              <w:ind w:left="147" w:right="57"/>
              <w:rPr>
                <w:rFonts w:ascii="Arial" w:hAnsi="Arial" w:cs="Arial"/>
                <w:sz w:val="20"/>
                <w:szCs w:val="20"/>
              </w:rPr>
            </w:pPr>
          </w:p>
        </w:tc>
        <w:tc>
          <w:tcPr>
            <w:tcW w:w="1366" w:type="pct"/>
            <w:tcBorders>
              <w:bottom w:val="nil"/>
            </w:tcBorders>
          </w:tcPr>
          <w:p w14:paraId="0C7433AA" w14:textId="77777777" w:rsidR="00064D19" w:rsidRPr="00541D71" w:rsidRDefault="00064D19" w:rsidP="002D2A0A">
            <w:pPr>
              <w:spacing w:before="0" w:line="240" w:lineRule="auto"/>
              <w:ind w:left="172" w:right="57"/>
              <w:rPr>
                <w:rFonts w:ascii="Arial" w:hAnsi="Arial" w:cs="Arial"/>
                <w:sz w:val="20"/>
                <w:szCs w:val="20"/>
              </w:rPr>
            </w:pPr>
            <w:r w:rsidRPr="00541D71">
              <w:rPr>
                <w:rFonts w:ascii="Arial" w:hAnsi="Arial" w:cs="Arial"/>
                <w:sz w:val="20"/>
                <w:szCs w:val="20"/>
              </w:rPr>
              <w:t>Treatment of IPAH, drug-induced PAH or PAH-CTD</w:t>
            </w:r>
          </w:p>
        </w:tc>
        <w:tc>
          <w:tcPr>
            <w:tcW w:w="490" w:type="pct"/>
          </w:tcPr>
          <w:p w14:paraId="60EEC0F8" w14:textId="77777777" w:rsidR="00064D19" w:rsidRPr="00541D71" w:rsidRDefault="00064D19" w:rsidP="002D2A0A">
            <w:pPr>
              <w:spacing w:before="0" w:line="240" w:lineRule="auto"/>
              <w:ind w:left="172" w:right="57"/>
              <w:rPr>
                <w:rFonts w:ascii="Arial" w:hAnsi="Arial" w:cs="Arial"/>
                <w:sz w:val="20"/>
                <w:szCs w:val="20"/>
              </w:rPr>
            </w:pPr>
            <w:r w:rsidRPr="00541D71">
              <w:rPr>
                <w:rFonts w:ascii="Arial" w:hAnsi="Arial" w:cs="Arial"/>
                <w:sz w:val="20"/>
                <w:szCs w:val="20"/>
              </w:rPr>
              <w:t>November 2004</w:t>
            </w:r>
          </w:p>
        </w:tc>
        <w:tc>
          <w:tcPr>
            <w:tcW w:w="2665" w:type="pct"/>
          </w:tcPr>
          <w:p w14:paraId="426DDD7C" w14:textId="77777777" w:rsidR="00064D19" w:rsidRPr="00541D71"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541D71">
              <w:rPr>
                <w:rFonts w:ascii="Arial" w:hAnsi="Arial" w:cs="Arial"/>
                <w:sz w:val="20"/>
                <w:szCs w:val="20"/>
              </w:rPr>
              <w:t>Recommended Section 100 listing</w:t>
            </w:r>
          </w:p>
          <w:p w14:paraId="0BD6AD66" w14:textId="77777777" w:rsidR="00EA0CBC" w:rsidRDefault="00F4698B" w:rsidP="00EA0CBC">
            <w:pPr>
              <w:widowControl w:val="0"/>
              <w:spacing w:before="0" w:after="40" w:line="240" w:lineRule="auto"/>
              <w:ind w:left="170" w:right="57" w:hanging="357"/>
              <w:rPr>
                <w:rFonts w:ascii="Symbol" w:hAnsi="Symbol" w:cs="Arial"/>
                <w:noProof/>
                <w:color w:val="000000"/>
                <w:sz w:val="12"/>
                <w:szCs w:val="12"/>
                <w:highlight w:val="black"/>
              </w:rPr>
            </w:pP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p>
          <w:p w14:paraId="45C6E33E" w14:textId="77777777" w:rsidR="00EA0CBC" w:rsidRPr="00EA0CBC" w:rsidRDefault="00F4698B" w:rsidP="00EA0CBC">
            <w:pPr>
              <w:widowControl w:val="0"/>
              <w:spacing w:before="0" w:after="40" w:line="240" w:lineRule="auto"/>
              <w:ind w:left="170" w:right="57" w:hanging="357"/>
              <w:rPr>
                <w:rFonts w:ascii="Symbol" w:hAnsi="Symbol" w:cs="Arial"/>
                <w:noProof/>
                <w:color w:val="000000"/>
                <w:sz w:val="12"/>
                <w:szCs w:val="12"/>
                <w:highlight w:val="black"/>
              </w:rPr>
            </w:pP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00EA0CBC">
              <w:rPr>
                <w:rFonts w:ascii="Symbol" w:hAnsi="Symbol" w:cs="Arial"/>
                <w:noProof/>
                <w:color w:val="000000"/>
                <w:sz w:val="12"/>
                <w:szCs w:val="12"/>
                <w:highlight w:val="black"/>
              </w:rPr>
              <w:t></w:t>
            </w:r>
            <w:r w:rsidR="00EA0CBC">
              <w:rPr>
                <w:rFonts w:ascii="Symbol" w:hAnsi="Symbol" w:cs="Arial"/>
                <w:noProof/>
                <w:color w:val="000000"/>
                <w:sz w:val="12"/>
                <w:szCs w:val="12"/>
                <w:highlight w:val="black"/>
              </w:rPr>
              <w:t></w:t>
            </w:r>
            <w:r w:rsidR="00EA0CBC">
              <w:rPr>
                <w:rFonts w:ascii="Symbol" w:hAnsi="Symbol" w:cs="Arial"/>
                <w:noProof/>
                <w:color w:val="000000"/>
                <w:sz w:val="12"/>
                <w:szCs w:val="12"/>
                <w:highlight w:val="black"/>
              </w:rPr>
              <w:t></w:t>
            </w:r>
            <w:r w:rsidR="00EA0CBC">
              <w:rPr>
                <w:rFonts w:ascii="Symbol" w:hAnsi="Symbol" w:cs="Arial"/>
                <w:noProof/>
                <w:color w:val="000000"/>
                <w:sz w:val="12"/>
                <w:szCs w:val="12"/>
                <w:highlight w:val="black"/>
              </w:rPr>
              <w:t></w:t>
            </w:r>
            <w:r w:rsidR="00EA0CBC">
              <w:rPr>
                <w:rFonts w:ascii="Symbol" w:hAnsi="Symbol" w:cs="Arial"/>
                <w:noProof/>
                <w:color w:val="000000"/>
                <w:sz w:val="12"/>
                <w:szCs w:val="12"/>
                <w:highlight w:val="black"/>
              </w:rPr>
              <w:t></w:t>
            </w:r>
            <w:r w:rsidR="00EA0CBC">
              <w:rPr>
                <w:rFonts w:ascii="Symbol" w:hAnsi="Symbol" w:cs="Arial"/>
                <w:noProof/>
                <w:color w:val="000000"/>
                <w:sz w:val="12"/>
                <w:szCs w:val="12"/>
                <w:highlight w:val="black"/>
              </w:rPr>
              <w:t></w:t>
            </w:r>
            <w:r w:rsidR="00EA0CBC">
              <w:rPr>
                <w:rFonts w:ascii="Symbol" w:hAnsi="Symbol" w:cs="Arial"/>
                <w:noProof/>
                <w:color w:val="000000"/>
                <w:sz w:val="12"/>
                <w:szCs w:val="12"/>
                <w:highlight w:val="black"/>
              </w:rPr>
              <w:t></w:t>
            </w:r>
            <w:r w:rsidR="00EA0CBC">
              <w:rPr>
                <w:rFonts w:ascii="Symbol" w:hAnsi="Symbol" w:cs="Arial"/>
                <w:noProof/>
                <w:color w:val="000000"/>
                <w:sz w:val="12"/>
                <w:szCs w:val="12"/>
                <w:highlight w:val="black"/>
              </w:rPr>
              <w:t></w:t>
            </w:r>
            <w:r w:rsid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p>
          <w:p w14:paraId="7A089C69" w14:textId="77777777" w:rsidR="00064D19" w:rsidRPr="00F4698B" w:rsidRDefault="00F4698B" w:rsidP="00EA0CBC">
            <w:pPr>
              <w:widowControl w:val="0"/>
              <w:spacing w:before="0" w:after="40" w:line="240" w:lineRule="auto"/>
              <w:ind w:left="170" w:right="57" w:hanging="357"/>
              <w:rPr>
                <w:rFonts w:ascii="Arial" w:hAnsi="Arial" w:cs="Arial"/>
                <w:sz w:val="20"/>
                <w:szCs w:val="20"/>
                <w:highlight w:val="black"/>
              </w:rPr>
            </w:pP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r w:rsidRPr="00EA0CBC">
              <w:rPr>
                <w:rFonts w:ascii="Symbol" w:hAnsi="Symbol" w:cs="Arial"/>
                <w:noProof/>
                <w:color w:val="000000"/>
                <w:sz w:val="12"/>
                <w:szCs w:val="12"/>
                <w:highlight w:val="black"/>
              </w:rPr>
              <w:t></w:t>
            </w:r>
          </w:p>
        </w:tc>
      </w:tr>
      <w:tr w:rsidR="00064D19" w:rsidRPr="00064D19" w14:paraId="2359467E" w14:textId="77777777" w:rsidTr="00DD098B">
        <w:tc>
          <w:tcPr>
            <w:tcW w:w="478" w:type="pct"/>
            <w:tcBorders>
              <w:top w:val="nil"/>
              <w:bottom w:val="nil"/>
            </w:tcBorders>
          </w:tcPr>
          <w:p w14:paraId="4486FC5D" w14:textId="77777777" w:rsidR="00064D19" w:rsidRPr="002D2A0A" w:rsidRDefault="00064D19" w:rsidP="002D2A0A">
            <w:pPr>
              <w:spacing w:before="0" w:line="240" w:lineRule="auto"/>
              <w:ind w:left="147" w:right="57"/>
              <w:rPr>
                <w:rFonts w:ascii="Arial" w:hAnsi="Arial" w:cs="Arial"/>
                <w:sz w:val="20"/>
                <w:szCs w:val="20"/>
              </w:rPr>
            </w:pPr>
          </w:p>
        </w:tc>
        <w:tc>
          <w:tcPr>
            <w:tcW w:w="1366" w:type="pct"/>
            <w:tcBorders>
              <w:top w:val="nil"/>
              <w:bottom w:val="nil"/>
            </w:tcBorders>
          </w:tcPr>
          <w:p w14:paraId="098C4F42" w14:textId="77777777" w:rsidR="00064D19" w:rsidRPr="002D2A0A" w:rsidRDefault="00064D19" w:rsidP="002D2A0A">
            <w:pPr>
              <w:spacing w:before="0" w:line="240" w:lineRule="auto"/>
              <w:ind w:left="172" w:right="57"/>
              <w:rPr>
                <w:rFonts w:ascii="Arial" w:hAnsi="Arial" w:cs="Arial"/>
                <w:sz w:val="20"/>
                <w:szCs w:val="20"/>
              </w:rPr>
            </w:pPr>
          </w:p>
        </w:tc>
        <w:tc>
          <w:tcPr>
            <w:tcW w:w="490" w:type="pct"/>
          </w:tcPr>
          <w:p w14:paraId="66C957CA"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March 2008</w:t>
            </w:r>
          </w:p>
        </w:tc>
        <w:tc>
          <w:tcPr>
            <w:tcW w:w="2665" w:type="pct"/>
          </w:tcPr>
          <w:p w14:paraId="5539BECB" w14:textId="77777777" w:rsidR="00064D19" w:rsidRPr="002D2A0A"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Recommended removal of the word “adult” and amendment to the iloprost listing as appropriate to allow use in paediatric patients</w:t>
            </w:r>
            <w:r w:rsidR="00E93086">
              <w:rPr>
                <w:rFonts w:ascii="Arial" w:hAnsi="Arial" w:cs="Arial"/>
                <w:sz w:val="20"/>
                <w:szCs w:val="20"/>
              </w:rPr>
              <w:t>.</w:t>
            </w:r>
          </w:p>
        </w:tc>
      </w:tr>
      <w:tr w:rsidR="00064D19" w:rsidRPr="00064D19" w14:paraId="6553513B" w14:textId="77777777" w:rsidTr="00DD098B">
        <w:tc>
          <w:tcPr>
            <w:tcW w:w="478" w:type="pct"/>
            <w:tcBorders>
              <w:top w:val="nil"/>
              <w:bottom w:val="single" w:sz="4" w:space="0" w:color="auto"/>
            </w:tcBorders>
          </w:tcPr>
          <w:p w14:paraId="32F213F6" w14:textId="77777777" w:rsidR="00064D19" w:rsidRPr="002D2A0A" w:rsidRDefault="00064D19" w:rsidP="002D2A0A">
            <w:pPr>
              <w:spacing w:before="0" w:line="240" w:lineRule="auto"/>
              <w:ind w:left="147" w:right="57"/>
              <w:rPr>
                <w:rFonts w:ascii="Arial" w:hAnsi="Arial" w:cs="Arial"/>
                <w:sz w:val="20"/>
                <w:szCs w:val="20"/>
              </w:rPr>
            </w:pPr>
          </w:p>
        </w:tc>
        <w:tc>
          <w:tcPr>
            <w:tcW w:w="1366" w:type="pct"/>
            <w:tcBorders>
              <w:top w:val="nil"/>
            </w:tcBorders>
          </w:tcPr>
          <w:p w14:paraId="0BF48316" w14:textId="77777777" w:rsidR="00064D19" w:rsidRPr="002D2A0A" w:rsidRDefault="00064D19" w:rsidP="002D2A0A">
            <w:pPr>
              <w:spacing w:before="0" w:line="240" w:lineRule="auto"/>
              <w:ind w:left="172" w:right="57"/>
              <w:rPr>
                <w:rFonts w:ascii="Arial" w:hAnsi="Arial" w:cs="Arial"/>
                <w:sz w:val="20"/>
                <w:szCs w:val="20"/>
              </w:rPr>
            </w:pPr>
          </w:p>
        </w:tc>
        <w:tc>
          <w:tcPr>
            <w:tcW w:w="490" w:type="pct"/>
          </w:tcPr>
          <w:p w14:paraId="3E5597BE"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March 2009</w:t>
            </w:r>
          </w:p>
        </w:tc>
        <w:tc>
          <w:tcPr>
            <w:tcW w:w="2665" w:type="pct"/>
          </w:tcPr>
          <w:p w14:paraId="74AB2910" w14:textId="77777777" w:rsidR="00064D19" w:rsidRPr="002D2A0A"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Recommended an amendment to the restrictions for iloprost to limit availability to second-line use in patients with WHO Class III IPAH or PAH-CTD who had failed to respond to a prior PBS-subsidised therapy</w:t>
            </w:r>
            <w:r w:rsidR="00E93086">
              <w:rPr>
                <w:rFonts w:ascii="Arial" w:hAnsi="Arial" w:cs="Arial"/>
                <w:sz w:val="20"/>
                <w:szCs w:val="20"/>
              </w:rPr>
              <w:t>.</w:t>
            </w:r>
          </w:p>
        </w:tc>
      </w:tr>
      <w:tr w:rsidR="00064D19" w:rsidRPr="00064D19" w14:paraId="5F836E44" w14:textId="77777777" w:rsidTr="00DD098B">
        <w:tc>
          <w:tcPr>
            <w:tcW w:w="478" w:type="pct"/>
            <w:tcBorders>
              <w:bottom w:val="nil"/>
            </w:tcBorders>
          </w:tcPr>
          <w:p w14:paraId="48603F8A" w14:textId="77777777" w:rsidR="00064D19" w:rsidRPr="002D2A0A" w:rsidRDefault="00064D19" w:rsidP="002D2A0A">
            <w:pPr>
              <w:spacing w:before="0" w:line="240" w:lineRule="auto"/>
              <w:ind w:left="147" w:right="57"/>
              <w:rPr>
                <w:rFonts w:ascii="Arial" w:hAnsi="Arial" w:cs="Arial"/>
                <w:sz w:val="20"/>
                <w:szCs w:val="20"/>
              </w:rPr>
            </w:pPr>
            <w:r w:rsidRPr="002D2A0A">
              <w:rPr>
                <w:rFonts w:ascii="Arial" w:hAnsi="Arial" w:cs="Arial"/>
                <w:sz w:val="20"/>
                <w:szCs w:val="20"/>
              </w:rPr>
              <w:lastRenderedPageBreak/>
              <w:t>Epoprostenol</w:t>
            </w:r>
          </w:p>
        </w:tc>
        <w:tc>
          <w:tcPr>
            <w:tcW w:w="1366" w:type="pct"/>
          </w:tcPr>
          <w:p w14:paraId="2F727BAF" w14:textId="77777777" w:rsidR="00064D19" w:rsidRPr="002D2A0A" w:rsidRDefault="00064D19" w:rsidP="00DD098B">
            <w:pPr>
              <w:widowControl w:val="0"/>
              <w:spacing w:before="0" w:after="40" w:line="240" w:lineRule="auto"/>
              <w:ind w:left="170" w:right="57" w:hanging="5"/>
              <w:rPr>
                <w:rFonts w:ascii="Arial" w:hAnsi="Arial" w:cs="Arial"/>
                <w:sz w:val="20"/>
                <w:szCs w:val="20"/>
              </w:rPr>
            </w:pPr>
            <w:r w:rsidRPr="002D2A0A">
              <w:rPr>
                <w:rFonts w:ascii="Arial" w:hAnsi="Arial" w:cs="Arial"/>
                <w:sz w:val="20"/>
                <w:szCs w:val="20"/>
              </w:rPr>
              <w:t>Treatment of WHO FC III or IV IPAH patients who met certain criteria and had failed to respond to treatment with bosentan or where bosentan was contraindicated or was ceased due to intolerable adverse events</w:t>
            </w:r>
          </w:p>
        </w:tc>
        <w:tc>
          <w:tcPr>
            <w:tcW w:w="490" w:type="pct"/>
          </w:tcPr>
          <w:p w14:paraId="55FFA74A"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July 2004</w:t>
            </w:r>
          </w:p>
        </w:tc>
        <w:tc>
          <w:tcPr>
            <w:tcW w:w="2665" w:type="pct"/>
          </w:tcPr>
          <w:p w14:paraId="4BC19CFF"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Rejected Section 100 listing</w:t>
            </w:r>
          </w:p>
          <w:p w14:paraId="5DB0B7AE"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Unacceptable cost-effectiveness</w:t>
            </w:r>
            <w:r w:rsidR="007769E3">
              <w:rPr>
                <w:rFonts w:ascii="Arial" w:hAnsi="Arial" w:cs="Arial"/>
                <w:sz w:val="20"/>
                <w:szCs w:val="20"/>
              </w:rPr>
              <w:t>.</w:t>
            </w:r>
          </w:p>
        </w:tc>
      </w:tr>
      <w:tr w:rsidR="00064D19" w:rsidRPr="00064D19" w14:paraId="04F4783B" w14:textId="77777777" w:rsidTr="00DD098B">
        <w:tc>
          <w:tcPr>
            <w:tcW w:w="478" w:type="pct"/>
            <w:tcBorders>
              <w:top w:val="nil"/>
              <w:bottom w:val="nil"/>
            </w:tcBorders>
          </w:tcPr>
          <w:p w14:paraId="502A21A9" w14:textId="77777777" w:rsidR="00064D19" w:rsidRPr="002D2A0A" w:rsidRDefault="00064D19" w:rsidP="002D2A0A">
            <w:pPr>
              <w:spacing w:before="0" w:line="240" w:lineRule="auto"/>
              <w:ind w:left="147" w:right="57"/>
              <w:rPr>
                <w:rFonts w:ascii="Arial" w:hAnsi="Arial" w:cs="Arial"/>
                <w:sz w:val="20"/>
                <w:szCs w:val="20"/>
              </w:rPr>
            </w:pPr>
          </w:p>
        </w:tc>
        <w:tc>
          <w:tcPr>
            <w:tcW w:w="1366" w:type="pct"/>
          </w:tcPr>
          <w:p w14:paraId="7B5A2D01"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Treatment of adult and paediatric patients with FC III or IV IPAH (similar to bosentan listing)</w:t>
            </w:r>
          </w:p>
        </w:tc>
        <w:tc>
          <w:tcPr>
            <w:tcW w:w="490" w:type="pct"/>
          </w:tcPr>
          <w:p w14:paraId="4D7D6CAF"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March 2005</w:t>
            </w:r>
          </w:p>
        </w:tc>
        <w:tc>
          <w:tcPr>
            <w:tcW w:w="2665" w:type="pct"/>
          </w:tcPr>
          <w:p w14:paraId="5FBF5003" w14:textId="77777777" w:rsidR="00064D19" w:rsidRPr="002D2A0A"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Rejected a first line section 100 listing</w:t>
            </w:r>
          </w:p>
          <w:p w14:paraId="496D6625" w14:textId="77777777" w:rsidR="00064D19" w:rsidRPr="002D2A0A"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 xml:space="preserve">Uncertainty about the determination of </w:t>
            </w:r>
            <w:proofErr w:type="spellStart"/>
            <w:r w:rsidRPr="002D2A0A">
              <w:rPr>
                <w:rFonts w:ascii="Arial" w:hAnsi="Arial" w:cs="Arial"/>
                <w:sz w:val="20"/>
                <w:szCs w:val="20"/>
              </w:rPr>
              <w:t>equi</w:t>
            </w:r>
            <w:proofErr w:type="spellEnd"/>
            <w:r w:rsidRPr="002D2A0A">
              <w:rPr>
                <w:rFonts w:ascii="Arial" w:hAnsi="Arial" w:cs="Arial"/>
                <w:sz w:val="20"/>
                <w:szCs w:val="20"/>
              </w:rPr>
              <w:t>-effective doses and uncertainty about the resulting cost minimisation analysis.</w:t>
            </w:r>
          </w:p>
        </w:tc>
      </w:tr>
      <w:tr w:rsidR="00064D19" w:rsidRPr="00064D19" w14:paraId="451E5479" w14:textId="77777777" w:rsidTr="00DD098B">
        <w:tc>
          <w:tcPr>
            <w:tcW w:w="478" w:type="pct"/>
            <w:tcBorders>
              <w:top w:val="nil"/>
              <w:bottom w:val="nil"/>
            </w:tcBorders>
          </w:tcPr>
          <w:p w14:paraId="31B51A4B" w14:textId="77777777" w:rsidR="00064D19" w:rsidRPr="002D2A0A" w:rsidRDefault="00064D19" w:rsidP="002D2A0A">
            <w:pPr>
              <w:spacing w:before="0" w:line="240" w:lineRule="auto"/>
              <w:ind w:left="147" w:right="57"/>
              <w:rPr>
                <w:rFonts w:ascii="Arial" w:hAnsi="Arial" w:cs="Arial"/>
                <w:sz w:val="20"/>
                <w:szCs w:val="20"/>
              </w:rPr>
            </w:pPr>
          </w:p>
        </w:tc>
        <w:tc>
          <w:tcPr>
            <w:tcW w:w="1366" w:type="pct"/>
          </w:tcPr>
          <w:p w14:paraId="0BBE8531"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Re-submission (as above)</w:t>
            </w:r>
          </w:p>
        </w:tc>
        <w:tc>
          <w:tcPr>
            <w:tcW w:w="490" w:type="pct"/>
          </w:tcPr>
          <w:p w14:paraId="27086964"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March 2006</w:t>
            </w:r>
          </w:p>
        </w:tc>
        <w:tc>
          <w:tcPr>
            <w:tcW w:w="2665" w:type="pct"/>
          </w:tcPr>
          <w:p w14:paraId="08BFEAD6" w14:textId="77777777" w:rsidR="00064D19" w:rsidRPr="002D2A0A"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 xml:space="preserve">Recommended listing </w:t>
            </w:r>
          </w:p>
          <w:p w14:paraId="45A0CE7C" w14:textId="77777777" w:rsidR="00064D19" w:rsidRPr="002D2A0A"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 xml:space="preserve">Cost minimisation based on an indirect comparison showing epoprostenol is therapeutically no worse than bosentan. The </w:t>
            </w:r>
            <w:proofErr w:type="spellStart"/>
            <w:r w:rsidRPr="002D2A0A">
              <w:rPr>
                <w:rFonts w:ascii="Arial" w:hAnsi="Arial" w:cs="Arial"/>
                <w:sz w:val="20"/>
                <w:szCs w:val="20"/>
              </w:rPr>
              <w:t>equi</w:t>
            </w:r>
            <w:proofErr w:type="spellEnd"/>
            <w:r w:rsidRPr="002D2A0A">
              <w:rPr>
                <w:rFonts w:ascii="Arial" w:hAnsi="Arial" w:cs="Arial"/>
                <w:sz w:val="20"/>
                <w:szCs w:val="20"/>
              </w:rPr>
              <w:t>-effective doses are epoprostenol, commencing at an average dose of 11.9ng/kg/min over the first 3 months of treatment and escalating linearly in steps to an average dose of 27.2ng/kg/min at 3 years, and bosentan 125 mg bid (evidence is presented at vi) below).</w:t>
            </w:r>
          </w:p>
        </w:tc>
      </w:tr>
      <w:tr w:rsidR="00064D19" w:rsidRPr="00064D19" w14:paraId="5D58CBC5" w14:textId="77777777" w:rsidTr="00DD098B">
        <w:tc>
          <w:tcPr>
            <w:tcW w:w="478" w:type="pct"/>
            <w:tcBorders>
              <w:top w:val="nil"/>
              <w:bottom w:val="nil"/>
            </w:tcBorders>
          </w:tcPr>
          <w:p w14:paraId="379B6F3D" w14:textId="77777777" w:rsidR="00064D19" w:rsidRPr="002D2A0A" w:rsidRDefault="00064D19" w:rsidP="002D2A0A">
            <w:pPr>
              <w:spacing w:before="0" w:line="240" w:lineRule="auto"/>
              <w:ind w:left="147" w:right="57"/>
              <w:rPr>
                <w:rFonts w:ascii="Arial" w:hAnsi="Arial" w:cs="Arial"/>
                <w:sz w:val="20"/>
                <w:szCs w:val="20"/>
              </w:rPr>
            </w:pPr>
          </w:p>
        </w:tc>
        <w:tc>
          <w:tcPr>
            <w:tcW w:w="1366" w:type="pct"/>
          </w:tcPr>
          <w:p w14:paraId="6107435C" w14:textId="77777777" w:rsidR="00064D19" w:rsidRPr="002D2A0A" w:rsidRDefault="00064D19" w:rsidP="002D2A0A">
            <w:pPr>
              <w:spacing w:before="0" w:line="240" w:lineRule="auto"/>
              <w:ind w:left="172" w:right="57"/>
              <w:rPr>
                <w:rFonts w:ascii="Arial" w:hAnsi="Arial" w:cs="Arial"/>
                <w:sz w:val="20"/>
                <w:szCs w:val="20"/>
              </w:rPr>
            </w:pPr>
          </w:p>
        </w:tc>
        <w:tc>
          <w:tcPr>
            <w:tcW w:w="490" w:type="pct"/>
          </w:tcPr>
          <w:p w14:paraId="6EB01635"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March 2009</w:t>
            </w:r>
          </w:p>
        </w:tc>
        <w:tc>
          <w:tcPr>
            <w:tcW w:w="2665" w:type="pct"/>
          </w:tcPr>
          <w:p w14:paraId="7450DDC5" w14:textId="77777777" w:rsidR="00064D19" w:rsidRPr="002D2A0A"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Recommended changes in the restrictions of epoprostenol to allow only second-line use for PAH treatment.</w:t>
            </w:r>
          </w:p>
        </w:tc>
      </w:tr>
      <w:tr w:rsidR="00064D19" w:rsidRPr="00064D19" w14:paraId="67008636" w14:textId="77777777" w:rsidTr="00DD098B">
        <w:tc>
          <w:tcPr>
            <w:tcW w:w="478" w:type="pct"/>
            <w:tcBorders>
              <w:top w:val="nil"/>
              <w:bottom w:val="nil"/>
            </w:tcBorders>
          </w:tcPr>
          <w:p w14:paraId="328E327D" w14:textId="77777777" w:rsidR="00064D19" w:rsidRPr="002D2A0A" w:rsidRDefault="00064D19" w:rsidP="002D2A0A">
            <w:pPr>
              <w:spacing w:before="0" w:line="240" w:lineRule="auto"/>
              <w:ind w:left="147" w:right="57"/>
              <w:rPr>
                <w:rFonts w:ascii="Arial" w:hAnsi="Arial" w:cs="Arial"/>
                <w:sz w:val="20"/>
                <w:szCs w:val="20"/>
              </w:rPr>
            </w:pPr>
          </w:p>
        </w:tc>
        <w:tc>
          <w:tcPr>
            <w:tcW w:w="1366" w:type="pct"/>
          </w:tcPr>
          <w:p w14:paraId="1433AACC"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Second-line therapy for WHO FC III PAH-CTD and first-line therapy for WHO FC IV PAH-CTD</w:t>
            </w:r>
          </w:p>
        </w:tc>
        <w:tc>
          <w:tcPr>
            <w:tcW w:w="490" w:type="pct"/>
          </w:tcPr>
          <w:p w14:paraId="1D2C0F3B"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November 2011</w:t>
            </w:r>
          </w:p>
        </w:tc>
        <w:tc>
          <w:tcPr>
            <w:tcW w:w="2665" w:type="pct"/>
          </w:tcPr>
          <w:p w14:paraId="3E5109F9" w14:textId="77777777" w:rsidR="00064D19" w:rsidRPr="002D2A0A"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 xml:space="preserve">Recommended listing </w:t>
            </w:r>
          </w:p>
          <w:p w14:paraId="45F8707F" w14:textId="67BE5964" w:rsidR="00064D19" w:rsidRPr="002D2A0A"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 xml:space="preserve">Cost minimisation based on comparison between iloprost and bosentan. </w:t>
            </w:r>
            <w:proofErr w:type="gramStart"/>
            <w:r w:rsidRPr="002D2A0A">
              <w:rPr>
                <w:rFonts w:ascii="Arial" w:hAnsi="Arial" w:cs="Arial"/>
                <w:sz w:val="20"/>
                <w:szCs w:val="20"/>
              </w:rPr>
              <w:t xml:space="preserve">The </w:t>
            </w:r>
            <w:proofErr w:type="spellStart"/>
            <w:r w:rsidRPr="002D2A0A">
              <w:rPr>
                <w:rFonts w:ascii="Arial" w:hAnsi="Arial" w:cs="Arial"/>
                <w:sz w:val="20"/>
                <w:szCs w:val="20"/>
              </w:rPr>
              <w:t>equi</w:t>
            </w:r>
            <w:proofErr w:type="spellEnd"/>
            <w:r w:rsidRPr="002D2A0A">
              <w:rPr>
                <w:rFonts w:ascii="Arial" w:hAnsi="Arial" w:cs="Arial"/>
                <w:sz w:val="20"/>
                <w:szCs w:val="20"/>
              </w:rPr>
              <w:t>-effective doses are estimated to be epoprostenol, commencing at a dose of 2.2ng/kg/min, with an average dose of 11.2</w:t>
            </w:r>
            <w:r w:rsidR="00067504">
              <w:rPr>
                <w:rFonts w:ascii="Arial" w:hAnsi="Arial" w:cs="Arial"/>
                <w:sz w:val="20"/>
                <w:szCs w:val="20"/>
              </w:rPr>
              <w:t xml:space="preserve"> </w:t>
            </w:r>
            <w:r w:rsidRPr="002D2A0A">
              <w:rPr>
                <w:rFonts w:ascii="Arial" w:hAnsi="Arial" w:cs="Arial"/>
                <w:sz w:val="20"/>
                <w:szCs w:val="20"/>
              </w:rPr>
              <w:t>ng/kg/min at week 12, increasing linearly in steps to an average dose of 47.4</w:t>
            </w:r>
            <w:r w:rsidR="00067504">
              <w:rPr>
                <w:rFonts w:ascii="Arial" w:hAnsi="Arial" w:cs="Arial"/>
                <w:sz w:val="20"/>
                <w:szCs w:val="20"/>
              </w:rPr>
              <w:t xml:space="preserve"> </w:t>
            </w:r>
            <w:r w:rsidRPr="002D2A0A">
              <w:rPr>
                <w:rFonts w:ascii="Arial" w:hAnsi="Arial" w:cs="Arial"/>
                <w:sz w:val="20"/>
                <w:szCs w:val="20"/>
              </w:rPr>
              <w:t>ng/kg/min at 3 years; bosentan 62.5</w:t>
            </w:r>
            <w:r w:rsidR="00067504">
              <w:rPr>
                <w:rFonts w:ascii="Arial" w:hAnsi="Arial" w:cs="Arial"/>
                <w:sz w:val="20"/>
                <w:szCs w:val="20"/>
              </w:rPr>
              <w:t xml:space="preserve"> mg</w:t>
            </w:r>
            <w:r w:rsidRPr="002D2A0A">
              <w:rPr>
                <w:rFonts w:ascii="Arial" w:hAnsi="Arial" w:cs="Arial"/>
                <w:sz w:val="20"/>
                <w:szCs w:val="20"/>
              </w:rPr>
              <w:t xml:space="preserve"> orally bid for 4 weeks, then a maintenance dose of 125 mg bid; and iloprost 2.5-5</w:t>
            </w:r>
            <w:r w:rsidR="00067504">
              <w:rPr>
                <w:rFonts w:ascii="Arial" w:hAnsi="Arial" w:cs="Arial"/>
                <w:sz w:val="20"/>
                <w:szCs w:val="20"/>
              </w:rPr>
              <w:t xml:space="preserve"> </w:t>
            </w:r>
            <w:r w:rsidRPr="002D2A0A">
              <w:rPr>
                <w:rFonts w:ascii="Arial" w:hAnsi="Arial" w:cs="Arial"/>
                <w:sz w:val="20"/>
                <w:szCs w:val="20"/>
              </w:rPr>
              <w:t>µg nebulised 6-9 times per day, giving a mean of 7.5 x 20</w:t>
            </w:r>
            <w:r w:rsidR="00067504">
              <w:rPr>
                <w:rFonts w:ascii="Arial" w:hAnsi="Arial" w:cs="Arial"/>
                <w:sz w:val="20"/>
                <w:szCs w:val="20"/>
              </w:rPr>
              <w:t xml:space="preserve"> </w:t>
            </w:r>
            <w:r w:rsidRPr="002D2A0A">
              <w:rPr>
                <w:rFonts w:ascii="Arial" w:hAnsi="Arial" w:cs="Arial"/>
                <w:sz w:val="20"/>
                <w:szCs w:val="20"/>
              </w:rPr>
              <w:t>µg per day (evidence is presented at vii) below).</w:t>
            </w:r>
            <w:proofErr w:type="gramEnd"/>
          </w:p>
        </w:tc>
      </w:tr>
      <w:tr w:rsidR="00064D19" w:rsidRPr="00064D19" w14:paraId="6F4BA923" w14:textId="77777777" w:rsidTr="00DD098B">
        <w:tc>
          <w:tcPr>
            <w:tcW w:w="478" w:type="pct"/>
            <w:tcBorders>
              <w:top w:val="nil"/>
            </w:tcBorders>
          </w:tcPr>
          <w:p w14:paraId="1A29A9CD" w14:textId="77777777" w:rsidR="00064D19" w:rsidRPr="002D2A0A" w:rsidRDefault="00064D19" w:rsidP="002D2A0A">
            <w:pPr>
              <w:spacing w:before="0" w:line="240" w:lineRule="auto"/>
              <w:ind w:left="147" w:right="57"/>
              <w:rPr>
                <w:rFonts w:ascii="Arial" w:hAnsi="Arial" w:cs="Arial"/>
                <w:sz w:val="20"/>
                <w:szCs w:val="20"/>
              </w:rPr>
            </w:pPr>
          </w:p>
        </w:tc>
        <w:tc>
          <w:tcPr>
            <w:tcW w:w="1366" w:type="pct"/>
          </w:tcPr>
          <w:p w14:paraId="4B63CB54"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Minor submission from PHSANZ requesting amendment of the current ‘continuing treatment’ restriction</w:t>
            </w:r>
          </w:p>
        </w:tc>
        <w:tc>
          <w:tcPr>
            <w:tcW w:w="490" w:type="pct"/>
          </w:tcPr>
          <w:p w14:paraId="4E7C35A6"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 xml:space="preserve">July 2015 </w:t>
            </w:r>
          </w:p>
        </w:tc>
        <w:tc>
          <w:tcPr>
            <w:tcW w:w="2665" w:type="pct"/>
          </w:tcPr>
          <w:p w14:paraId="0E22FCDF" w14:textId="77777777" w:rsidR="00E93086" w:rsidRPr="00E93086" w:rsidRDefault="00064D19" w:rsidP="00E93086">
            <w:pPr>
              <w:widowControl w:val="0"/>
              <w:numPr>
                <w:ilvl w:val="0"/>
                <w:numId w:val="15"/>
              </w:numPr>
              <w:spacing w:before="0" w:after="40" w:line="240" w:lineRule="auto"/>
              <w:ind w:left="170" w:right="57" w:hanging="357"/>
              <w:rPr>
                <w:rFonts w:ascii="Arial" w:hAnsi="Arial" w:cs="Arial"/>
                <w:sz w:val="20"/>
                <w:szCs w:val="20"/>
              </w:rPr>
            </w:pPr>
            <w:r w:rsidRPr="002D2A0A">
              <w:rPr>
                <w:rFonts w:ascii="Arial" w:hAnsi="Arial" w:cs="Arial"/>
                <w:sz w:val="20"/>
                <w:szCs w:val="20"/>
              </w:rPr>
              <w:t>Recommended that that the current “continuing treatment (all patients)” restriction be replaced by a “continuing treatment – new patient” restriction (written authority)</w:t>
            </w:r>
            <w:proofErr w:type="gramStart"/>
            <w:r w:rsidRPr="002D2A0A">
              <w:rPr>
                <w:rFonts w:ascii="Arial" w:hAnsi="Arial" w:cs="Arial"/>
                <w:sz w:val="20"/>
                <w:szCs w:val="20"/>
              </w:rPr>
              <w:t>;</w:t>
            </w:r>
            <w:proofErr w:type="gramEnd"/>
            <w:r w:rsidRPr="002D2A0A">
              <w:rPr>
                <w:rFonts w:ascii="Arial" w:hAnsi="Arial" w:cs="Arial"/>
                <w:sz w:val="20"/>
                <w:szCs w:val="20"/>
              </w:rPr>
              <w:t xml:space="preserve"> and a subsequent “continuing treatment” restriction (telephone authority) without a requirement to provide evidence of response to the most recent treatment course</w:t>
            </w:r>
            <w:r w:rsidR="007769E3">
              <w:rPr>
                <w:rFonts w:ascii="Arial" w:hAnsi="Arial" w:cs="Arial"/>
                <w:sz w:val="20"/>
                <w:szCs w:val="20"/>
              </w:rPr>
              <w:t>.</w:t>
            </w:r>
          </w:p>
        </w:tc>
      </w:tr>
      <w:tr w:rsidR="00064D19" w:rsidRPr="00064D19" w14:paraId="57C03486" w14:textId="77777777" w:rsidTr="00DD098B">
        <w:tc>
          <w:tcPr>
            <w:tcW w:w="478" w:type="pct"/>
            <w:tcBorders>
              <w:top w:val="single" w:sz="4" w:space="0" w:color="auto"/>
            </w:tcBorders>
          </w:tcPr>
          <w:p w14:paraId="44A49169" w14:textId="77777777" w:rsidR="00064D19" w:rsidRPr="002D2A0A" w:rsidRDefault="00064D19" w:rsidP="002D2A0A">
            <w:pPr>
              <w:spacing w:before="0" w:line="240" w:lineRule="auto"/>
              <w:ind w:left="147" w:right="57"/>
              <w:rPr>
                <w:rFonts w:ascii="Arial" w:hAnsi="Arial" w:cs="Arial"/>
                <w:sz w:val="20"/>
                <w:szCs w:val="20"/>
              </w:rPr>
            </w:pPr>
            <w:proofErr w:type="spellStart"/>
            <w:r w:rsidRPr="002D2A0A">
              <w:rPr>
                <w:rFonts w:ascii="Arial" w:hAnsi="Arial" w:cs="Arial"/>
                <w:sz w:val="20"/>
                <w:szCs w:val="20"/>
              </w:rPr>
              <w:lastRenderedPageBreak/>
              <w:t>Treprostinil</w:t>
            </w:r>
            <w:proofErr w:type="spellEnd"/>
          </w:p>
        </w:tc>
        <w:tc>
          <w:tcPr>
            <w:tcW w:w="1366" w:type="pct"/>
          </w:tcPr>
          <w:p w14:paraId="786B3FFC"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Treatment of IPAH or PAH-CTD, in patients with disease of WHO FC III or IV severity.</w:t>
            </w:r>
          </w:p>
        </w:tc>
        <w:tc>
          <w:tcPr>
            <w:tcW w:w="490" w:type="pct"/>
          </w:tcPr>
          <w:p w14:paraId="45829464" w14:textId="77777777" w:rsidR="00064D19" w:rsidRPr="00067504" w:rsidRDefault="00064D19" w:rsidP="002D2A0A">
            <w:pPr>
              <w:spacing w:before="0" w:line="240" w:lineRule="auto"/>
              <w:ind w:left="172" w:right="57"/>
              <w:rPr>
                <w:rFonts w:ascii="Arial" w:hAnsi="Arial" w:cs="Arial"/>
                <w:sz w:val="20"/>
                <w:szCs w:val="20"/>
              </w:rPr>
            </w:pPr>
            <w:r w:rsidRPr="00067504">
              <w:rPr>
                <w:rFonts w:ascii="Arial" w:hAnsi="Arial" w:cs="Arial"/>
                <w:sz w:val="20"/>
                <w:szCs w:val="20"/>
              </w:rPr>
              <w:t>November 2005</w:t>
            </w:r>
          </w:p>
        </w:tc>
        <w:tc>
          <w:tcPr>
            <w:tcW w:w="2665" w:type="pct"/>
          </w:tcPr>
          <w:p w14:paraId="3D83A542" w14:textId="77777777" w:rsidR="00064D19" w:rsidRPr="002D2A0A" w:rsidRDefault="00064D19" w:rsidP="00807704">
            <w:pPr>
              <w:widowControl w:val="0"/>
              <w:numPr>
                <w:ilvl w:val="0"/>
                <w:numId w:val="15"/>
              </w:numPr>
              <w:spacing w:before="0" w:line="240" w:lineRule="auto"/>
              <w:ind w:left="172" w:right="57"/>
              <w:rPr>
                <w:rFonts w:ascii="Arial" w:hAnsi="Arial" w:cs="Arial"/>
                <w:b/>
                <w:caps/>
                <w:color w:val="000000"/>
                <w:spacing w:val="5"/>
                <w:kern w:val="28"/>
                <w:sz w:val="20"/>
                <w:szCs w:val="20"/>
                <w:lang w:val="en-US"/>
              </w:rPr>
            </w:pPr>
            <w:r w:rsidRPr="002D2A0A">
              <w:rPr>
                <w:rFonts w:ascii="Arial" w:hAnsi="Arial" w:cs="Arial"/>
                <w:sz w:val="20"/>
                <w:szCs w:val="20"/>
              </w:rPr>
              <w:t xml:space="preserve">Recommended listing </w:t>
            </w:r>
          </w:p>
          <w:p w14:paraId="7E67A226" w14:textId="6EB75F2A" w:rsidR="002D2A0A" w:rsidRPr="00806FA1" w:rsidRDefault="00064D19" w:rsidP="00807704">
            <w:pPr>
              <w:widowControl w:val="0"/>
              <w:numPr>
                <w:ilvl w:val="0"/>
                <w:numId w:val="15"/>
              </w:numPr>
              <w:spacing w:before="0" w:line="240" w:lineRule="auto"/>
              <w:ind w:left="172" w:right="57"/>
              <w:rPr>
                <w:rFonts w:ascii="Arial" w:hAnsi="Arial" w:cs="Arial"/>
                <w:snapToGrid w:val="0"/>
                <w:sz w:val="20"/>
                <w:szCs w:val="20"/>
              </w:rPr>
            </w:pPr>
            <w:r w:rsidRPr="002D2A0A">
              <w:rPr>
                <w:rFonts w:ascii="Arial" w:hAnsi="Arial" w:cs="Arial"/>
                <w:sz w:val="20"/>
                <w:szCs w:val="20"/>
              </w:rPr>
              <w:t xml:space="preserve">Cost minimisation based on indirect comparison involving placebo as the common reference indicated that, overall, </w:t>
            </w:r>
            <w:proofErr w:type="spellStart"/>
            <w:r w:rsidRPr="002D2A0A">
              <w:rPr>
                <w:rFonts w:ascii="Arial" w:hAnsi="Arial" w:cs="Arial"/>
                <w:sz w:val="20"/>
                <w:szCs w:val="20"/>
              </w:rPr>
              <w:t>treprostinil</w:t>
            </w:r>
            <w:proofErr w:type="spellEnd"/>
            <w:r w:rsidRPr="002D2A0A">
              <w:rPr>
                <w:rFonts w:ascii="Arial" w:hAnsi="Arial" w:cs="Arial"/>
                <w:sz w:val="20"/>
                <w:szCs w:val="20"/>
              </w:rPr>
              <w:t xml:space="preserve"> was no worse than bosentan. The </w:t>
            </w:r>
            <w:proofErr w:type="spellStart"/>
            <w:r w:rsidRPr="002D2A0A">
              <w:rPr>
                <w:rFonts w:ascii="Arial" w:hAnsi="Arial" w:cs="Arial"/>
                <w:sz w:val="20"/>
                <w:szCs w:val="20"/>
              </w:rPr>
              <w:t>equi</w:t>
            </w:r>
            <w:proofErr w:type="spellEnd"/>
            <w:r w:rsidRPr="002D2A0A">
              <w:rPr>
                <w:rFonts w:ascii="Arial" w:hAnsi="Arial" w:cs="Arial"/>
                <w:sz w:val="20"/>
                <w:szCs w:val="20"/>
              </w:rPr>
              <w:t xml:space="preserve">-effective doses were </w:t>
            </w:r>
            <w:proofErr w:type="spellStart"/>
            <w:r w:rsidRPr="002D2A0A">
              <w:rPr>
                <w:rFonts w:ascii="Arial" w:hAnsi="Arial" w:cs="Arial"/>
                <w:sz w:val="20"/>
                <w:szCs w:val="20"/>
              </w:rPr>
              <w:t>trepostinil</w:t>
            </w:r>
            <w:proofErr w:type="spellEnd"/>
            <w:r w:rsidRPr="002D2A0A">
              <w:rPr>
                <w:rFonts w:ascii="Arial" w:hAnsi="Arial" w:cs="Arial"/>
                <w:sz w:val="20"/>
                <w:szCs w:val="20"/>
              </w:rPr>
              <w:t xml:space="preserve"> sodium 9.3</w:t>
            </w:r>
            <w:r w:rsidR="00067504">
              <w:rPr>
                <w:rFonts w:ascii="Arial" w:hAnsi="Arial" w:cs="Arial"/>
                <w:sz w:val="20"/>
                <w:szCs w:val="20"/>
              </w:rPr>
              <w:t xml:space="preserve"> </w:t>
            </w:r>
            <w:r w:rsidRPr="002D2A0A">
              <w:rPr>
                <w:rFonts w:ascii="Arial" w:hAnsi="Arial" w:cs="Arial"/>
                <w:sz w:val="20"/>
                <w:szCs w:val="20"/>
              </w:rPr>
              <w:t>ng/kg/min via continuous subcutaneous infusion and bosentan 125</w:t>
            </w:r>
            <w:r w:rsidR="00067504">
              <w:rPr>
                <w:rFonts w:ascii="Arial" w:hAnsi="Arial" w:cs="Arial"/>
                <w:sz w:val="20"/>
                <w:szCs w:val="20"/>
              </w:rPr>
              <w:t xml:space="preserve"> </w:t>
            </w:r>
            <w:r w:rsidRPr="002D2A0A">
              <w:rPr>
                <w:rFonts w:ascii="Arial" w:hAnsi="Arial" w:cs="Arial"/>
                <w:sz w:val="20"/>
                <w:szCs w:val="20"/>
              </w:rPr>
              <w:t xml:space="preserve">mg </w:t>
            </w:r>
            <w:r w:rsidRPr="002D2A0A">
              <w:rPr>
                <w:rFonts w:ascii="Arial" w:hAnsi="Arial" w:cs="Arial"/>
                <w:i/>
                <w:sz w:val="20"/>
                <w:szCs w:val="20"/>
              </w:rPr>
              <w:t>bid</w:t>
            </w:r>
            <w:r w:rsidRPr="002D2A0A">
              <w:rPr>
                <w:rFonts w:ascii="Arial" w:hAnsi="Arial" w:cs="Arial"/>
                <w:sz w:val="20"/>
                <w:szCs w:val="20"/>
              </w:rPr>
              <w:t xml:space="preserve">. The PBAC considered that the listing of </w:t>
            </w:r>
            <w:proofErr w:type="spellStart"/>
            <w:r w:rsidRPr="002D2A0A">
              <w:rPr>
                <w:rFonts w:ascii="Arial" w:hAnsi="Arial" w:cs="Arial"/>
                <w:sz w:val="20"/>
                <w:szCs w:val="20"/>
              </w:rPr>
              <w:t>trepostinil</w:t>
            </w:r>
            <w:proofErr w:type="spellEnd"/>
            <w:r w:rsidRPr="002D2A0A">
              <w:rPr>
                <w:rFonts w:ascii="Arial" w:hAnsi="Arial" w:cs="Arial"/>
                <w:sz w:val="20"/>
                <w:szCs w:val="20"/>
              </w:rPr>
              <w:t xml:space="preserve"> would provide an additional treatment option to patients with a different mode of administration - that is, by subcutaneous </w:t>
            </w:r>
            <w:proofErr w:type="gramStart"/>
            <w:r w:rsidRPr="002D2A0A">
              <w:rPr>
                <w:rFonts w:ascii="Arial" w:hAnsi="Arial" w:cs="Arial"/>
                <w:sz w:val="20"/>
                <w:szCs w:val="20"/>
              </w:rPr>
              <w:t>infusion</w:t>
            </w:r>
            <w:proofErr w:type="gramEnd"/>
            <w:r w:rsidRPr="002D2A0A">
              <w:rPr>
                <w:rFonts w:ascii="Arial" w:hAnsi="Arial" w:cs="Arial"/>
                <w:sz w:val="20"/>
                <w:szCs w:val="20"/>
              </w:rPr>
              <w:t xml:space="preserve"> (evidence is presented at viii) below).</w:t>
            </w:r>
          </w:p>
          <w:p w14:paraId="68C48F74" w14:textId="77777777" w:rsidR="00806FA1" w:rsidRPr="002D2A0A" w:rsidRDefault="00806FA1" w:rsidP="00806FA1">
            <w:pPr>
              <w:widowControl w:val="0"/>
              <w:spacing w:before="0" w:line="240" w:lineRule="auto"/>
              <w:ind w:right="57"/>
              <w:rPr>
                <w:rFonts w:ascii="Arial" w:hAnsi="Arial" w:cs="Arial"/>
                <w:snapToGrid w:val="0"/>
                <w:sz w:val="20"/>
                <w:szCs w:val="20"/>
              </w:rPr>
            </w:pPr>
          </w:p>
        </w:tc>
      </w:tr>
      <w:tr w:rsidR="00064D19" w:rsidRPr="00064D19" w14:paraId="73085ADB" w14:textId="77777777" w:rsidTr="00064D19">
        <w:tc>
          <w:tcPr>
            <w:tcW w:w="5000" w:type="pct"/>
            <w:gridSpan w:val="4"/>
          </w:tcPr>
          <w:p w14:paraId="03ABDB4A" w14:textId="77777777" w:rsidR="00064D19" w:rsidRPr="002D2A0A" w:rsidRDefault="00165E64" w:rsidP="00DD098B">
            <w:pPr>
              <w:spacing w:before="60" w:after="60" w:line="240" w:lineRule="auto"/>
              <w:ind w:left="170" w:right="57"/>
              <w:rPr>
                <w:rFonts w:ascii="Arial" w:hAnsi="Arial" w:cs="Arial"/>
                <w:b/>
                <w:sz w:val="20"/>
                <w:szCs w:val="20"/>
              </w:rPr>
            </w:pPr>
            <w:proofErr w:type="spellStart"/>
            <w:r>
              <w:rPr>
                <w:rFonts w:ascii="Arial" w:hAnsi="Arial" w:cs="Arial"/>
                <w:b/>
                <w:sz w:val="20"/>
                <w:szCs w:val="20"/>
              </w:rPr>
              <w:t>s</w:t>
            </w:r>
            <w:r w:rsidR="00064D19" w:rsidRPr="002D2A0A">
              <w:rPr>
                <w:rFonts w:ascii="Arial" w:hAnsi="Arial" w:cs="Arial"/>
                <w:b/>
                <w:sz w:val="20"/>
                <w:szCs w:val="20"/>
              </w:rPr>
              <w:t>GC</w:t>
            </w:r>
            <w:proofErr w:type="spellEnd"/>
            <w:r w:rsidR="00E8761A">
              <w:rPr>
                <w:rFonts w:ascii="Arial" w:hAnsi="Arial" w:cs="Arial"/>
                <w:b/>
                <w:sz w:val="20"/>
                <w:szCs w:val="20"/>
              </w:rPr>
              <w:t xml:space="preserve"> stimulator</w:t>
            </w:r>
          </w:p>
        </w:tc>
      </w:tr>
      <w:tr w:rsidR="00064D19" w:rsidRPr="00064D19" w14:paraId="0B3F054B" w14:textId="77777777" w:rsidTr="00DD098B">
        <w:tc>
          <w:tcPr>
            <w:tcW w:w="478" w:type="pct"/>
            <w:tcBorders>
              <w:bottom w:val="nil"/>
            </w:tcBorders>
          </w:tcPr>
          <w:p w14:paraId="22926D82" w14:textId="77777777" w:rsidR="00064D19" w:rsidRPr="002D2A0A" w:rsidRDefault="00064D19" w:rsidP="002D2A0A">
            <w:pPr>
              <w:spacing w:before="0" w:line="240" w:lineRule="auto"/>
              <w:ind w:left="147" w:right="57"/>
              <w:rPr>
                <w:rFonts w:ascii="Arial" w:hAnsi="Arial" w:cs="Arial"/>
                <w:sz w:val="20"/>
                <w:szCs w:val="20"/>
              </w:rPr>
            </w:pPr>
            <w:r w:rsidRPr="002D2A0A">
              <w:rPr>
                <w:rFonts w:ascii="Arial" w:hAnsi="Arial" w:cs="Arial"/>
                <w:sz w:val="20"/>
                <w:szCs w:val="20"/>
              </w:rPr>
              <w:t>Riociguat</w:t>
            </w:r>
          </w:p>
          <w:p w14:paraId="667FE812" w14:textId="77777777" w:rsidR="00064D19" w:rsidRPr="002D2A0A" w:rsidRDefault="00064D19" w:rsidP="002D2A0A">
            <w:pPr>
              <w:widowControl w:val="0"/>
              <w:spacing w:before="0" w:line="240" w:lineRule="auto"/>
              <w:ind w:left="147" w:right="57"/>
              <w:rPr>
                <w:rFonts w:ascii="Arial" w:hAnsi="Arial" w:cs="Arial"/>
                <w:snapToGrid w:val="0"/>
                <w:sz w:val="20"/>
                <w:szCs w:val="20"/>
              </w:rPr>
            </w:pPr>
          </w:p>
          <w:p w14:paraId="53F6DE31" w14:textId="77777777" w:rsidR="00064D19" w:rsidRPr="002D2A0A" w:rsidRDefault="00064D19" w:rsidP="002D2A0A">
            <w:pPr>
              <w:spacing w:before="0" w:line="240" w:lineRule="auto"/>
              <w:ind w:left="147" w:right="57"/>
              <w:rPr>
                <w:rFonts w:ascii="Arial" w:hAnsi="Arial" w:cs="Arial"/>
                <w:sz w:val="20"/>
                <w:szCs w:val="20"/>
              </w:rPr>
            </w:pPr>
          </w:p>
        </w:tc>
        <w:tc>
          <w:tcPr>
            <w:tcW w:w="1366" w:type="pct"/>
          </w:tcPr>
          <w:p w14:paraId="40B6EDF8"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Treatment of WHO FC III or IV IPAH or PAH-CTD or PAH-CHD</w:t>
            </w:r>
          </w:p>
        </w:tc>
        <w:tc>
          <w:tcPr>
            <w:tcW w:w="490" w:type="pct"/>
          </w:tcPr>
          <w:p w14:paraId="44D419B6"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March 2014</w:t>
            </w:r>
          </w:p>
        </w:tc>
        <w:tc>
          <w:tcPr>
            <w:tcW w:w="2665" w:type="pct"/>
          </w:tcPr>
          <w:p w14:paraId="17EB340F"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Recommended listing</w:t>
            </w:r>
          </w:p>
          <w:p w14:paraId="3538EE3B"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 xml:space="preserve">Cost minimisation basis to bosentan. </w:t>
            </w:r>
            <w:proofErr w:type="spellStart"/>
            <w:r w:rsidRPr="002D2A0A">
              <w:rPr>
                <w:rFonts w:ascii="Arial" w:hAnsi="Arial" w:cs="Arial"/>
                <w:sz w:val="20"/>
                <w:szCs w:val="20"/>
              </w:rPr>
              <w:t>Equi</w:t>
            </w:r>
            <w:proofErr w:type="spellEnd"/>
            <w:r w:rsidRPr="002D2A0A">
              <w:rPr>
                <w:rFonts w:ascii="Arial" w:hAnsi="Arial" w:cs="Arial"/>
                <w:sz w:val="20"/>
                <w:szCs w:val="20"/>
              </w:rPr>
              <w:t xml:space="preserve">-effective doses are: </w:t>
            </w:r>
          </w:p>
          <w:p w14:paraId="64180B8C" w14:textId="77777777" w:rsidR="00064D19" w:rsidRPr="002D2A0A" w:rsidRDefault="00064D19" w:rsidP="00807704">
            <w:pPr>
              <w:widowControl w:val="0"/>
              <w:numPr>
                <w:ilvl w:val="0"/>
                <w:numId w:val="16"/>
              </w:numPr>
              <w:spacing w:before="0" w:line="240" w:lineRule="auto"/>
              <w:ind w:left="172" w:right="57" w:hanging="173"/>
              <w:rPr>
                <w:rFonts w:ascii="Arial" w:hAnsi="Arial" w:cs="Arial"/>
                <w:sz w:val="20"/>
                <w:szCs w:val="20"/>
              </w:rPr>
            </w:pPr>
            <w:r w:rsidRPr="002D2A0A">
              <w:rPr>
                <w:rFonts w:ascii="Arial" w:hAnsi="Arial" w:cs="Arial"/>
                <w:sz w:val="20"/>
                <w:szCs w:val="20"/>
              </w:rPr>
              <w:t xml:space="preserve">Individual titration of riociguat (1 mg </w:t>
            </w:r>
            <w:proofErr w:type="spellStart"/>
            <w:r w:rsidRPr="002D2A0A">
              <w:rPr>
                <w:rFonts w:ascii="Arial" w:hAnsi="Arial" w:cs="Arial"/>
                <w:sz w:val="20"/>
                <w:szCs w:val="20"/>
              </w:rPr>
              <w:t>tid</w:t>
            </w:r>
            <w:proofErr w:type="spellEnd"/>
            <w:r w:rsidRPr="002D2A0A">
              <w:rPr>
                <w:rFonts w:ascii="Arial" w:hAnsi="Arial" w:cs="Arial"/>
                <w:sz w:val="20"/>
                <w:szCs w:val="20"/>
              </w:rPr>
              <w:t xml:space="preserve"> to 2.5 mg </w:t>
            </w:r>
            <w:proofErr w:type="spellStart"/>
            <w:r w:rsidRPr="002D2A0A">
              <w:rPr>
                <w:rFonts w:ascii="Arial" w:hAnsi="Arial" w:cs="Arial"/>
                <w:sz w:val="20"/>
                <w:szCs w:val="20"/>
              </w:rPr>
              <w:t>tid</w:t>
            </w:r>
            <w:proofErr w:type="spellEnd"/>
            <w:r w:rsidRPr="002D2A0A">
              <w:rPr>
                <w:rFonts w:ascii="Arial" w:hAnsi="Arial" w:cs="Arial"/>
                <w:sz w:val="20"/>
                <w:szCs w:val="20"/>
              </w:rPr>
              <w:t>) and bosentan 62.5 mg bid or 125 mg bid</w:t>
            </w:r>
            <w:r w:rsidR="007769E3">
              <w:rPr>
                <w:rFonts w:ascii="Arial" w:hAnsi="Arial" w:cs="Arial"/>
                <w:sz w:val="20"/>
                <w:szCs w:val="20"/>
              </w:rPr>
              <w:t>.</w:t>
            </w:r>
          </w:p>
          <w:p w14:paraId="097FE9F5" w14:textId="77777777" w:rsidR="00E93086" w:rsidRPr="00DD098B" w:rsidRDefault="00064D19" w:rsidP="00DD098B">
            <w:pPr>
              <w:widowControl w:val="0"/>
              <w:numPr>
                <w:ilvl w:val="0"/>
                <w:numId w:val="16"/>
              </w:numPr>
              <w:spacing w:before="0" w:line="240" w:lineRule="auto"/>
              <w:ind w:left="172" w:right="57" w:hanging="173"/>
              <w:rPr>
                <w:rFonts w:ascii="Arial" w:hAnsi="Arial" w:cs="Arial"/>
                <w:sz w:val="20"/>
                <w:szCs w:val="20"/>
              </w:rPr>
            </w:pPr>
            <w:r w:rsidRPr="002D2A0A">
              <w:rPr>
                <w:rFonts w:ascii="Arial" w:hAnsi="Arial" w:cs="Arial"/>
                <w:sz w:val="20"/>
                <w:szCs w:val="20"/>
              </w:rPr>
              <w:t xml:space="preserve">Individual titration of riociguat (1 mg </w:t>
            </w:r>
            <w:proofErr w:type="spellStart"/>
            <w:r w:rsidRPr="002D2A0A">
              <w:rPr>
                <w:rFonts w:ascii="Arial" w:hAnsi="Arial" w:cs="Arial"/>
                <w:sz w:val="20"/>
                <w:szCs w:val="20"/>
              </w:rPr>
              <w:t>tid</w:t>
            </w:r>
            <w:proofErr w:type="spellEnd"/>
            <w:r w:rsidRPr="002D2A0A">
              <w:rPr>
                <w:rFonts w:ascii="Arial" w:hAnsi="Arial" w:cs="Arial"/>
                <w:sz w:val="20"/>
                <w:szCs w:val="20"/>
              </w:rPr>
              <w:t xml:space="preserve"> to 2.5 mg </w:t>
            </w:r>
            <w:proofErr w:type="spellStart"/>
            <w:r w:rsidRPr="002D2A0A">
              <w:rPr>
                <w:rFonts w:ascii="Arial" w:hAnsi="Arial" w:cs="Arial"/>
                <w:sz w:val="20"/>
                <w:szCs w:val="20"/>
              </w:rPr>
              <w:t>tid</w:t>
            </w:r>
            <w:proofErr w:type="spellEnd"/>
            <w:r w:rsidRPr="002D2A0A">
              <w:rPr>
                <w:rFonts w:ascii="Arial" w:hAnsi="Arial" w:cs="Arial"/>
                <w:sz w:val="20"/>
                <w:szCs w:val="20"/>
              </w:rPr>
              <w:t xml:space="preserve">) and sildenafil 20 mg </w:t>
            </w:r>
            <w:proofErr w:type="spellStart"/>
            <w:r w:rsidRPr="002D2A0A">
              <w:rPr>
                <w:rFonts w:ascii="Arial" w:hAnsi="Arial" w:cs="Arial"/>
                <w:sz w:val="20"/>
                <w:szCs w:val="20"/>
              </w:rPr>
              <w:t>tid</w:t>
            </w:r>
            <w:proofErr w:type="spellEnd"/>
            <w:r w:rsidRPr="002D2A0A">
              <w:rPr>
                <w:rFonts w:ascii="Arial" w:hAnsi="Arial" w:cs="Arial"/>
                <w:sz w:val="20"/>
                <w:szCs w:val="20"/>
              </w:rPr>
              <w:t>.</w:t>
            </w:r>
          </w:p>
        </w:tc>
      </w:tr>
      <w:tr w:rsidR="00064D19" w:rsidRPr="00064D19" w14:paraId="17224252" w14:textId="77777777" w:rsidTr="00064D19">
        <w:tc>
          <w:tcPr>
            <w:tcW w:w="5000" w:type="pct"/>
            <w:gridSpan w:val="4"/>
          </w:tcPr>
          <w:p w14:paraId="0BBAC4F3" w14:textId="77777777" w:rsidR="00064D19" w:rsidRPr="002D2A0A" w:rsidRDefault="00064D19" w:rsidP="00DD098B">
            <w:pPr>
              <w:spacing w:before="60" w:after="60" w:line="240" w:lineRule="auto"/>
              <w:ind w:left="170" w:right="57"/>
              <w:rPr>
                <w:rFonts w:ascii="Arial" w:hAnsi="Arial" w:cs="Arial"/>
                <w:sz w:val="20"/>
                <w:szCs w:val="20"/>
              </w:rPr>
            </w:pPr>
            <w:r w:rsidRPr="002D2A0A">
              <w:rPr>
                <w:rFonts w:ascii="Arial" w:hAnsi="Arial" w:cs="Arial"/>
                <w:sz w:val="20"/>
                <w:szCs w:val="20"/>
              </w:rPr>
              <w:t>Non-prostanoid prostacyclin receptor agonist</w:t>
            </w:r>
          </w:p>
        </w:tc>
      </w:tr>
      <w:tr w:rsidR="00064D19" w:rsidRPr="00064D19" w14:paraId="39DE4B14" w14:textId="77777777" w:rsidTr="00DD098B">
        <w:tc>
          <w:tcPr>
            <w:tcW w:w="478" w:type="pct"/>
            <w:tcBorders>
              <w:bottom w:val="nil"/>
            </w:tcBorders>
          </w:tcPr>
          <w:p w14:paraId="1857056E" w14:textId="77777777" w:rsidR="00064D19" w:rsidRPr="002D2A0A" w:rsidRDefault="00064D19" w:rsidP="002D2A0A">
            <w:pPr>
              <w:spacing w:before="0" w:line="240" w:lineRule="auto"/>
              <w:ind w:left="147" w:right="57"/>
              <w:rPr>
                <w:rFonts w:ascii="Arial" w:hAnsi="Arial" w:cs="Arial"/>
                <w:sz w:val="20"/>
                <w:szCs w:val="20"/>
              </w:rPr>
            </w:pPr>
            <w:r w:rsidRPr="002D2A0A">
              <w:rPr>
                <w:rFonts w:ascii="Arial" w:hAnsi="Arial" w:cs="Arial"/>
                <w:sz w:val="20"/>
                <w:szCs w:val="20"/>
              </w:rPr>
              <w:t>Selexipag</w:t>
            </w:r>
          </w:p>
        </w:tc>
        <w:tc>
          <w:tcPr>
            <w:tcW w:w="1366" w:type="pct"/>
          </w:tcPr>
          <w:p w14:paraId="5D7804EE"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 xml:space="preserve">Treatment of WHO FC III or IV IPAH, drug or toxin-induced PAH, heritable PAH, or PAH-CTD, PAH-CHD or PAH-HIV, in patient with inadequate clinical response to ERA or </w:t>
            </w:r>
            <w:r w:rsidR="00AF191D" w:rsidRPr="002D2A0A">
              <w:rPr>
                <w:rFonts w:ascii="Arial" w:hAnsi="Arial" w:cs="Arial"/>
                <w:sz w:val="20"/>
                <w:szCs w:val="20"/>
              </w:rPr>
              <w:t>PDE</w:t>
            </w:r>
            <w:r w:rsidR="00AF191D" w:rsidRPr="002D2A0A">
              <w:rPr>
                <w:rFonts w:ascii="Arial" w:hAnsi="Arial" w:cs="Arial"/>
                <w:sz w:val="20"/>
                <w:szCs w:val="20"/>
              </w:rPr>
              <w:noBreakHyphen/>
              <w:t>5</w:t>
            </w:r>
            <w:r w:rsidRPr="002D2A0A">
              <w:rPr>
                <w:rFonts w:ascii="Arial" w:hAnsi="Arial" w:cs="Arial"/>
                <w:sz w:val="20"/>
                <w:szCs w:val="20"/>
              </w:rPr>
              <w:t xml:space="preserve"> inhibitor</w:t>
            </w:r>
          </w:p>
        </w:tc>
        <w:tc>
          <w:tcPr>
            <w:tcW w:w="490" w:type="pct"/>
          </w:tcPr>
          <w:p w14:paraId="60621299"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March 2016</w:t>
            </w:r>
          </w:p>
        </w:tc>
        <w:tc>
          <w:tcPr>
            <w:tcW w:w="2665" w:type="pct"/>
          </w:tcPr>
          <w:p w14:paraId="2D706641"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Rejected listing</w:t>
            </w:r>
          </w:p>
          <w:p w14:paraId="4C0F89F4"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The magnitude of clinical benefit was unclear, and that the estimate of cost-effectiveness as presented in the submission was difficult to interpret</w:t>
            </w:r>
          </w:p>
          <w:p w14:paraId="0B2C3447"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The ICER was high</w:t>
            </w:r>
            <w:r w:rsidR="007769E3">
              <w:rPr>
                <w:rFonts w:ascii="Arial" w:hAnsi="Arial" w:cs="Arial"/>
                <w:sz w:val="20"/>
                <w:szCs w:val="20"/>
              </w:rPr>
              <w:t>.</w:t>
            </w:r>
          </w:p>
        </w:tc>
      </w:tr>
      <w:tr w:rsidR="00064D19" w:rsidRPr="00064D19" w14:paraId="3AE0DBD7" w14:textId="77777777" w:rsidTr="00DD098B">
        <w:tc>
          <w:tcPr>
            <w:tcW w:w="478" w:type="pct"/>
            <w:tcBorders>
              <w:top w:val="nil"/>
              <w:bottom w:val="single" w:sz="4" w:space="0" w:color="auto"/>
            </w:tcBorders>
          </w:tcPr>
          <w:p w14:paraId="1FF31C74" w14:textId="77777777" w:rsidR="00064D19" w:rsidRPr="002D2A0A" w:rsidRDefault="00064D19" w:rsidP="002D2A0A">
            <w:pPr>
              <w:spacing w:before="0" w:line="240" w:lineRule="auto"/>
              <w:ind w:left="147" w:right="57"/>
              <w:rPr>
                <w:rFonts w:ascii="Arial" w:hAnsi="Arial" w:cs="Arial"/>
                <w:sz w:val="20"/>
                <w:szCs w:val="20"/>
              </w:rPr>
            </w:pPr>
          </w:p>
        </w:tc>
        <w:tc>
          <w:tcPr>
            <w:tcW w:w="1366" w:type="pct"/>
            <w:tcBorders>
              <w:bottom w:val="single" w:sz="4" w:space="0" w:color="auto"/>
            </w:tcBorders>
          </w:tcPr>
          <w:p w14:paraId="4C974DFB"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As above, apart from as a component of triple therapy, not dual therapy</w:t>
            </w:r>
          </w:p>
        </w:tc>
        <w:tc>
          <w:tcPr>
            <w:tcW w:w="490" w:type="pct"/>
            <w:tcBorders>
              <w:bottom w:val="single" w:sz="4" w:space="0" w:color="auto"/>
            </w:tcBorders>
          </w:tcPr>
          <w:p w14:paraId="639766BB" w14:textId="77777777" w:rsidR="00064D19" w:rsidRPr="002D2A0A" w:rsidRDefault="00064D19" w:rsidP="002D2A0A">
            <w:pPr>
              <w:spacing w:before="0" w:line="240" w:lineRule="auto"/>
              <w:ind w:left="172" w:right="57"/>
              <w:rPr>
                <w:rFonts w:ascii="Arial" w:hAnsi="Arial" w:cs="Arial"/>
                <w:sz w:val="20"/>
                <w:szCs w:val="20"/>
              </w:rPr>
            </w:pPr>
            <w:r w:rsidRPr="002D2A0A">
              <w:rPr>
                <w:rFonts w:ascii="Arial" w:hAnsi="Arial" w:cs="Arial"/>
                <w:sz w:val="20"/>
                <w:szCs w:val="20"/>
              </w:rPr>
              <w:t>March 2017</w:t>
            </w:r>
          </w:p>
        </w:tc>
        <w:tc>
          <w:tcPr>
            <w:tcW w:w="2665" w:type="pct"/>
            <w:tcBorders>
              <w:bottom w:val="single" w:sz="4" w:space="0" w:color="auto"/>
            </w:tcBorders>
          </w:tcPr>
          <w:p w14:paraId="424CF7E3" w14:textId="77777777" w:rsidR="00064D19" w:rsidRPr="002D2A0A"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Rejected a first line section 100 listing</w:t>
            </w:r>
          </w:p>
          <w:p w14:paraId="1DCEA525" w14:textId="77777777" w:rsidR="00064D19" w:rsidRDefault="00064D19" w:rsidP="00807704">
            <w:pPr>
              <w:widowControl w:val="0"/>
              <w:numPr>
                <w:ilvl w:val="0"/>
                <w:numId w:val="15"/>
              </w:numPr>
              <w:spacing w:before="0" w:line="240" w:lineRule="auto"/>
              <w:ind w:left="172" w:right="57"/>
              <w:rPr>
                <w:rFonts w:ascii="Arial" w:hAnsi="Arial" w:cs="Arial"/>
                <w:sz w:val="20"/>
                <w:szCs w:val="20"/>
              </w:rPr>
            </w:pPr>
            <w:r w:rsidRPr="002D2A0A">
              <w:rPr>
                <w:rFonts w:ascii="Arial" w:hAnsi="Arial" w:cs="Arial"/>
                <w:sz w:val="20"/>
                <w:szCs w:val="20"/>
              </w:rPr>
              <w:t>The ICERs remained difficult to interpret, and were highly likely to be too high</w:t>
            </w:r>
            <w:r w:rsidR="00E93086">
              <w:rPr>
                <w:rFonts w:ascii="Arial" w:hAnsi="Arial" w:cs="Arial"/>
                <w:sz w:val="20"/>
                <w:szCs w:val="20"/>
              </w:rPr>
              <w:t>.</w:t>
            </w:r>
            <w:r w:rsidRPr="002D2A0A">
              <w:rPr>
                <w:rFonts w:ascii="Arial" w:hAnsi="Arial" w:cs="Arial"/>
                <w:sz w:val="20"/>
                <w:szCs w:val="20"/>
              </w:rPr>
              <w:t xml:space="preserve"> </w:t>
            </w:r>
          </w:p>
          <w:p w14:paraId="1BA24294" w14:textId="77777777" w:rsidR="00E93086" w:rsidRPr="002D2A0A" w:rsidRDefault="00E93086" w:rsidP="00E93086">
            <w:pPr>
              <w:widowControl w:val="0"/>
              <w:spacing w:before="0" w:line="240" w:lineRule="auto"/>
              <w:ind w:left="172" w:right="57"/>
              <w:rPr>
                <w:rFonts w:ascii="Arial" w:hAnsi="Arial" w:cs="Arial"/>
                <w:sz w:val="20"/>
                <w:szCs w:val="20"/>
              </w:rPr>
            </w:pPr>
          </w:p>
        </w:tc>
      </w:tr>
    </w:tbl>
    <w:p w14:paraId="5F5EAA29" w14:textId="77777777" w:rsidR="00064D19" w:rsidRDefault="00064D19" w:rsidP="00121658">
      <w:pPr>
        <w:spacing w:before="0" w:line="240" w:lineRule="auto"/>
        <w:rPr>
          <w:sz w:val="18"/>
        </w:rPr>
      </w:pPr>
      <w:r>
        <w:br w:type="page"/>
      </w:r>
    </w:p>
    <w:p w14:paraId="4DB2C5AE" w14:textId="77777777" w:rsidR="00064D19" w:rsidRPr="002D2A0A" w:rsidRDefault="00560313" w:rsidP="002D2A0A">
      <w:pPr>
        <w:pStyle w:val="Caption"/>
        <w:ind w:left="0" w:firstLine="0"/>
        <w:jc w:val="left"/>
      </w:pPr>
      <w:bookmarkStart w:id="315" w:name="_Ref505353450"/>
      <w:bookmarkStart w:id="316" w:name="_Ref502147694"/>
      <w:bookmarkStart w:id="317" w:name="_Toc502867743"/>
      <w:bookmarkStart w:id="318" w:name="_Toc29377246"/>
      <w:r w:rsidRPr="002D2A0A">
        <w:lastRenderedPageBreak/>
        <w:t>Table B.</w:t>
      </w:r>
      <w:r w:rsidR="00505D99">
        <w:rPr>
          <w:noProof/>
        </w:rPr>
        <w:t>9</w:t>
      </w:r>
      <w:bookmarkEnd w:id="315"/>
      <w:r w:rsidR="003D386D" w:rsidRPr="002D2A0A">
        <w:tab/>
      </w:r>
      <w:proofErr w:type="gramStart"/>
      <w:r w:rsidR="00064D19" w:rsidRPr="002D2A0A">
        <w:t>PAH</w:t>
      </w:r>
      <w:proofErr w:type="gramEnd"/>
      <w:r w:rsidR="00064D19" w:rsidRPr="002D2A0A">
        <w:t xml:space="preserve"> item numbers, DPMQs, authorities and treatment phases</w:t>
      </w:r>
      <w:bookmarkEnd w:id="316"/>
      <w:bookmarkEnd w:id="317"/>
      <w:r w:rsidR="00064D19" w:rsidRPr="002D2A0A">
        <w:t xml:space="preserve"> (Prices current for 1 December 2017 Schedule)</w:t>
      </w:r>
      <w:bookmarkEnd w:id="318"/>
    </w:p>
    <w:tbl>
      <w:tblPr>
        <w:tblStyle w:val="TableGrid"/>
        <w:tblW w:w="4900" w:type="pct"/>
        <w:tblLayout w:type="fixed"/>
        <w:tblLook w:val="04A0" w:firstRow="1" w:lastRow="0" w:firstColumn="1" w:lastColumn="0" w:noHBand="0" w:noVBand="1"/>
        <w:tblCaption w:val="PAH item numbers, DPMQs, authorities and treatment phases (Prices current for 1 December 2017 Schedule)"/>
      </w:tblPr>
      <w:tblGrid>
        <w:gridCol w:w="1859"/>
        <w:gridCol w:w="950"/>
        <w:gridCol w:w="1775"/>
        <w:gridCol w:w="1923"/>
        <w:gridCol w:w="6612"/>
        <w:gridCol w:w="1150"/>
      </w:tblGrid>
      <w:tr w:rsidR="00064D19" w:rsidRPr="002D2A0A" w14:paraId="371E95D4" w14:textId="77777777" w:rsidTr="00805124">
        <w:trPr>
          <w:cnfStyle w:val="100000000000" w:firstRow="1" w:lastRow="0" w:firstColumn="0" w:lastColumn="0" w:oddVBand="0" w:evenVBand="0" w:oddHBand="0" w:evenHBand="0" w:firstRowFirstColumn="0" w:firstRowLastColumn="0" w:lastRowFirstColumn="0" w:lastRowLastColumn="0"/>
        </w:trPr>
        <w:tc>
          <w:tcPr>
            <w:tcW w:w="651" w:type="pct"/>
            <w:tcBorders>
              <w:top w:val="single" w:sz="4" w:space="0" w:color="auto"/>
              <w:bottom w:val="single" w:sz="4" w:space="0" w:color="auto"/>
            </w:tcBorders>
            <w:shd w:val="clear" w:color="auto" w:fill="BFBFBF" w:themeFill="background1" w:themeFillShade="BF"/>
          </w:tcPr>
          <w:p w14:paraId="5E56756F" w14:textId="77777777" w:rsidR="00064D19" w:rsidRPr="002D2A0A" w:rsidRDefault="00064D19" w:rsidP="00FC2D2F">
            <w:pPr>
              <w:spacing w:before="0" w:line="240" w:lineRule="auto"/>
              <w:ind w:left="142" w:right="57"/>
              <w:rPr>
                <w:rFonts w:ascii="Arial" w:hAnsi="Arial" w:cs="Arial"/>
                <w:b/>
                <w:sz w:val="20"/>
                <w:szCs w:val="20"/>
              </w:rPr>
            </w:pPr>
            <w:r w:rsidRPr="002D2A0A">
              <w:rPr>
                <w:rFonts w:ascii="Arial" w:hAnsi="Arial" w:cs="Arial"/>
                <w:b/>
                <w:sz w:val="20"/>
                <w:szCs w:val="20"/>
              </w:rPr>
              <w:t xml:space="preserve">Drug </w:t>
            </w:r>
          </w:p>
        </w:tc>
        <w:tc>
          <w:tcPr>
            <w:tcW w:w="333" w:type="pct"/>
            <w:tcBorders>
              <w:top w:val="single" w:sz="4" w:space="0" w:color="auto"/>
              <w:bottom w:val="single" w:sz="4" w:space="0" w:color="auto"/>
            </w:tcBorders>
            <w:shd w:val="clear" w:color="auto" w:fill="BFBFBF" w:themeFill="background1" w:themeFillShade="BF"/>
          </w:tcPr>
          <w:p w14:paraId="35E3F945" w14:textId="77777777" w:rsidR="00064D19" w:rsidRPr="002D2A0A" w:rsidRDefault="00064D19" w:rsidP="00FC2D2F">
            <w:pPr>
              <w:spacing w:before="0" w:line="240" w:lineRule="auto"/>
              <w:ind w:right="57"/>
              <w:jc w:val="center"/>
              <w:rPr>
                <w:rFonts w:ascii="Arial" w:hAnsi="Arial" w:cs="Arial"/>
                <w:b/>
                <w:sz w:val="20"/>
                <w:szCs w:val="20"/>
              </w:rPr>
            </w:pPr>
            <w:r w:rsidRPr="002D2A0A">
              <w:rPr>
                <w:rFonts w:ascii="Arial" w:hAnsi="Arial" w:cs="Arial"/>
                <w:b/>
                <w:sz w:val="20"/>
                <w:szCs w:val="20"/>
              </w:rPr>
              <w:t>Items</w:t>
            </w:r>
          </w:p>
        </w:tc>
        <w:tc>
          <w:tcPr>
            <w:tcW w:w="622" w:type="pct"/>
            <w:tcBorders>
              <w:top w:val="single" w:sz="4" w:space="0" w:color="auto"/>
              <w:bottom w:val="single" w:sz="4" w:space="0" w:color="auto"/>
              <w:right w:val="nil"/>
            </w:tcBorders>
            <w:shd w:val="clear" w:color="auto" w:fill="BFBFBF" w:themeFill="background1" w:themeFillShade="BF"/>
          </w:tcPr>
          <w:p w14:paraId="05DE8CA9" w14:textId="77777777" w:rsidR="00064D19" w:rsidRPr="002D2A0A" w:rsidRDefault="00064D19" w:rsidP="00FC2D2F">
            <w:pPr>
              <w:spacing w:before="0" w:line="240" w:lineRule="auto"/>
              <w:ind w:left="165" w:right="57"/>
              <w:rPr>
                <w:rFonts w:ascii="Arial" w:hAnsi="Arial" w:cs="Arial"/>
                <w:b/>
                <w:sz w:val="20"/>
                <w:szCs w:val="20"/>
              </w:rPr>
            </w:pPr>
            <w:r w:rsidRPr="002D2A0A">
              <w:rPr>
                <w:rFonts w:ascii="Arial" w:hAnsi="Arial" w:cs="Arial"/>
                <w:b/>
                <w:sz w:val="20"/>
                <w:szCs w:val="20"/>
              </w:rPr>
              <w:t>Listings</w:t>
            </w:r>
          </w:p>
        </w:tc>
        <w:tc>
          <w:tcPr>
            <w:tcW w:w="674" w:type="pct"/>
            <w:tcBorders>
              <w:top w:val="single" w:sz="4" w:space="0" w:color="auto"/>
              <w:left w:val="nil"/>
              <w:bottom w:val="single" w:sz="4" w:space="0" w:color="auto"/>
            </w:tcBorders>
            <w:shd w:val="clear" w:color="auto" w:fill="BFBFBF" w:themeFill="background1" w:themeFillShade="BF"/>
          </w:tcPr>
          <w:p w14:paraId="45C6D289" w14:textId="77777777" w:rsidR="00064D19" w:rsidRPr="002D2A0A" w:rsidRDefault="00064D19" w:rsidP="00121658">
            <w:pPr>
              <w:spacing w:before="0" w:line="240" w:lineRule="auto"/>
              <w:ind w:right="57"/>
              <w:rPr>
                <w:rFonts w:ascii="Arial" w:hAnsi="Arial" w:cs="Arial"/>
                <w:b/>
                <w:sz w:val="20"/>
                <w:szCs w:val="20"/>
              </w:rPr>
            </w:pPr>
            <w:r w:rsidRPr="002D2A0A">
              <w:rPr>
                <w:rFonts w:ascii="Arial" w:hAnsi="Arial" w:cs="Arial"/>
                <w:b/>
                <w:sz w:val="20"/>
                <w:szCs w:val="20"/>
              </w:rPr>
              <w:t>DPMQ</w:t>
            </w:r>
          </w:p>
        </w:tc>
        <w:tc>
          <w:tcPr>
            <w:tcW w:w="2317" w:type="pct"/>
            <w:tcBorders>
              <w:top w:val="single" w:sz="4" w:space="0" w:color="auto"/>
              <w:bottom w:val="single" w:sz="4" w:space="0" w:color="auto"/>
              <w:right w:val="nil"/>
            </w:tcBorders>
            <w:shd w:val="clear" w:color="auto" w:fill="BFBFBF" w:themeFill="background1" w:themeFillShade="BF"/>
          </w:tcPr>
          <w:p w14:paraId="7787B2E0" w14:textId="77777777" w:rsidR="00064D19" w:rsidRPr="002D2A0A" w:rsidRDefault="00064D19" w:rsidP="00FC2D2F">
            <w:pPr>
              <w:spacing w:before="0" w:line="240" w:lineRule="auto"/>
              <w:ind w:right="57" w:firstLine="156"/>
              <w:rPr>
                <w:rFonts w:ascii="Arial" w:hAnsi="Arial" w:cs="Arial"/>
                <w:b/>
                <w:sz w:val="20"/>
                <w:szCs w:val="20"/>
              </w:rPr>
            </w:pPr>
            <w:r w:rsidRPr="002D2A0A">
              <w:rPr>
                <w:rFonts w:ascii="Arial" w:hAnsi="Arial" w:cs="Arial"/>
                <w:b/>
                <w:sz w:val="20"/>
                <w:szCs w:val="20"/>
              </w:rPr>
              <w:t>Treatment Phase</w:t>
            </w:r>
          </w:p>
        </w:tc>
        <w:tc>
          <w:tcPr>
            <w:tcW w:w="403" w:type="pct"/>
            <w:tcBorders>
              <w:top w:val="single" w:sz="4" w:space="0" w:color="auto"/>
              <w:left w:val="nil"/>
              <w:bottom w:val="single" w:sz="4" w:space="0" w:color="auto"/>
            </w:tcBorders>
            <w:shd w:val="clear" w:color="auto" w:fill="BFBFBF" w:themeFill="background1" w:themeFillShade="BF"/>
          </w:tcPr>
          <w:p w14:paraId="2BE624CD" w14:textId="77777777" w:rsidR="00064D19" w:rsidRPr="00FC2D2F" w:rsidRDefault="00064D19" w:rsidP="00121658">
            <w:pPr>
              <w:spacing w:before="0" w:line="240" w:lineRule="auto"/>
              <w:ind w:right="57"/>
              <w:rPr>
                <w:rFonts w:ascii="Arial Narrow" w:hAnsi="Arial Narrow" w:cs="Arial"/>
                <w:b/>
                <w:sz w:val="20"/>
                <w:szCs w:val="20"/>
              </w:rPr>
            </w:pPr>
            <w:r w:rsidRPr="00FC2D2F">
              <w:rPr>
                <w:rFonts w:ascii="Arial Narrow" w:hAnsi="Arial Narrow" w:cs="Arial"/>
                <w:b/>
                <w:sz w:val="20"/>
                <w:szCs w:val="20"/>
              </w:rPr>
              <w:t>Authority</w:t>
            </w:r>
          </w:p>
        </w:tc>
      </w:tr>
      <w:tr w:rsidR="00064D19" w:rsidRPr="002D2A0A" w14:paraId="4F72F44C" w14:textId="77777777" w:rsidTr="00C978EB">
        <w:tc>
          <w:tcPr>
            <w:tcW w:w="651" w:type="pct"/>
            <w:vMerge w:val="restart"/>
            <w:tcBorders>
              <w:top w:val="single" w:sz="4" w:space="0" w:color="auto"/>
            </w:tcBorders>
          </w:tcPr>
          <w:p w14:paraId="2B66B930" w14:textId="77777777" w:rsidR="00064D19" w:rsidRPr="00FC2D2F" w:rsidRDefault="00064D19" w:rsidP="00FC2D2F">
            <w:pPr>
              <w:spacing w:before="0" w:line="240" w:lineRule="auto"/>
              <w:ind w:left="142" w:right="57"/>
              <w:rPr>
                <w:rFonts w:ascii="Arial Narrow" w:hAnsi="Arial Narrow" w:cs="Arial"/>
                <w:sz w:val="20"/>
                <w:szCs w:val="20"/>
              </w:rPr>
            </w:pPr>
            <w:r w:rsidRPr="00FC2D2F">
              <w:rPr>
                <w:rFonts w:ascii="Arial Narrow" w:hAnsi="Arial Narrow" w:cs="Arial"/>
                <w:sz w:val="20"/>
                <w:szCs w:val="20"/>
              </w:rPr>
              <w:t>BOSENTAN</w:t>
            </w:r>
          </w:p>
          <w:p w14:paraId="1EDB31BE" w14:textId="77777777" w:rsidR="00064D19" w:rsidRPr="00FC2D2F" w:rsidRDefault="00064D19" w:rsidP="00FC2D2F">
            <w:pPr>
              <w:spacing w:before="0" w:line="240" w:lineRule="auto"/>
              <w:ind w:left="142" w:right="57"/>
              <w:rPr>
                <w:rFonts w:ascii="Arial Narrow" w:hAnsi="Arial Narrow" w:cs="Arial"/>
                <w:sz w:val="20"/>
                <w:szCs w:val="20"/>
              </w:rPr>
            </w:pPr>
            <w:r w:rsidRPr="00FC2D2F">
              <w:rPr>
                <w:rFonts w:ascii="Arial Narrow" w:hAnsi="Arial Narrow" w:cs="Arial"/>
                <w:sz w:val="20"/>
                <w:szCs w:val="20"/>
              </w:rPr>
              <w:t>62.5, 125 mg tablet, pack of 60</w:t>
            </w:r>
          </w:p>
        </w:tc>
        <w:tc>
          <w:tcPr>
            <w:tcW w:w="333" w:type="pct"/>
            <w:vMerge w:val="restart"/>
            <w:tcBorders>
              <w:top w:val="single" w:sz="4" w:space="0" w:color="auto"/>
            </w:tcBorders>
          </w:tcPr>
          <w:p w14:paraId="5A100E8E"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5618Q, 5619R, 6429J, 6430K</w:t>
            </w:r>
          </w:p>
        </w:tc>
        <w:tc>
          <w:tcPr>
            <w:tcW w:w="622" w:type="pct"/>
            <w:vMerge w:val="restart"/>
            <w:tcBorders>
              <w:top w:val="single" w:sz="4" w:space="0" w:color="auto"/>
              <w:right w:val="nil"/>
            </w:tcBorders>
          </w:tcPr>
          <w:p w14:paraId="350B30D5"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095D2DA7"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tc>
        <w:tc>
          <w:tcPr>
            <w:tcW w:w="674" w:type="pct"/>
            <w:vMerge w:val="restart"/>
            <w:tcBorders>
              <w:top w:val="single" w:sz="4" w:space="0" w:color="auto"/>
              <w:left w:val="nil"/>
            </w:tcBorders>
          </w:tcPr>
          <w:p w14:paraId="56AD2414"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$2295.43</w:t>
            </w:r>
          </w:p>
          <w:p w14:paraId="4B4DE6E3"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$2342.58</w:t>
            </w:r>
          </w:p>
        </w:tc>
        <w:tc>
          <w:tcPr>
            <w:tcW w:w="2317" w:type="pct"/>
            <w:tcBorders>
              <w:top w:val="single" w:sz="4" w:space="0" w:color="auto"/>
              <w:bottom w:val="single" w:sz="4" w:space="0" w:color="auto"/>
              <w:right w:val="nil"/>
            </w:tcBorders>
          </w:tcPr>
          <w:p w14:paraId="069F6138" w14:textId="77777777" w:rsidR="00064D19" w:rsidRPr="00FC2D2F" w:rsidRDefault="00064D19" w:rsidP="00FC2D2F">
            <w:pPr>
              <w:spacing w:before="0" w:line="240" w:lineRule="auto"/>
              <w:ind w:right="57" w:firstLine="156"/>
              <w:rPr>
                <w:rFonts w:ascii="Arial Narrow" w:hAnsi="Arial Narrow" w:cs="Arial"/>
                <w:sz w:val="20"/>
                <w:szCs w:val="20"/>
              </w:rPr>
            </w:pPr>
            <w:r w:rsidRPr="00FC2D2F">
              <w:rPr>
                <w:rFonts w:ascii="Arial Narrow" w:hAnsi="Arial Narrow" w:cs="Arial"/>
                <w:sz w:val="20"/>
                <w:szCs w:val="20"/>
              </w:rPr>
              <w:t>Initial 1 (new patients)</w:t>
            </w:r>
          </w:p>
        </w:tc>
        <w:tc>
          <w:tcPr>
            <w:tcW w:w="403" w:type="pct"/>
            <w:tcBorders>
              <w:top w:val="single" w:sz="4" w:space="0" w:color="auto"/>
              <w:left w:val="nil"/>
              <w:bottom w:val="single" w:sz="4" w:space="0" w:color="auto"/>
            </w:tcBorders>
          </w:tcPr>
          <w:p w14:paraId="2B615126"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170C5067" w14:textId="77777777" w:rsidTr="00C978EB">
        <w:tc>
          <w:tcPr>
            <w:tcW w:w="651" w:type="pct"/>
            <w:vMerge/>
          </w:tcPr>
          <w:p w14:paraId="0812EB1E"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58D299C4"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2261D311"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1DEAE501"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5760292F" w14:textId="77777777" w:rsidR="00064D19" w:rsidRPr="00FC2D2F" w:rsidRDefault="00064D19" w:rsidP="00FC2D2F">
            <w:pPr>
              <w:spacing w:before="0" w:line="240" w:lineRule="auto"/>
              <w:ind w:right="57" w:firstLine="156"/>
              <w:rPr>
                <w:rFonts w:ascii="Arial Narrow" w:hAnsi="Arial Narrow" w:cs="Arial"/>
                <w:sz w:val="20"/>
                <w:szCs w:val="20"/>
              </w:rPr>
            </w:pPr>
            <w:r w:rsidRPr="00FC2D2F">
              <w:rPr>
                <w:rFonts w:ascii="Arial Narrow" w:hAnsi="Arial Narrow" w:cs="Arial"/>
                <w:sz w:val="20"/>
                <w:szCs w:val="20"/>
              </w:rPr>
              <w:t>Initial 2 (new patients)</w:t>
            </w:r>
          </w:p>
        </w:tc>
        <w:tc>
          <w:tcPr>
            <w:tcW w:w="403" w:type="pct"/>
            <w:tcBorders>
              <w:top w:val="single" w:sz="4" w:space="0" w:color="auto"/>
              <w:left w:val="nil"/>
              <w:bottom w:val="single" w:sz="4" w:space="0" w:color="auto"/>
            </w:tcBorders>
          </w:tcPr>
          <w:p w14:paraId="1F18D767"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10AAC433" w14:textId="77777777" w:rsidTr="00C978EB">
        <w:tc>
          <w:tcPr>
            <w:tcW w:w="651" w:type="pct"/>
            <w:vMerge/>
          </w:tcPr>
          <w:p w14:paraId="4E754BEB"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04EE61AC"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4825BB28"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6A89C5CB"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4275FBE6" w14:textId="77777777" w:rsidR="00064D19" w:rsidRPr="00FC2D2F" w:rsidRDefault="00064D19" w:rsidP="00FC2D2F">
            <w:pPr>
              <w:spacing w:before="0" w:line="240" w:lineRule="auto"/>
              <w:ind w:right="57" w:firstLine="156"/>
              <w:rPr>
                <w:rFonts w:ascii="Arial Narrow" w:hAnsi="Arial Narrow" w:cs="Arial"/>
                <w:sz w:val="20"/>
                <w:szCs w:val="20"/>
              </w:rPr>
            </w:pPr>
            <w:r w:rsidRPr="00FC2D2F">
              <w:rPr>
                <w:rFonts w:ascii="Arial Narrow" w:hAnsi="Arial Narrow" w:cs="Arial"/>
                <w:sz w:val="20"/>
                <w:szCs w:val="20"/>
              </w:rPr>
              <w:t>Initial 3 (change or re-commencement of therapy for all patients)</w:t>
            </w:r>
          </w:p>
        </w:tc>
        <w:tc>
          <w:tcPr>
            <w:tcW w:w="403" w:type="pct"/>
            <w:tcBorders>
              <w:top w:val="single" w:sz="4" w:space="0" w:color="auto"/>
              <w:left w:val="nil"/>
              <w:bottom w:val="single" w:sz="4" w:space="0" w:color="auto"/>
            </w:tcBorders>
          </w:tcPr>
          <w:p w14:paraId="434D89C3"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5E1B1EEC" w14:textId="77777777" w:rsidTr="00C978EB">
        <w:tc>
          <w:tcPr>
            <w:tcW w:w="651" w:type="pct"/>
            <w:vMerge/>
          </w:tcPr>
          <w:p w14:paraId="0235A183"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5E81CEEB"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34EBED48"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59FAC0D1"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03C3EDB8"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1 or Initial 2 (new patients) or Initial 3 (change or re-commencement of therapy for all patients) or First Continuing treatment - Balance of supply</w:t>
            </w:r>
          </w:p>
        </w:tc>
        <w:tc>
          <w:tcPr>
            <w:tcW w:w="403" w:type="pct"/>
            <w:tcBorders>
              <w:top w:val="single" w:sz="4" w:space="0" w:color="auto"/>
              <w:left w:val="nil"/>
              <w:bottom w:val="single" w:sz="4" w:space="0" w:color="auto"/>
            </w:tcBorders>
          </w:tcPr>
          <w:p w14:paraId="0E834C84"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Telephone</w:t>
            </w:r>
          </w:p>
        </w:tc>
      </w:tr>
      <w:tr w:rsidR="00064D19" w:rsidRPr="002D2A0A" w14:paraId="158397BE" w14:textId="77777777" w:rsidTr="00C978EB">
        <w:tc>
          <w:tcPr>
            <w:tcW w:w="651" w:type="pct"/>
            <w:vMerge/>
          </w:tcPr>
          <w:p w14:paraId="517E1BB3"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6DF9854E"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187BF507"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6673D266"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045B907D" w14:textId="77777777" w:rsidR="00064D19" w:rsidRPr="00FC2D2F" w:rsidRDefault="00064D19" w:rsidP="00FC2D2F">
            <w:pPr>
              <w:spacing w:before="0" w:line="240" w:lineRule="auto"/>
              <w:ind w:right="57" w:firstLine="156"/>
              <w:rPr>
                <w:rFonts w:ascii="Arial Narrow" w:hAnsi="Arial Narrow" w:cs="Arial"/>
                <w:sz w:val="20"/>
                <w:szCs w:val="20"/>
              </w:rPr>
            </w:pPr>
            <w:r w:rsidRPr="00FC2D2F">
              <w:rPr>
                <w:rFonts w:ascii="Arial Narrow" w:hAnsi="Arial Narrow" w:cs="Arial"/>
                <w:sz w:val="20"/>
                <w:szCs w:val="20"/>
              </w:rPr>
              <w:t>First Continuing treatment</w:t>
            </w:r>
          </w:p>
        </w:tc>
        <w:tc>
          <w:tcPr>
            <w:tcW w:w="403" w:type="pct"/>
            <w:tcBorders>
              <w:top w:val="single" w:sz="4" w:space="0" w:color="auto"/>
              <w:left w:val="nil"/>
              <w:bottom w:val="single" w:sz="4" w:space="0" w:color="auto"/>
            </w:tcBorders>
          </w:tcPr>
          <w:p w14:paraId="47C2C16F"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04178D0E" w14:textId="77777777" w:rsidTr="00C978EB">
        <w:tc>
          <w:tcPr>
            <w:tcW w:w="651" w:type="pct"/>
            <w:vMerge/>
          </w:tcPr>
          <w:p w14:paraId="74611462"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4B57F4ED"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085C15B9"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4FBA03B7"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2E2D7573" w14:textId="77777777" w:rsidR="00064D19" w:rsidRPr="00FC2D2F" w:rsidRDefault="00064D19" w:rsidP="00FC2D2F">
            <w:pPr>
              <w:spacing w:before="0" w:line="240" w:lineRule="auto"/>
              <w:ind w:right="57" w:firstLine="156"/>
              <w:rPr>
                <w:rFonts w:ascii="Arial Narrow" w:hAnsi="Arial Narrow" w:cs="Arial"/>
                <w:sz w:val="20"/>
                <w:szCs w:val="20"/>
              </w:rPr>
            </w:pPr>
            <w:r w:rsidRPr="00FC2D2F">
              <w:rPr>
                <w:rFonts w:ascii="Arial Narrow" w:hAnsi="Arial Narrow" w:cs="Arial"/>
                <w:sz w:val="20"/>
                <w:szCs w:val="20"/>
              </w:rPr>
              <w:t>Subsequent Continuing treatment</w:t>
            </w:r>
          </w:p>
        </w:tc>
        <w:tc>
          <w:tcPr>
            <w:tcW w:w="403" w:type="pct"/>
            <w:tcBorders>
              <w:top w:val="single" w:sz="4" w:space="0" w:color="auto"/>
              <w:left w:val="nil"/>
              <w:bottom w:val="single" w:sz="4" w:space="0" w:color="auto"/>
            </w:tcBorders>
          </w:tcPr>
          <w:p w14:paraId="20FF7AD2"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 xml:space="preserve">Telephone </w:t>
            </w:r>
          </w:p>
        </w:tc>
      </w:tr>
      <w:tr w:rsidR="00064D19" w:rsidRPr="002D2A0A" w14:paraId="062AC6CD" w14:textId="77777777" w:rsidTr="00C978EB">
        <w:tc>
          <w:tcPr>
            <w:tcW w:w="651" w:type="pct"/>
            <w:vMerge/>
            <w:tcBorders>
              <w:bottom w:val="single" w:sz="4" w:space="0" w:color="auto"/>
            </w:tcBorders>
          </w:tcPr>
          <w:p w14:paraId="168AFF7F"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Borders>
              <w:bottom w:val="single" w:sz="4" w:space="0" w:color="auto"/>
            </w:tcBorders>
          </w:tcPr>
          <w:p w14:paraId="6D786175"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bottom w:val="single" w:sz="4" w:space="0" w:color="auto"/>
              <w:right w:val="nil"/>
            </w:tcBorders>
          </w:tcPr>
          <w:p w14:paraId="3E3FB9CB"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bottom w:val="single" w:sz="4" w:space="0" w:color="auto"/>
            </w:tcBorders>
          </w:tcPr>
          <w:p w14:paraId="2DC776FD"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582CA45F" w14:textId="6E144C84" w:rsidR="00064D19" w:rsidRPr="00FC2D2F" w:rsidRDefault="00064D19" w:rsidP="00FC2D2F">
            <w:pPr>
              <w:spacing w:before="0" w:line="240" w:lineRule="auto"/>
              <w:ind w:right="57" w:firstLine="156"/>
              <w:rPr>
                <w:rFonts w:ascii="Arial Narrow" w:hAnsi="Arial Narrow" w:cs="Arial"/>
                <w:sz w:val="20"/>
                <w:szCs w:val="20"/>
              </w:rPr>
            </w:pPr>
            <w:r w:rsidRPr="00FC2D2F">
              <w:rPr>
                <w:rFonts w:ascii="Arial Narrow" w:hAnsi="Arial Narrow" w:cs="Arial"/>
                <w:sz w:val="20"/>
                <w:szCs w:val="20"/>
              </w:rPr>
              <w:t>Cessation of treatment (all patients) (62.5</w:t>
            </w:r>
            <w:r w:rsidR="00067504">
              <w:rPr>
                <w:rFonts w:ascii="Arial Narrow" w:hAnsi="Arial Narrow" w:cs="Arial"/>
                <w:sz w:val="20"/>
                <w:szCs w:val="20"/>
              </w:rPr>
              <w:t xml:space="preserve"> mg</w:t>
            </w:r>
            <w:r w:rsidRPr="00FC2D2F">
              <w:rPr>
                <w:rFonts w:ascii="Arial Narrow" w:hAnsi="Arial Narrow" w:cs="Arial"/>
                <w:sz w:val="20"/>
                <w:szCs w:val="20"/>
              </w:rPr>
              <w:t xml:space="preserve"> strength only)</w:t>
            </w:r>
          </w:p>
        </w:tc>
        <w:tc>
          <w:tcPr>
            <w:tcW w:w="403" w:type="pct"/>
            <w:tcBorders>
              <w:top w:val="single" w:sz="4" w:space="0" w:color="auto"/>
              <w:left w:val="nil"/>
              <w:bottom w:val="single" w:sz="4" w:space="0" w:color="auto"/>
            </w:tcBorders>
          </w:tcPr>
          <w:p w14:paraId="43AAAFE5"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Telephone</w:t>
            </w:r>
          </w:p>
        </w:tc>
      </w:tr>
      <w:tr w:rsidR="00064D19" w:rsidRPr="002D2A0A" w14:paraId="6DC481D5" w14:textId="77777777" w:rsidTr="00C978EB">
        <w:tc>
          <w:tcPr>
            <w:tcW w:w="651" w:type="pct"/>
            <w:vMerge w:val="restart"/>
          </w:tcPr>
          <w:p w14:paraId="32195B73" w14:textId="77777777" w:rsidR="00064D19" w:rsidRPr="00FC2D2F" w:rsidRDefault="00064D19" w:rsidP="00FC2D2F">
            <w:pPr>
              <w:spacing w:before="0" w:line="240" w:lineRule="auto"/>
              <w:ind w:left="142" w:right="57"/>
              <w:rPr>
                <w:rFonts w:ascii="Arial Narrow" w:hAnsi="Arial Narrow" w:cs="Arial"/>
                <w:sz w:val="20"/>
                <w:szCs w:val="20"/>
              </w:rPr>
            </w:pPr>
            <w:r w:rsidRPr="00FC2D2F">
              <w:rPr>
                <w:rFonts w:ascii="Arial Narrow" w:hAnsi="Arial Narrow" w:cs="Arial"/>
                <w:sz w:val="20"/>
                <w:szCs w:val="20"/>
              </w:rPr>
              <w:t>AMBRISENTAN</w:t>
            </w:r>
          </w:p>
          <w:p w14:paraId="11D60E5E" w14:textId="77777777" w:rsidR="00064D19" w:rsidRPr="00FC2D2F" w:rsidRDefault="00064D19" w:rsidP="00FC2D2F">
            <w:pPr>
              <w:spacing w:before="0" w:line="240" w:lineRule="auto"/>
              <w:ind w:left="142" w:right="57"/>
              <w:rPr>
                <w:rFonts w:ascii="Arial Narrow" w:hAnsi="Arial Narrow" w:cs="Arial"/>
                <w:sz w:val="20"/>
                <w:szCs w:val="20"/>
              </w:rPr>
            </w:pPr>
            <w:r w:rsidRPr="00FC2D2F">
              <w:rPr>
                <w:rFonts w:ascii="Arial Narrow" w:hAnsi="Arial Narrow" w:cs="Arial"/>
                <w:sz w:val="20"/>
                <w:szCs w:val="20"/>
              </w:rPr>
              <w:t>5, 10 mg tablet, pack of 30</w:t>
            </w:r>
          </w:p>
        </w:tc>
        <w:tc>
          <w:tcPr>
            <w:tcW w:w="333" w:type="pct"/>
            <w:vMerge w:val="restart"/>
          </w:tcPr>
          <w:p w14:paraId="5BF1D97B"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5607D, 5608E, 9648T, 9649W</w:t>
            </w:r>
          </w:p>
        </w:tc>
        <w:tc>
          <w:tcPr>
            <w:tcW w:w="622" w:type="pct"/>
            <w:vMerge w:val="restart"/>
            <w:tcBorders>
              <w:right w:val="nil"/>
            </w:tcBorders>
          </w:tcPr>
          <w:p w14:paraId="68311966"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3EA85677"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tc>
        <w:tc>
          <w:tcPr>
            <w:tcW w:w="674" w:type="pct"/>
            <w:vMerge w:val="restart"/>
            <w:tcBorders>
              <w:left w:val="nil"/>
            </w:tcBorders>
          </w:tcPr>
          <w:p w14:paraId="5B09E919"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$2732.65</w:t>
            </w:r>
          </w:p>
          <w:p w14:paraId="26404411"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$2779.80</w:t>
            </w:r>
          </w:p>
        </w:tc>
        <w:tc>
          <w:tcPr>
            <w:tcW w:w="2317" w:type="pct"/>
            <w:tcBorders>
              <w:bottom w:val="single" w:sz="4" w:space="0" w:color="auto"/>
              <w:right w:val="nil"/>
            </w:tcBorders>
          </w:tcPr>
          <w:p w14:paraId="0A800DCE"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1 (new patients)</w:t>
            </w:r>
          </w:p>
        </w:tc>
        <w:tc>
          <w:tcPr>
            <w:tcW w:w="403" w:type="pct"/>
            <w:tcBorders>
              <w:left w:val="nil"/>
              <w:bottom w:val="single" w:sz="4" w:space="0" w:color="auto"/>
            </w:tcBorders>
          </w:tcPr>
          <w:p w14:paraId="6D9E5234"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4CE5FA5A" w14:textId="77777777" w:rsidTr="00C978EB">
        <w:tc>
          <w:tcPr>
            <w:tcW w:w="651" w:type="pct"/>
            <w:vMerge/>
          </w:tcPr>
          <w:p w14:paraId="26B5CCC7"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277DC6A3"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1F3A149D"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123583C2"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2A0C7036"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2 (new patients)</w:t>
            </w:r>
          </w:p>
        </w:tc>
        <w:tc>
          <w:tcPr>
            <w:tcW w:w="403" w:type="pct"/>
            <w:tcBorders>
              <w:top w:val="single" w:sz="4" w:space="0" w:color="auto"/>
              <w:left w:val="nil"/>
              <w:bottom w:val="single" w:sz="4" w:space="0" w:color="auto"/>
            </w:tcBorders>
          </w:tcPr>
          <w:p w14:paraId="3A398D14"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167CDE00" w14:textId="77777777" w:rsidTr="00C978EB">
        <w:tc>
          <w:tcPr>
            <w:tcW w:w="651" w:type="pct"/>
            <w:vMerge/>
          </w:tcPr>
          <w:p w14:paraId="2DC2307A"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0DCA93BC"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2F925DDA"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1D2743C6"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065FB2AA"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3 (change or re-commencement of therapy for all patients)</w:t>
            </w:r>
          </w:p>
        </w:tc>
        <w:tc>
          <w:tcPr>
            <w:tcW w:w="403" w:type="pct"/>
            <w:tcBorders>
              <w:top w:val="single" w:sz="4" w:space="0" w:color="auto"/>
              <w:left w:val="nil"/>
              <w:bottom w:val="single" w:sz="4" w:space="0" w:color="auto"/>
            </w:tcBorders>
          </w:tcPr>
          <w:p w14:paraId="2055CBEC"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6AB235AF" w14:textId="77777777" w:rsidTr="00C978EB">
        <w:tc>
          <w:tcPr>
            <w:tcW w:w="651" w:type="pct"/>
            <w:vMerge/>
          </w:tcPr>
          <w:p w14:paraId="4F5D617E"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4C720127"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4CA321F7"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295AD0AE"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1C0475C9"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1 or Initial 2 (new patients) or Initial 3 (change or re-commencement of therapy for all patients) or First Continuing treatment - Balance of supply</w:t>
            </w:r>
          </w:p>
        </w:tc>
        <w:tc>
          <w:tcPr>
            <w:tcW w:w="403" w:type="pct"/>
            <w:tcBorders>
              <w:top w:val="single" w:sz="4" w:space="0" w:color="auto"/>
              <w:left w:val="nil"/>
              <w:bottom w:val="single" w:sz="4" w:space="0" w:color="auto"/>
            </w:tcBorders>
          </w:tcPr>
          <w:p w14:paraId="722759F0"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Telephone</w:t>
            </w:r>
          </w:p>
        </w:tc>
      </w:tr>
      <w:tr w:rsidR="00064D19" w:rsidRPr="002D2A0A" w14:paraId="7E95A1E8" w14:textId="77777777" w:rsidTr="00C978EB">
        <w:tc>
          <w:tcPr>
            <w:tcW w:w="651" w:type="pct"/>
            <w:vMerge/>
          </w:tcPr>
          <w:p w14:paraId="51C2712F"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2B7D0685"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766FEC1D"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3EC1FF88"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3374ECEF"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First Continuing treatment</w:t>
            </w:r>
          </w:p>
        </w:tc>
        <w:tc>
          <w:tcPr>
            <w:tcW w:w="403" w:type="pct"/>
            <w:tcBorders>
              <w:top w:val="single" w:sz="4" w:space="0" w:color="auto"/>
              <w:left w:val="nil"/>
              <w:bottom w:val="single" w:sz="4" w:space="0" w:color="auto"/>
            </w:tcBorders>
          </w:tcPr>
          <w:p w14:paraId="27B24F36"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6961CE9E" w14:textId="77777777" w:rsidTr="00C978EB">
        <w:tc>
          <w:tcPr>
            <w:tcW w:w="651" w:type="pct"/>
            <w:vMerge/>
          </w:tcPr>
          <w:p w14:paraId="4D713293"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0AADFD75"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4FE132FE"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0D6E0AAD"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519C3E80"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Subsequent Continuing treatment</w:t>
            </w:r>
          </w:p>
        </w:tc>
        <w:tc>
          <w:tcPr>
            <w:tcW w:w="403" w:type="pct"/>
            <w:tcBorders>
              <w:top w:val="single" w:sz="4" w:space="0" w:color="auto"/>
              <w:left w:val="nil"/>
              <w:bottom w:val="single" w:sz="4" w:space="0" w:color="auto"/>
            </w:tcBorders>
          </w:tcPr>
          <w:p w14:paraId="7216A26B"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 xml:space="preserve">Telephone </w:t>
            </w:r>
          </w:p>
        </w:tc>
      </w:tr>
      <w:tr w:rsidR="00064D19" w:rsidRPr="002D2A0A" w14:paraId="50D88ECB" w14:textId="77777777" w:rsidTr="00C978EB">
        <w:tc>
          <w:tcPr>
            <w:tcW w:w="651" w:type="pct"/>
            <w:vMerge w:val="restart"/>
          </w:tcPr>
          <w:p w14:paraId="68406507" w14:textId="77777777" w:rsidR="00064D19" w:rsidRPr="00FC2D2F" w:rsidRDefault="00064D19" w:rsidP="00FC2D2F">
            <w:pPr>
              <w:spacing w:before="0" w:line="240" w:lineRule="auto"/>
              <w:ind w:left="142" w:right="57"/>
              <w:rPr>
                <w:rFonts w:ascii="Arial Narrow" w:hAnsi="Arial Narrow" w:cs="Arial"/>
                <w:sz w:val="20"/>
                <w:szCs w:val="20"/>
              </w:rPr>
            </w:pPr>
            <w:r w:rsidRPr="00FC2D2F">
              <w:rPr>
                <w:rFonts w:ascii="Arial Narrow" w:hAnsi="Arial Narrow" w:cs="Arial"/>
                <w:sz w:val="20"/>
                <w:szCs w:val="20"/>
              </w:rPr>
              <w:t>MACITENTAN</w:t>
            </w:r>
          </w:p>
          <w:p w14:paraId="0970B163" w14:textId="77777777" w:rsidR="00064D19" w:rsidRPr="00FC2D2F" w:rsidRDefault="00064D19" w:rsidP="00FC2D2F">
            <w:pPr>
              <w:spacing w:before="0" w:line="240" w:lineRule="auto"/>
              <w:ind w:left="142" w:right="57"/>
              <w:rPr>
                <w:rFonts w:ascii="Arial Narrow" w:hAnsi="Arial Narrow" w:cs="Arial"/>
                <w:sz w:val="20"/>
                <w:szCs w:val="20"/>
              </w:rPr>
            </w:pPr>
            <w:r w:rsidRPr="00FC2D2F">
              <w:rPr>
                <w:rFonts w:ascii="Arial Narrow" w:hAnsi="Arial Narrow" w:cs="Arial"/>
                <w:sz w:val="20"/>
                <w:szCs w:val="20"/>
              </w:rPr>
              <w:t>10 mg tablet, pack of 30</w:t>
            </w:r>
          </w:p>
        </w:tc>
        <w:tc>
          <w:tcPr>
            <w:tcW w:w="333" w:type="pct"/>
            <w:vMerge w:val="restart"/>
          </w:tcPr>
          <w:p w14:paraId="4351CF66"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10134J, 10136L</w:t>
            </w:r>
          </w:p>
        </w:tc>
        <w:tc>
          <w:tcPr>
            <w:tcW w:w="622" w:type="pct"/>
            <w:vMerge w:val="restart"/>
            <w:tcBorders>
              <w:right w:val="nil"/>
            </w:tcBorders>
          </w:tcPr>
          <w:p w14:paraId="348E4AE1"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51DB76E0"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tc>
        <w:tc>
          <w:tcPr>
            <w:tcW w:w="674" w:type="pct"/>
            <w:vMerge w:val="restart"/>
            <w:tcBorders>
              <w:left w:val="nil"/>
            </w:tcBorders>
          </w:tcPr>
          <w:p w14:paraId="6B6C40BF"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$2876.47</w:t>
            </w:r>
          </w:p>
          <w:p w14:paraId="32FCC344"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$2923.62</w:t>
            </w:r>
          </w:p>
        </w:tc>
        <w:tc>
          <w:tcPr>
            <w:tcW w:w="2317" w:type="pct"/>
            <w:tcBorders>
              <w:bottom w:val="single" w:sz="4" w:space="0" w:color="auto"/>
              <w:right w:val="nil"/>
            </w:tcBorders>
          </w:tcPr>
          <w:p w14:paraId="25DBE67D"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1 (new patients)</w:t>
            </w:r>
          </w:p>
        </w:tc>
        <w:tc>
          <w:tcPr>
            <w:tcW w:w="403" w:type="pct"/>
            <w:tcBorders>
              <w:left w:val="nil"/>
              <w:bottom w:val="single" w:sz="4" w:space="0" w:color="auto"/>
            </w:tcBorders>
          </w:tcPr>
          <w:p w14:paraId="00261AA3"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0FFBE2F7" w14:textId="77777777" w:rsidTr="00C978EB">
        <w:tc>
          <w:tcPr>
            <w:tcW w:w="651" w:type="pct"/>
            <w:vMerge/>
          </w:tcPr>
          <w:p w14:paraId="1EEAE8B4"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34EDF2EB"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278CFDAF"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66ECF405"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2B5A4EAA"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2 (new patients)</w:t>
            </w:r>
          </w:p>
        </w:tc>
        <w:tc>
          <w:tcPr>
            <w:tcW w:w="403" w:type="pct"/>
            <w:tcBorders>
              <w:top w:val="single" w:sz="4" w:space="0" w:color="auto"/>
              <w:left w:val="nil"/>
              <w:bottom w:val="single" w:sz="4" w:space="0" w:color="auto"/>
            </w:tcBorders>
          </w:tcPr>
          <w:p w14:paraId="4288AA59"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0934CFD5" w14:textId="77777777" w:rsidTr="00C978EB">
        <w:tc>
          <w:tcPr>
            <w:tcW w:w="651" w:type="pct"/>
            <w:vMerge/>
          </w:tcPr>
          <w:p w14:paraId="4D3ECDE9"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7D6E359D"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080BBD4D"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4569F0CA"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0C47499B"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3 (change or re-commencement of therapy for all patients)</w:t>
            </w:r>
          </w:p>
        </w:tc>
        <w:tc>
          <w:tcPr>
            <w:tcW w:w="403" w:type="pct"/>
            <w:tcBorders>
              <w:top w:val="single" w:sz="4" w:space="0" w:color="auto"/>
              <w:left w:val="nil"/>
              <w:bottom w:val="single" w:sz="4" w:space="0" w:color="auto"/>
            </w:tcBorders>
          </w:tcPr>
          <w:p w14:paraId="25DF7915"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05C7F3DB" w14:textId="77777777" w:rsidTr="00C978EB">
        <w:tc>
          <w:tcPr>
            <w:tcW w:w="651" w:type="pct"/>
            <w:vMerge/>
          </w:tcPr>
          <w:p w14:paraId="4A15D081"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41ECD28F"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35568ECB"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54B0C93A"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1D249ADA"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1 or Initial 2 (new patients) or Initial 3 (change or re-commencement of therapy for all patients) or First Continuing treatment - Balance of supply</w:t>
            </w:r>
          </w:p>
        </w:tc>
        <w:tc>
          <w:tcPr>
            <w:tcW w:w="403" w:type="pct"/>
            <w:tcBorders>
              <w:top w:val="single" w:sz="4" w:space="0" w:color="auto"/>
              <w:left w:val="nil"/>
              <w:bottom w:val="single" w:sz="4" w:space="0" w:color="auto"/>
            </w:tcBorders>
          </w:tcPr>
          <w:p w14:paraId="20555C70"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Telephone</w:t>
            </w:r>
          </w:p>
        </w:tc>
      </w:tr>
      <w:tr w:rsidR="00064D19" w:rsidRPr="002D2A0A" w14:paraId="7ECEF8BE" w14:textId="77777777" w:rsidTr="00C978EB">
        <w:tc>
          <w:tcPr>
            <w:tcW w:w="651" w:type="pct"/>
            <w:vMerge/>
          </w:tcPr>
          <w:p w14:paraId="62E2D0C1"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326F5ECC"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7594740D"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5B34FC8D"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1AC9815F"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First Continuing treatment</w:t>
            </w:r>
          </w:p>
        </w:tc>
        <w:tc>
          <w:tcPr>
            <w:tcW w:w="403" w:type="pct"/>
            <w:tcBorders>
              <w:top w:val="single" w:sz="4" w:space="0" w:color="auto"/>
              <w:left w:val="nil"/>
              <w:bottom w:val="single" w:sz="4" w:space="0" w:color="auto"/>
            </w:tcBorders>
          </w:tcPr>
          <w:p w14:paraId="3F74CC50"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6F26135B" w14:textId="77777777" w:rsidTr="00C978EB">
        <w:tc>
          <w:tcPr>
            <w:tcW w:w="651" w:type="pct"/>
            <w:vMerge/>
          </w:tcPr>
          <w:p w14:paraId="65298F80"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067312B8"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07A1E1EE"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68652D11"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0C7EDB91"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Subsequent Continuing treatment</w:t>
            </w:r>
          </w:p>
        </w:tc>
        <w:tc>
          <w:tcPr>
            <w:tcW w:w="403" w:type="pct"/>
            <w:tcBorders>
              <w:top w:val="single" w:sz="4" w:space="0" w:color="auto"/>
              <w:left w:val="nil"/>
              <w:bottom w:val="single" w:sz="4" w:space="0" w:color="auto"/>
            </w:tcBorders>
          </w:tcPr>
          <w:p w14:paraId="79B9FCD9"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 xml:space="preserve">Telephone </w:t>
            </w:r>
          </w:p>
        </w:tc>
      </w:tr>
      <w:tr w:rsidR="00064D19" w:rsidRPr="002D2A0A" w14:paraId="06439300" w14:textId="77777777" w:rsidTr="00C978EB">
        <w:trPr>
          <w:trHeight w:val="75"/>
        </w:trPr>
        <w:tc>
          <w:tcPr>
            <w:tcW w:w="651" w:type="pct"/>
            <w:vMerge w:val="restart"/>
          </w:tcPr>
          <w:p w14:paraId="22C17416" w14:textId="77777777" w:rsidR="00064D19" w:rsidRPr="00FC2D2F" w:rsidRDefault="00064D19" w:rsidP="00FC2D2F">
            <w:pPr>
              <w:spacing w:before="0" w:line="240" w:lineRule="auto"/>
              <w:ind w:left="142" w:right="57"/>
              <w:rPr>
                <w:rFonts w:ascii="Arial Narrow" w:hAnsi="Arial Narrow" w:cs="Arial"/>
                <w:sz w:val="20"/>
                <w:szCs w:val="20"/>
              </w:rPr>
            </w:pPr>
            <w:r w:rsidRPr="00FC2D2F">
              <w:rPr>
                <w:rFonts w:ascii="Arial Narrow" w:hAnsi="Arial Narrow" w:cs="Arial"/>
                <w:sz w:val="20"/>
                <w:szCs w:val="20"/>
              </w:rPr>
              <w:t>SILDENAFIL</w:t>
            </w:r>
          </w:p>
          <w:p w14:paraId="728F245D" w14:textId="77777777" w:rsidR="00064D19" w:rsidRPr="00FC2D2F" w:rsidRDefault="00064D19" w:rsidP="00FC2D2F">
            <w:pPr>
              <w:spacing w:before="0" w:line="240" w:lineRule="auto"/>
              <w:ind w:left="142" w:right="57"/>
              <w:rPr>
                <w:rFonts w:ascii="Arial Narrow" w:hAnsi="Arial Narrow" w:cs="Arial"/>
                <w:sz w:val="20"/>
                <w:szCs w:val="20"/>
              </w:rPr>
            </w:pPr>
            <w:r w:rsidRPr="00FC2D2F">
              <w:rPr>
                <w:rFonts w:ascii="Arial Narrow" w:hAnsi="Arial Narrow" w:cs="Arial"/>
                <w:sz w:val="20"/>
                <w:szCs w:val="20"/>
              </w:rPr>
              <w:t>20 mg tablet, pack of 90</w:t>
            </w:r>
          </w:p>
        </w:tc>
        <w:tc>
          <w:tcPr>
            <w:tcW w:w="333" w:type="pct"/>
            <w:vMerge w:val="restart"/>
          </w:tcPr>
          <w:p w14:paraId="787302B6"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9547L, 9605M</w:t>
            </w:r>
          </w:p>
        </w:tc>
        <w:tc>
          <w:tcPr>
            <w:tcW w:w="622" w:type="pct"/>
            <w:vMerge w:val="restart"/>
            <w:tcBorders>
              <w:right w:val="nil"/>
            </w:tcBorders>
          </w:tcPr>
          <w:p w14:paraId="6F3BF4EE"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6A302F31"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tc>
        <w:tc>
          <w:tcPr>
            <w:tcW w:w="674" w:type="pct"/>
            <w:vMerge w:val="restart"/>
            <w:tcBorders>
              <w:left w:val="nil"/>
            </w:tcBorders>
          </w:tcPr>
          <w:p w14:paraId="558F57D2"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$319.72</w:t>
            </w:r>
          </w:p>
          <w:p w14:paraId="7728F824"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$339.66</w:t>
            </w:r>
          </w:p>
        </w:tc>
        <w:tc>
          <w:tcPr>
            <w:tcW w:w="2317" w:type="pct"/>
            <w:tcBorders>
              <w:bottom w:val="single" w:sz="4" w:space="0" w:color="auto"/>
              <w:right w:val="nil"/>
            </w:tcBorders>
          </w:tcPr>
          <w:p w14:paraId="79C469A5"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Treatment Phase: Initial 1 (new patients)</w:t>
            </w:r>
          </w:p>
        </w:tc>
        <w:tc>
          <w:tcPr>
            <w:tcW w:w="403" w:type="pct"/>
            <w:tcBorders>
              <w:left w:val="nil"/>
              <w:bottom w:val="single" w:sz="4" w:space="0" w:color="auto"/>
            </w:tcBorders>
          </w:tcPr>
          <w:p w14:paraId="7F15E6C8"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59184F26" w14:textId="77777777" w:rsidTr="00C978EB">
        <w:trPr>
          <w:trHeight w:val="70"/>
        </w:trPr>
        <w:tc>
          <w:tcPr>
            <w:tcW w:w="651" w:type="pct"/>
            <w:vMerge/>
          </w:tcPr>
          <w:p w14:paraId="696B22B7"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4E1FBDC4"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32BFE8A3"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074C864B"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1DC88CE4"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2 (new patients)</w:t>
            </w:r>
          </w:p>
        </w:tc>
        <w:tc>
          <w:tcPr>
            <w:tcW w:w="403" w:type="pct"/>
            <w:tcBorders>
              <w:top w:val="single" w:sz="4" w:space="0" w:color="auto"/>
              <w:left w:val="nil"/>
              <w:bottom w:val="single" w:sz="4" w:space="0" w:color="auto"/>
            </w:tcBorders>
          </w:tcPr>
          <w:p w14:paraId="31D1CFA9"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0EAC93DD" w14:textId="77777777" w:rsidTr="00C978EB">
        <w:trPr>
          <w:trHeight w:val="70"/>
        </w:trPr>
        <w:tc>
          <w:tcPr>
            <w:tcW w:w="651" w:type="pct"/>
            <w:vMerge/>
          </w:tcPr>
          <w:p w14:paraId="14A14CF5"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0B1218EA"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50528E8A"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0A33338E"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694D85E1"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3 (change or re-commencement of therapy for all patients)</w:t>
            </w:r>
          </w:p>
        </w:tc>
        <w:tc>
          <w:tcPr>
            <w:tcW w:w="403" w:type="pct"/>
            <w:tcBorders>
              <w:top w:val="single" w:sz="4" w:space="0" w:color="auto"/>
              <w:left w:val="nil"/>
              <w:bottom w:val="single" w:sz="4" w:space="0" w:color="auto"/>
            </w:tcBorders>
          </w:tcPr>
          <w:p w14:paraId="5E160AE3"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75AA12E2" w14:textId="77777777" w:rsidTr="00C978EB">
        <w:trPr>
          <w:trHeight w:val="70"/>
        </w:trPr>
        <w:tc>
          <w:tcPr>
            <w:tcW w:w="651" w:type="pct"/>
            <w:vMerge/>
          </w:tcPr>
          <w:p w14:paraId="0DB14042"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63FAD594"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28E0720C"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458403AF"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748E3BCB"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1 or Initial 2 (new patients) or Initial 3 (change or re-commencement of therapy for all patients) or First Continuing treatment - Balance of supply</w:t>
            </w:r>
          </w:p>
        </w:tc>
        <w:tc>
          <w:tcPr>
            <w:tcW w:w="403" w:type="pct"/>
            <w:tcBorders>
              <w:top w:val="single" w:sz="4" w:space="0" w:color="auto"/>
              <w:left w:val="nil"/>
              <w:bottom w:val="single" w:sz="4" w:space="0" w:color="auto"/>
            </w:tcBorders>
          </w:tcPr>
          <w:p w14:paraId="0F98D82E"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 xml:space="preserve">Telephone </w:t>
            </w:r>
          </w:p>
        </w:tc>
      </w:tr>
      <w:tr w:rsidR="00064D19" w:rsidRPr="002D2A0A" w14:paraId="62E32863" w14:textId="77777777" w:rsidTr="00C978EB">
        <w:trPr>
          <w:trHeight w:val="70"/>
        </w:trPr>
        <w:tc>
          <w:tcPr>
            <w:tcW w:w="651" w:type="pct"/>
            <w:vMerge/>
          </w:tcPr>
          <w:p w14:paraId="18A34E75"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4C0596C6"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0D761395"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05D9F2F4"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154A3A7C"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First Continuing treatment</w:t>
            </w:r>
          </w:p>
        </w:tc>
        <w:tc>
          <w:tcPr>
            <w:tcW w:w="403" w:type="pct"/>
            <w:tcBorders>
              <w:top w:val="single" w:sz="4" w:space="0" w:color="auto"/>
              <w:left w:val="nil"/>
              <w:bottom w:val="single" w:sz="4" w:space="0" w:color="auto"/>
            </w:tcBorders>
          </w:tcPr>
          <w:p w14:paraId="5BB2513B"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7B2D73C4" w14:textId="77777777" w:rsidTr="00C978EB">
        <w:trPr>
          <w:trHeight w:val="241"/>
        </w:trPr>
        <w:tc>
          <w:tcPr>
            <w:tcW w:w="651" w:type="pct"/>
            <w:vMerge/>
          </w:tcPr>
          <w:p w14:paraId="3F9143A5"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42DCD713"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2D33CE58"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377FC2A9"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right w:val="nil"/>
            </w:tcBorders>
          </w:tcPr>
          <w:p w14:paraId="3B5BAC2E"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Subsequent Continuing treatment</w:t>
            </w:r>
          </w:p>
        </w:tc>
        <w:tc>
          <w:tcPr>
            <w:tcW w:w="403" w:type="pct"/>
            <w:tcBorders>
              <w:top w:val="single" w:sz="4" w:space="0" w:color="auto"/>
              <w:left w:val="nil"/>
            </w:tcBorders>
          </w:tcPr>
          <w:p w14:paraId="46E931EF"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 xml:space="preserve">Telephone </w:t>
            </w:r>
          </w:p>
        </w:tc>
      </w:tr>
      <w:tr w:rsidR="00064D19" w:rsidRPr="002D2A0A" w14:paraId="581B74D7" w14:textId="77777777" w:rsidTr="00C978EB">
        <w:tc>
          <w:tcPr>
            <w:tcW w:w="651" w:type="pct"/>
            <w:vMerge w:val="restart"/>
          </w:tcPr>
          <w:p w14:paraId="19BF0D28" w14:textId="77777777" w:rsidR="00064D19" w:rsidRPr="00FC2D2F" w:rsidRDefault="00064D19" w:rsidP="00FC2D2F">
            <w:pPr>
              <w:keepNext/>
              <w:spacing w:before="0" w:line="240" w:lineRule="auto"/>
              <w:ind w:left="142" w:right="57"/>
              <w:rPr>
                <w:rFonts w:ascii="Arial Narrow" w:hAnsi="Arial Narrow" w:cs="Arial"/>
                <w:sz w:val="20"/>
                <w:szCs w:val="20"/>
              </w:rPr>
            </w:pPr>
            <w:r w:rsidRPr="00FC2D2F">
              <w:rPr>
                <w:rFonts w:ascii="Arial Narrow" w:hAnsi="Arial Narrow" w:cs="Arial"/>
                <w:sz w:val="20"/>
                <w:szCs w:val="20"/>
              </w:rPr>
              <w:lastRenderedPageBreak/>
              <w:t>TADALAFIL</w:t>
            </w:r>
          </w:p>
          <w:p w14:paraId="5168812F" w14:textId="77777777" w:rsidR="00064D19" w:rsidRPr="00FC2D2F" w:rsidRDefault="00064D19" w:rsidP="00FC2D2F">
            <w:pPr>
              <w:keepNext/>
              <w:spacing w:before="0" w:line="240" w:lineRule="auto"/>
              <w:ind w:left="142" w:right="57"/>
              <w:rPr>
                <w:rFonts w:ascii="Arial Narrow" w:hAnsi="Arial Narrow" w:cs="Arial"/>
                <w:sz w:val="20"/>
                <w:szCs w:val="20"/>
              </w:rPr>
            </w:pPr>
            <w:r w:rsidRPr="00FC2D2F">
              <w:rPr>
                <w:rFonts w:ascii="Arial Narrow" w:hAnsi="Arial Narrow" w:cs="Arial"/>
                <w:sz w:val="20"/>
                <w:szCs w:val="20"/>
              </w:rPr>
              <w:t xml:space="preserve">20 </w:t>
            </w:r>
            <w:bookmarkStart w:id="319" w:name="_GoBack"/>
            <w:r w:rsidRPr="00FC2D2F">
              <w:rPr>
                <w:rFonts w:ascii="Arial Narrow" w:hAnsi="Arial Narrow" w:cs="Arial"/>
                <w:sz w:val="20"/>
                <w:szCs w:val="20"/>
              </w:rPr>
              <w:t>mg</w:t>
            </w:r>
            <w:bookmarkEnd w:id="319"/>
            <w:r w:rsidRPr="00FC2D2F">
              <w:rPr>
                <w:rFonts w:ascii="Arial Narrow" w:hAnsi="Arial Narrow" w:cs="Arial"/>
                <w:sz w:val="20"/>
                <w:szCs w:val="20"/>
              </w:rPr>
              <w:t xml:space="preserve"> tablet, pack of 56</w:t>
            </w:r>
          </w:p>
        </w:tc>
        <w:tc>
          <w:tcPr>
            <w:tcW w:w="333" w:type="pct"/>
            <w:vMerge w:val="restart"/>
          </w:tcPr>
          <w:p w14:paraId="3130D71F" w14:textId="77777777" w:rsidR="00064D19" w:rsidRPr="00FC2D2F" w:rsidRDefault="00064D19" w:rsidP="00FC2D2F">
            <w:pPr>
              <w:keepNext/>
              <w:spacing w:before="0" w:line="240" w:lineRule="auto"/>
              <w:ind w:right="57"/>
              <w:jc w:val="center"/>
              <w:rPr>
                <w:rFonts w:ascii="Arial Narrow" w:hAnsi="Arial Narrow" w:cs="Arial"/>
                <w:sz w:val="20"/>
                <w:szCs w:val="20"/>
              </w:rPr>
            </w:pPr>
            <w:r w:rsidRPr="00FC2D2F">
              <w:rPr>
                <w:rFonts w:ascii="Arial Narrow" w:hAnsi="Arial Narrow" w:cs="Arial"/>
                <w:sz w:val="20"/>
                <w:szCs w:val="20"/>
              </w:rPr>
              <w:t>1304P, 1308W</w:t>
            </w:r>
          </w:p>
        </w:tc>
        <w:tc>
          <w:tcPr>
            <w:tcW w:w="622" w:type="pct"/>
            <w:vMerge w:val="restart"/>
            <w:tcBorders>
              <w:right w:val="nil"/>
            </w:tcBorders>
          </w:tcPr>
          <w:p w14:paraId="39B97B15" w14:textId="77777777" w:rsidR="00064D19" w:rsidRPr="00FC2D2F" w:rsidRDefault="00064D19" w:rsidP="00FC2D2F">
            <w:pPr>
              <w:keepNext/>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1BB39EA9" w14:textId="77777777" w:rsidR="00064D19" w:rsidRPr="00FC2D2F" w:rsidRDefault="00064D19" w:rsidP="00FC2D2F">
            <w:pPr>
              <w:keepNext/>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tc>
        <w:tc>
          <w:tcPr>
            <w:tcW w:w="674" w:type="pct"/>
            <w:vMerge w:val="restart"/>
            <w:tcBorders>
              <w:left w:val="nil"/>
            </w:tcBorders>
          </w:tcPr>
          <w:p w14:paraId="54DA7E8D" w14:textId="77777777" w:rsidR="00064D19" w:rsidRPr="00FC2D2F" w:rsidRDefault="00064D19" w:rsidP="00121658">
            <w:pPr>
              <w:keepNext/>
              <w:spacing w:before="0" w:line="240" w:lineRule="auto"/>
              <w:ind w:right="57"/>
              <w:rPr>
                <w:rFonts w:ascii="Arial Narrow" w:hAnsi="Arial Narrow" w:cs="Arial"/>
                <w:sz w:val="20"/>
                <w:szCs w:val="20"/>
              </w:rPr>
            </w:pPr>
            <w:r w:rsidRPr="00FC2D2F">
              <w:rPr>
                <w:rFonts w:ascii="Arial Narrow" w:hAnsi="Arial Narrow" w:cs="Arial"/>
                <w:sz w:val="20"/>
                <w:szCs w:val="20"/>
              </w:rPr>
              <w:t>$796.60</w:t>
            </w:r>
          </w:p>
          <w:p w14:paraId="5D35DA29" w14:textId="77777777" w:rsidR="00064D19" w:rsidRPr="00FC2D2F" w:rsidRDefault="00064D19" w:rsidP="00121658">
            <w:pPr>
              <w:keepNext/>
              <w:spacing w:before="0" w:line="240" w:lineRule="auto"/>
              <w:ind w:right="57"/>
              <w:rPr>
                <w:rFonts w:ascii="Arial Narrow" w:hAnsi="Arial Narrow" w:cs="Arial"/>
                <w:sz w:val="20"/>
                <w:szCs w:val="20"/>
              </w:rPr>
            </w:pPr>
            <w:r w:rsidRPr="00FC2D2F">
              <w:rPr>
                <w:rFonts w:ascii="Arial Narrow" w:hAnsi="Arial Narrow" w:cs="Arial"/>
                <w:sz w:val="20"/>
                <w:szCs w:val="20"/>
              </w:rPr>
              <w:t>$835.61</w:t>
            </w:r>
          </w:p>
        </w:tc>
        <w:tc>
          <w:tcPr>
            <w:tcW w:w="2317" w:type="pct"/>
            <w:tcBorders>
              <w:bottom w:val="single" w:sz="4" w:space="0" w:color="auto"/>
              <w:right w:val="nil"/>
            </w:tcBorders>
          </w:tcPr>
          <w:p w14:paraId="75FF4928"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1 (new patients)</w:t>
            </w:r>
          </w:p>
        </w:tc>
        <w:tc>
          <w:tcPr>
            <w:tcW w:w="403" w:type="pct"/>
            <w:tcBorders>
              <w:left w:val="nil"/>
              <w:bottom w:val="single" w:sz="4" w:space="0" w:color="auto"/>
            </w:tcBorders>
          </w:tcPr>
          <w:p w14:paraId="5DA683CF" w14:textId="77777777" w:rsidR="00064D19" w:rsidRPr="00FC2D2F" w:rsidRDefault="00064D19" w:rsidP="00121658">
            <w:pPr>
              <w:keepNext/>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7BA32374" w14:textId="77777777" w:rsidTr="00C978EB">
        <w:tc>
          <w:tcPr>
            <w:tcW w:w="651" w:type="pct"/>
            <w:vMerge/>
          </w:tcPr>
          <w:p w14:paraId="305E3160"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2898FE7A"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1067568E"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67703CF5"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57DF65C2"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2 (new patients)</w:t>
            </w:r>
          </w:p>
        </w:tc>
        <w:tc>
          <w:tcPr>
            <w:tcW w:w="403" w:type="pct"/>
            <w:tcBorders>
              <w:top w:val="single" w:sz="4" w:space="0" w:color="auto"/>
              <w:left w:val="nil"/>
              <w:bottom w:val="single" w:sz="4" w:space="0" w:color="auto"/>
            </w:tcBorders>
          </w:tcPr>
          <w:p w14:paraId="304FACC1"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602939A0" w14:textId="77777777" w:rsidTr="00C978EB">
        <w:tc>
          <w:tcPr>
            <w:tcW w:w="651" w:type="pct"/>
            <w:vMerge/>
          </w:tcPr>
          <w:p w14:paraId="3C9413F3"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17CE2008"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59AF82B6"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3D36559C"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687F252D"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3 (change or re-commencement of therapy for all patients)</w:t>
            </w:r>
          </w:p>
        </w:tc>
        <w:tc>
          <w:tcPr>
            <w:tcW w:w="403" w:type="pct"/>
            <w:tcBorders>
              <w:top w:val="single" w:sz="4" w:space="0" w:color="auto"/>
              <w:left w:val="nil"/>
              <w:bottom w:val="single" w:sz="4" w:space="0" w:color="auto"/>
            </w:tcBorders>
          </w:tcPr>
          <w:p w14:paraId="70C21193"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30511547" w14:textId="77777777" w:rsidTr="00C978EB">
        <w:tc>
          <w:tcPr>
            <w:tcW w:w="651" w:type="pct"/>
            <w:vMerge/>
          </w:tcPr>
          <w:p w14:paraId="28948778"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651DBFFD"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415B2BFF"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61B39C5E"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4282ADF8"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1 or Initial 2 (new patients) or Initial 3 (change or re-commencement of therapy for all patients) or First Continuing treatment - Balance of supply</w:t>
            </w:r>
          </w:p>
        </w:tc>
        <w:tc>
          <w:tcPr>
            <w:tcW w:w="403" w:type="pct"/>
            <w:tcBorders>
              <w:top w:val="single" w:sz="4" w:space="0" w:color="auto"/>
              <w:left w:val="nil"/>
              <w:bottom w:val="single" w:sz="4" w:space="0" w:color="auto"/>
            </w:tcBorders>
          </w:tcPr>
          <w:p w14:paraId="2A58EB8C"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 xml:space="preserve">Telephone </w:t>
            </w:r>
          </w:p>
        </w:tc>
      </w:tr>
      <w:tr w:rsidR="00064D19" w:rsidRPr="002D2A0A" w14:paraId="4777D333" w14:textId="77777777" w:rsidTr="00C978EB">
        <w:tc>
          <w:tcPr>
            <w:tcW w:w="651" w:type="pct"/>
            <w:vMerge/>
          </w:tcPr>
          <w:p w14:paraId="31AA2035"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66A25BCE"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7DA8E3C5"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5336F905"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7EFC29C7"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First Continuing treatment</w:t>
            </w:r>
          </w:p>
        </w:tc>
        <w:tc>
          <w:tcPr>
            <w:tcW w:w="403" w:type="pct"/>
            <w:tcBorders>
              <w:top w:val="single" w:sz="4" w:space="0" w:color="auto"/>
              <w:left w:val="nil"/>
              <w:bottom w:val="single" w:sz="4" w:space="0" w:color="auto"/>
            </w:tcBorders>
          </w:tcPr>
          <w:p w14:paraId="2ADBA5E4"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13EC60E2" w14:textId="77777777" w:rsidTr="00C978EB">
        <w:tc>
          <w:tcPr>
            <w:tcW w:w="651" w:type="pct"/>
            <w:vMerge/>
          </w:tcPr>
          <w:p w14:paraId="5AEE2E48"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7E72696D"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064382AC"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66F8AE90"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6D4DBF59"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Subsequent Continuing treatment</w:t>
            </w:r>
          </w:p>
        </w:tc>
        <w:tc>
          <w:tcPr>
            <w:tcW w:w="403" w:type="pct"/>
            <w:tcBorders>
              <w:top w:val="single" w:sz="4" w:space="0" w:color="auto"/>
              <w:left w:val="nil"/>
              <w:bottom w:val="single" w:sz="4" w:space="0" w:color="auto"/>
            </w:tcBorders>
          </w:tcPr>
          <w:p w14:paraId="5AB2AEE5"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 xml:space="preserve">Telephone </w:t>
            </w:r>
          </w:p>
        </w:tc>
      </w:tr>
      <w:tr w:rsidR="00064D19" w:rsidRPr="002D2A0A" w14:paraId="25100BC8" w14:textId="77777777" w:rsidTr="00C978EB">
        <w:tc>
          <w:tcPr>
            <w:tcW w:w="651" w:type="pct"/>
            <w:vMerge w:val="restart"/>
          </w:tcPr>
          <w:p w14:paraId="6E4D81D6" w14:textId="77777777" w:rsidR="00064D19" w:rsidRPr="00FC2D2F" w:rsidRDefault="00064D19" w:rsidP="00FC2D2F">
            <w:pPr>
              <w:spacing w:before="0" w:line="240" w:lineRule="auto"/>
              <w:ind w:left="142" w:right="57"/>
              <w:rPr>
                <w:rFonts w:ascii="Arial Narrow" w:hAnsi="Arial Narrow" w:cs="Arial"/>
                <w:sz w:val="20"/>
                <w:szCs w:val="20"/>
              </w:rPr>
            </w:pPr>
            <w:r w:rsidRPr="00FC2D2F">
              <w:rPr>
                <w:rFonts w:ascii="Arial Narrow" w:hAnsi="Arial Narrow" w:cs="Arial"/>
                <w:sz w:val="20"/>
                <w:szCs w:val="20"/>
              </w:rPr>
              <w:t>EPOPROSTENOL</w:t>
            </w:r>
          </w:p>
          <w:p w14:paraId="2E7AD060" w14:textId="77777777" w:rsidR="00064D19" w:rsidRPr="00FC2D2F" w:rsidRDefault="00064D19" w:rsidP="00FC2D2F">
            <w:pPr>
              <w:spacing w:before="0" w:line="240" w:lineRule="auto"/>
              <w:ind w:left="142" w:right="57"/>
              <w:rPr>
                <w:rFonts w:ascii="Arial Narrow" w:hAnsi="Arial Narrow" w:cs="Arial"/>
                <w:sz w:val="20"/>
                <w:szCs w:val="20"/>
              </w:rPr>
            </w:pPr>
            <w:r w:rsidRPr="00FC2D2F">
              <w:rPr>
                <w:rFonts w:ascii="Arial Narrow" w:hAnsi="Arial Narrow" w:cs="Arial"/>
                <w:sz w:val="20"/>
                <w:szCs w:val="20"/>
              </w:rPr>
              <w:t>500 µg, 1.5 mg injection, 1 vial (</w:t>
            </w:r>
            <w:proofErr w:type="spellStart"/>
            <w:r w:rsidRPr="00FC2D2F">
              <w:rPr>
                <w:rFonts w:ascii="Arial Narrow" w:hAnsi="Arial Narrow" w:cs="Arial"/>
                <w:sz w:val="20"/>
                <w:szCs w:val="20"/>
              </w:rPr>
              <w:t>Veletri</w:t>
            </w:r>
            <w:proofErr w:type="spellEnd"/>
            <w:r w:rsidR="00252749" w:rsidRPr="00FC2D2F">
              <w:rPr>
                <w:rFonts w:ascii="Arial Narrow" w:hAnsi="Arial Narrow" w:cs="Arial"/>
                <w:b/>
                <w:sz w:val="20"/>
                <w:szCs w:val="20"/>
                <w:u w:val="single"/>
                <w:vertAlign w:val="superscript"/>
              </w:rPr>
              <w:t>®</w:t>
            </w:r>
            <w:r w:rsidRPr="00FC2D2F">
              <w:rPr>
                <w:rFonts w:ascii="Arial Narrow" w:hAnsi="Arial Narrow" w:cs="Arial"/>
                <w:sz w:val="20"/>
                <w:szCs w:val="20"/>
              </w:rPr>
              <w:t>)</w:t>
            </w:r>
          </w:p>
          <w:p w14:paraId="3898C06D" w14:textId="77777777" w:rsidR="00064D19" w:rsidRPr="00FC2D2F" w:rsidRDefault="00064D19" w:rsidP="00FC2D2F">
            <w:pPr>
              <w:spacing w:before="0" w:line="240" w:lineRule="auto"/>
              <w:ind w:left="142" w:right="57"/>
              <w:rPr>
                <w:rFonts w:ascii="Arial Narrow" w:hAnsi="Arial Narrow" w:cs="Arial"/>
                <w:sz w:val="20"/>
                <w:szCs w:val="20"/>
              </w:rPr>
            </w:pPr>
            <w:r w:rsidRPr="00FC2D2F">
              <w:rPr>
                <w:rFonts w:ascii="Arial Narrow" w:hAnsi="Arial Narrow" w:cs="Arial"/>
                <w:sz w:val="20"/>
                <w:szCs w:val="20"/>
              </w:rPr>
              <w:t>OR</w:t>
            </w:r>
          </w:p>
          <w:p w14:paraId="571AEF5C" w14:textId="77777777" w:rsidR="00064D19" w:rsidRPr="00FC2D2F" w:rsidRDefault="00064D19" w:rsidP="00FC2D2F">
            <w:pPr>
              <w:spacing w:before="0" w:line="240" w:lineRule="auto"/>
              <w:ind w:left="142" w:right="57"/>
              <w:rPr>
                <w:rFonts w:ascii="Arial Narrow" w:hAnsi="Arial Narrow" w:cs="Arial"/>
                <w:sz w:val="20"/>
                <w:szCs w:val="20"/>
              </w:rPr>
            </w:pPr>
            <w:r w:rsidRPr="00FC2D2F">
              <w:rPr>
                <w:rFonts w:ascii="Arial Narrow" w:hAnsi="Arial Narrow" w:cs="Arial"/>
                <w:sz w:val="20"/>
                <w:szCs w:val="20"/>
              </w:rPr>
              <w:t>1.5 mg injection + diluent, 1 pack (</w:t>
            </w:r>
            <w:proofErr w:type="spellStart"/>
            <w:r w:rsidR="00060C26" w:rsidRPr="00FC2D2F">
              <w:rPr>
                <w:rFonts w:ascii="Arial Narrow" w:hAnsi="Arial Narrow" w:cs="Arial"/>
                <w:sz w:val="20"/>
                <w:szCs w:val="20"/>
              </w:rPr>
              <w:t>Flolan</w:t>
            </w:r>
            <w:proofErr w:type="spellEnd"/>
            <w:r w:rsidR="00252749" w:rsidRPr="00FC2D2F">
              <w:rPr>
                <w:rFonts w:ascii="Arial Narrow" w:hAnsi="Arial Narrow" w:cs="Arial"/>
                <w:sz w:val="20"/>
                <w:szCs w:val="20"/>
                <w:vertAlign w:val="superscript"/>
              </w:rPr>
              <w:t>®</w:t>
            </w:r>
            <w:r w:rsidRPr="00FC2D2F">
              <w:rPr>
                <w:rFonts w:ascii="Arial Narrow" w:hAnsi="Arial Narrow" w:cs="Arial"/>
                <w:sz w:val="20"/>
                <w:szCs w:val="20"/>
              </w:rPr>
              <w:t>)</w:t>
            </w:r>
          </w:p>
        </w:tc>
        <w:tc>
          <w:tcPr>
            <w:tcW w:w="333" w:type="pct"/>
            <w:vMerge w:val="restart"/>
          </w:tcPr>
          <w:p w14:paraId="3F5D8D7D"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10111E, 10117L, 10129D, 10130E, 11065J, 11069N, 11082G, 11090Q</w:t>
            </w:r>
          </w:p>
        </w:tc>
        <w:tc>
          <w:tcPr>
            <w:tcW w:w="622" w:type="pct"/>
            <w:vMerge w:val="restart"/>
            <w:tcBorders>
              <w:right w:val="nil"/>
            </w:tcBorders>
          </w:tcPr>
          <w:p w14:paraId="0309D1ED"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2AC71896"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p w14:paraId="330701C5"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2EDBB3CA"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tc>
        <w:tc>
          <w:tcPr>
            <w:tcW w:w="674" w:type="pct"/>
            <w:vMerge w:val="restart"/>
            <w:tcBorders>
              <w:left w:val="nil"/>
            </w:tcBorders>
          </w:tcPr>
          <w:p w14:paraId="3D8D2253"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$33.28 (500 µg)</w:t>
            </w:r>
          </w:p>
          <w:p w14:paraId="6A6AB11A"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$43.76 (500 µg)</w:t>
            </w:r>
          </w:p>
          <w:p w14:paraId="1A192251" w14:textId="02A311A3"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$66.55 (1.5</w:t>
            </w:r>
            <w:r w:rsidR="00067504">
              <w:rPr>
                <w:rFonts w:ascii="Arial Narrow" w:hAnsi="Arial Narrow" w:cs="Arial"/>
                <w:sz w:val="20"/>
                <w:szCs w:val="20"/>
              </w:rPr>
              <w:t xml:space="preserve"> mg</w:t>
            </w:r>
            <w:r w:rsidRPr="00FC2D2F">
              <w:rPr>
                <w:rFonts w:ascii="Arial Narrow" w:hAnsi="Arial Narrow" w:cs="Arial"/>
                <w:sz w:val="20"/>
                <w:szCs w:val="20"/>
              </w:rPr>
              <w:t>)</w:t>
            </w:r>
          </w:p>
          <w:p w14:paraId="5146382B" w14:textId="336A260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$77.70 (1.5</w:t>
            </w:r>
            <w:r w:rsidR="00067504">
              <w:rPr>
                <w:rFonts w:ascii="Arial Narrow" w:hAnsi="Arial Narrow" w:cs="Arial"/>
                <w:sz w:val="20"/>
                <w:szCs w:val="20"/>
              </w:rPr>
              <w:t xml:space="preserve"> mg</w:t>
            </w:r>
            <w:r w:rsidRPr="00FC2D2F">
              <w:rPr>
                <w:rFonts w:ascii="Arial Narrow" w:hAnsi="Arial Narrow" w:cs="Arial"/>
                <w:sz w:val="20"/>
                <w:szCs w:val="20"/>
              </w:rPr>
              <w:t>)</w:t>
            </w:r>
          </w:p>
        </w:tc>
        <w:tc>
          <w:tcPr>
            <w:tcW w:w="2317" w:type="pct"/>
            <w:tcBorders>
              <w:bottom w:val="single" w:sz="4" w:space="0" w:color="auto"/>
              <w:right w:val="nil"/>
            </w:tcBorders>
          </w:tcPr>
          <w:p w14:paraId="0DE5B30C"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1 (new patients)</w:t>
            </w:r>
          </w:p>
        </w:tc>
        <w:tc>
          <w:tcPr>
            <w:tcW w:w="403" w:type="pct"/>
            <w:tcBorders>
              <w:left w:val="nil"/>
              <w:bottom w:val="single" w:sz="4" w:space="0" w:color="auto"/>
            </w:tcBorders>
          </w:tcPr>
          <w:p w14:paraId="40129CA4"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61627FC0" w14:textId="77777777" w:rsidTr="00C978EB">
        <w:tc>
          <w:tcPr>
            <w:tcW w:w="651" w:type="pct"/>
            <w:vMerge/>
          </w:tcPr>
          <w:p w14:paraId="73A0C714"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7A0238C8"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42494DDD"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113CDED8"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673DC9DA"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2 (change or re-commencement of therapy for all patients)</w:t>
            </w:r>
          </w:p>
        </w:tc>
        <w:tc>
          <w:tcPr>
            <w:tcW w:w="403" w:type="pct"/>
            <w:tcBorders>
              <w:top w:val="single" w:sz="4" w:space="0" w:color="auto"/>
              <w:left w:val="nil"/>
              <w:bottom w:val="single" w:sz="4" w:space="0" w:color="auto"/>
            </w:tcBorders>
          </w:tcPr>
          <w:p w14:paraId="487591AD"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7592BB76" w14:textId="77777777" w:rsidTr="00C978EB">
        <w:tc>
          <w:tcPr>
            <w:tcW w:w="651" w:type="pct"/>
            <w:vMerge/>
          </w:tcPr>
          <w:p w14:paraId="1ACBC3CA"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1622EA76"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54896EAF"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376803CB"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2C6662E1"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1 (new patients) or Initial 2 (change or re-commencement of therapy for all patients) or First Continuing treatment - Balance of supply</w:t>
            </w:r>
          </w:p>
        </w:tc>
        <w:tc>
          <w:tcPr>
            <w:tcW w:w="403" w:type="pct"/>
            <w:tcBorders>
              <w:top w:val="single" w:sz="4" w:space="0" w:color="auto"/>
              <w:left w:val="nil"/>
              <w:bottom w:val="single" w:sz="4" w:space="0" w:color="auto"/>
            </w:tcBorders>
          </w:tcPr>
          <w:p w14:paraId="6EEC2D4C"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 xml:space="preserve">Telephone </w:t>
            </w:r>
          </w:p>
        </w:tc>
      </w:tr>
      <w:tr w:rsidR="00064D19" w:rsidRPr="002D2A0A" w14:paraId="7B9EB4E9" w14:textId="77777777" w:rsidTr="00C978EB">
        <w:tc>
          <w:tcPr>
            <w:tcW w:w="651" w:type="pct"/>
            <w:vMerge/>
          </w:tcPr>
          <w:p w14:paraId="192E8BA4"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29AFCA1A"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57E911C6"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235BB9F7"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10F9F4D3"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First Continuing treatment</w:t>
            </w:r>
          </w:p>
        </w:tc>
        <w:tc>
          <w:tcPr>
            <w:tcW w:w="403" w:type="pct"/>
            <w:tcBorders>
              <w:top w:val="single" w:sz="4" w:space="0" w:color="auto"/>
              <w:left w:val="nil"/>
              <w:bottom w:val="single" w:sz="4" w:space="0" w:color="auto"/>
            </w:tcBorders>
          </w:tcPr>
          <w:p w14:paraId="6032100D"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5B904022" w14:textId="77777777" w:rsidTr="00C978EB">
        <w:trPr>
          <w:trHeight w:val="498"/>
        </w:trPr>
        <w:tc>
          <w:tcPr>
            <w:tcW w:w="651" w:type="pct"/>
            <w:vMerge/>
          </w:tcPr>
          <w:p w14:paraId="128F47F5" w14:textId="77777777" w:rsidR="00064D19" w:rsidRPr="00FC2D2F" w:rsidRDefault="00064D19" w:rsidP="00FC2D2F">
            <w:pPr>
              <w:spacing w:before="0" w:line="240" w:lineRule="auto"/>
              <w:ind w:left="142" w:right="57"/>
              <w:rPr>
                <w:rFonts w:ascii="Arial Narrow" w:hAnsi="Arial Narrow" w:cs="Arial"/>
                <w:sz w:val="20"/>
                <w:szCs w:val="20"/>
              </w:rPr>
            </w:pPr>
          </w:p>
        </w:tc>
        <w:tc>
          <w:tcPr>
            <w:tcW w:w="333" w:type="pct"/>
            <w:vMerge/>
          </w:tcPr>
          <w:p w14:paraId="1DC8387B"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252B7C2F" w14:textId="77777777" w:rsidR="00064D19" w:rsidRPr="00FC2D2F" w:rsidRDefault="00064D19" w:rsidP="00FC2D2F">
            <w:pPr>
              <w:spacing w:before="0" w:line="240" w:lineRule="auto"/>
              <w:ind w:left="165" w:right="57"/>
              <w:rPr>
                <w:rFonts w:ascii="Arial Narrow" w:hAnsi="Arial Narrow" w:cs="Arial"/>
                <w:sz w:val="20"/>
                <w:szCs w:val="20"/>
              </w:rPr>
            </w:pPr>
          </w:p>
        </w:tc>
        <w:tc>
          <w:tcPr>
            <w:tcW w:w="674" w:type="pct"/>
            <w:vMerge/>
            <w:tcBorders>
              <w:left w:val="nil"/>
            </w:tcBorders>
          </w:tcPr>
          <w:p w14:paraId="1047E514"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right w:val="nil"/>
            </w:tcBorders>
          </w:tcPr>
          <w:p w14:paraId="312BE71D"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Subsequent Continuing treatment</w:t>
            </w:r>
          </w:p>
        </w:tc>
        <w:tc>
          <w:tcPr>
            <w:tcW w:w="403" w:type="pct"/>
            <w:tcBorders>
              <w:top w:val="single" w:sz="4" w:space="0" w:color="auto"/>
              <w:left w:val="nil"/>
            </w:tcBorders>
          </w:tcPr>
          <w:p w14:paraId="7C4E1BDF"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 xml:space="preserve">Telephone </w:t>
            </w:r>
          </w:p>
        </w:tc>
      </w:tr>
      <w:tr w:rsidR="00064D19" w:rsidRPr="002D2A0A" w14:paraId="09247B22" w14:textId="77777777" w:rsidTr="00C978EB">
        <w:tc>
          <w:tcPr>
            <w:tcW w:w="651" w:type="pct"/>
            <w:vMerge w:val="restart"/>
          </w:tcPr>
          <w:p w14:paraId="47F93796" w14:textId="77777777" w:rsidR="00064D19" w:rsidRPr="00FC2D2F" w:rsidRDefault="00064D19" w:rsidP="00FC2D2F">
            <w:pPr>
              <w:spacing w:before="0" w:line="240" w:lineRule="auto"/>
              <w:ind w:left="142" w:right="57"/>
              <w:rPr>
                <w:rFonts w:ascii="Arial Narrow" w:hAnsi="Arial Narrow" w:cs="Arial"/>
                <w:sz w:val="20"/>
                <w:szCs w:val="20"/>
              </w:rPr>
            </w:pPr>
            <w:r w:rsidRPr="00FC2D2F">
              <w:rPr>
                <w:rFonts w:ascii="Arial Narrow" w:hAnsi="Arial Narrow" w:cs="Arial"/>
                <w:sz w:val="20"/>
                <w:szCs w:val="20"/>
              </w:rPr>
              <w:t>ILOPROST 20µg/2mL inhalation solution, 30x2mL ampoules</w:t>
            </w:r>
          </w:p>
        </w:tc>
        <w:tc>
          <w:tcPr>
            <w:tcW w:w="333" w:type="pct"/>
            <w:vMerge w:val="restart"/>
          </w:tcPr>
          <w:p w14:paraId="3ED64A29"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5751Q</w:t>
            </w:r>
          </w:p>
          <w:p w14:paraId="3DE7EA7A"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6456T</w:t>
            </w:r>
          </w:p>
        </w:tc>
        <w:tc>
          <w:tcPr>
            <w:tcW w:w="622" w:type="pct"/>
            <w:vMerge w:val="restart"/>
            <w:tcBorders>
              <w:right w:val="nil"/>
            </w:tcBorders>
          </w:tcPr>
          <w:p w14:paraId="051B0D29"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79D49244"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tc>
        <w:tc>
          <w:tcPr>
            <w:tcW w:w="674" w:type="pct"/>
            <w:vMerge w:val="restart"/>
            <w:tcBorders>
              <w:left w:val="nil"/>
            </w:tcBorders>
          </w:tcPr>
          <w:p w14:paraId="6AFC39A1"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$408.88</w:t>
            </w:r>
          </w:p>
          <w:p w14:paraId="693BCA4D"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$432.39</w:t>
            </w:r>
          </w:p>
        </w:tc>
        <w:tc>
          <w:tcPr>
            <w:tcW w:w="2317" w:type="pct"/>
            <w:tcBorders>
              <w:bottom w:val="single" w:sz="4" w:space="0" w:color="auto"/>
              <w:right w:val="nil"/>
            </w:tcBorders>
          </w:tcPr>
          <w:p w14:paraId="35CCCCB5"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1 (new patients)</w:t>
            </w:r>
          </w:p>
        </w:tc>
        <w:tc>
          <w:tcPr>
            <w:tcW w:w="403" w:type="pct"/>
            <w:tcBorders>
              <w:left w:val="nil"/>
              <w:bottom w:val="single" w:sz="4" w:space="0" w:color="auto"/>
            </w:tcBorders>
          </w:tcPr>
          <w:p w14:paraId="0CD60257"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1E148762" w14:textId="77777777" w:rsidTr="00C978EB">
        <w:tc>
          <w:tcPr>
            <w:tcW w:w="651" w:type="pct"/>
            <w:vMerge/>
          </w:tcPr>
          <w:p w14:paraId="57946B51" w14:textId="77777777" w:rsidR="00064D19" w:rsidRPr="00FC2D2F" w:rsidRDefault="00064D19" w:rsidP="00FC2D2F">
            <w:pPr>
              <w:spacing w:before="0" w:line="240" w:lineRule="auto"/>
              <w:ind w:left="142" w:right="57"/>
              <w:rPr>
                <w:rFonts w:ascii="Arial Narrow" w:hAnsi="Arial Narrow" w:cs="Arial"/>
                <w:sz w:val="20"/>
                <w:szCs w:val="20"/>
                <w:highlight w:val="yellow"/>
              </w:rPr>
            </w:pPr>
          </w:p>
        </w:tc>
        <w:tc>
          <w:tcPr>
            <w:tcW w:w="333" w:type="pct"/>
            <w:vMerge/>
          </w:tcPr>
          <w:p w14:paraId="73E5E374" w14:textId="77777777" w:rsidR="00064D19" w:rsidRPr="00FC2D2F" w:rsidRDefault="00064D19" w:rsidP="00FC2D2F">
            <w:pPr>
              <w:spacing w:before="0" w:line="240" w:lineRule="auto"/>
              <w:ind w:right="57"/>
              <w:jc w:val="center"/>
              <w:rPr>
                <w:rFonts w:ascii="Arial Narrow" w:hAnsi="Arial Narrow" w:cs="Arial"/>
                <w:sz w:val="20"/>
                <w:szCs w:val="20"/>
                <w:highlight w:val="yellow"/>
              </w:rPr>
            </w:pPr>
          </w:p>
        </w:tc>
        <w:tc>
          <w:tcPr>
            <w:tcW w:w="622" w:type="pct"/>
            <w:vMerge/>
            <w:tcBorders>
              <w:right w:val="nil"/>
            </w:tcBorders>
          </w:tcPr>
          <w:p w14:paraId="5553E1F5" w14:textId="77777777" w:rsidR="00064D19" w:rsidRPr="00FC2D2F" w:rsidRDefault="00064D19" w:rsidP="00FC2D2F">
            <w:pPr>
              <w:spacing w:before="0" w:line="240" w:lineRule="auto"/>
              <w:ind w:left="165" w:right="57"/>
              <w:rPr>
                <w:rFonts w:ascii="Arial Narrow" w:hAnsi="Arial Narrow" w:cs="Arial"/>
                <w:sz w:val="20"/>
                <w:szCs w:val="20"/>
                <w:highlight w:val="yellow"/>
              </w:rPr>
            </w:pPr>
          </w:p>
        </w:tc>
        <w:tc>
          <w:tcPr>
            <w:tcW w:w="674" w:type="pct"/>
            <w:vMerge/>
            <w:tcBorders>
              <w:left w:val="nil"/>
            </w:tcBorders>
          </w:tcPr>
          <w:p w14:paraId="0E1067EC" w14:textId="77777777" w:rsidR="00064D19" w:rsidRPr="00FC2D2F" w:rsidRDefault="00064D19" w:rsidP="00121658">
            <w:pPr>
              <w:spacing w:before="0" w:line="240" w:lineRule="auto"/>
              <w:ind w:right="57"/>
              <w:rPr>
                <w:rFonts w:ascii="Arial Narrow" w:hAnsi="Arial Narrow" w:cs="Arial"/>
                <w:sz w:val="20"/>
                <w:szCs w:val="20"/>
                <w:highlight w:val="yellow"/>
              </w:rPr>
            </w:pPr>
          </w:p>
        </w:tc>
        <w:tc>
          <w:tcPr>
            <w:tcW w:w="2317" w:type="pct"/>
            <w:tcBorders>
              <w:top w:val="single" w:sz="4" w:space="0" w:color="auto"/>
              <w:bottom w:val="single" w:sz="4" w:space="0" w:color="auto"/>
              <w:right w:val="nil"/>
            </w:tcBorders>
          </w:tcPr>
          <w:p w14:paraId="266F7C23"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2 (new patients)</w:t>
            </w:r>
          </w:p>
        </w:tc>
        <w:tc>
          <w:tcPr>
            <w:tcW w:w="403" w:type="pct"/>
            <w:tcBorders>
              <w:top w:val="single" w:sz="4" w:space="0" w:color="auto"/>
              <w:left w:val="nil"/>
              <w:bottom w:val="single" w:sz="4" w:space="0" w:color="auto"/>
            </w:tcBorders>
          </w:tcPr>
          <w:p w14:paraId="1DFA156C"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05443E92" w14:textId="77777777" w:rsidTr="00C978EB">
        <w:tc>
          <w:tcPr>
            <w:tcW w:w="651" w:type="pct"/>
            <w:vMerge/>
          </w:tcPr>
          <w:p w14:paraId="149A8874" w14:textId="77777777" w:rsidR="00064D19" w:rsidRPr="00FC2D2F" w:rsidRDefault="00064D19" w:rsidP="00FC2D2F">
            <w:pPr>
              <w:spacing w:before="0" w:line="240" w:lineRule="auto"/>
              <w:ind w:left="142" w:right="57"/>
              <w:rPr>
                <w:rFonts w:ascii="Arial Narrow" w:hAnsi="Arial Narrow" w:cs="Arial"/>
                <w:sz w:val="20"/>
                <w:szCs w:val="20"/>
                <w:highlight w:val="yellow"/>
              </w:rPr>
            </w:pPr>
          </w:p>
        </w:tc>
        <w:tc>
          <w:tcPr>
            <w:tcW w:w="333" w:type="pct"/>
            <w:vMerge/>
          </w:tcPr>
          <w:p w14:paraId="0771996B" w14:textId="77777777" w:rsidR="00064D19" w:rsidRPr="00FC2D2F" w:rsidRDefault="00064D19" w:rsidP="00FC2D2F">
            <w:pPr>
              <w:spacing w:before="0" w:line="240" w:lineRule="auto"/>
              <w:ind w:right="57"/>
              <w:jc w:val="center"/>
              <w:rPr>
                <w:rFonts w:ascii="Arial Narrow" w:hAnsi="Arial Narrow" w:cs="Arial"/>
                <w:sz w:val="20"/>
                <w:szCs w:val="20"/>
                <w:highlight w:val="yellow"/>
              </w:rPr>
            </w:pPr>
          </w:p>
        </w:tc>
        <w:tc>
          <w:tcPr>
            <w:tcW w:w="622" w:type="pct"/>
            <w:vMerge/>
            <w:tcBorders>
              <w:right w:val="nil"/>
            </w:tcBorders>
          </w:tcPr>
          <w:p w14:paraId="2C175818" w14:textId="77777777" w:rsidR="00064D19" w:rsidRPr="00FC2D2F" w:rsidRDefault="00064D19" w:rsidP="00FC2D2F">
            <w:pPr>
              <w:spacing w:before="0" w:line="240" w:lineRule="auto"/>
              <w:ind w:left="165" w:right="57"/>
              <w:rPr>
                <w:rFonts w:ascii="Arial Narrow" w:hAnsi="Arial Narrow" w:cs="Arial"/>
                <w:sz w:val="20"/>
                <w:szCs w:val="20"/>
                <w:highlight w:val="yellow"/>
              </w:rPr>
            </w:pPr>
          </w:p>
        </w:tc>
        <w:tc>
          <w:tcPr>
            <w:tcW w:w="674" w:type="pct"/>
            <w:vMerge/>
            <w:tcBorders>
              <w:left w:val="nil"/>
            </w:tcBorders>
          </w:tcPr>
          <w:p w14:paraId="169B495E" w14:textId="77777777" w:rsidR="00064D19" w:rsidRPr="00FC2D2F" w:rsidRDefault="00064D19" w:rsidP="00121658">
            <w:pPr>
              <w:spacing w:before="0" w:line="240" w:lineRule="auto"/>
              <w:ind w:right="57"/>
              <w:rPr>
                <w:rFonts w:ascii="Arial Narrow" w:hAnsi="Arial Narrow" w:cs="Arial"/>
                <w:sz w:val="20"/>
                <w:szCs w:val="20"/>
                <w:highlight w:val="yellow"/>
              </w:rPr>
            </w:pPr>
          </w:p>
        </w:tc>
        <w:tc>
          <w:tcPr>
            <w:tcW w:w="2317" w:type="pct"/>
            <w:tcBorders>
              <w:top w:val="single" w:sz="4" w:space="0" w:color="auto"/>
              <w:bottom w:val="single" w:sz="4" w:space="0" w:color="auto"/>
              <w:right w:val="nil"/>
            </w:tcBorders>
          </w:tcPr>
          <w:p w14:paraId="5E5A5AE9"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3 (change or re-commencement of therapy for all patients)</w:t>
            </w:r>
          </w:p>
        </w:tc>
        <w:tc>
          <w:tcPr>
            <w:tcW w:w="403" w:type="pct"/>
            <w:tcBorders>
              <w:top w:val="single" w:sz="4" w:space="0" w:color="auto"/>
              <w:left w:val="nil"/>
              <w:bottom w:val="single" w:sz="4" w:space="0" w:color="auto"/>
            </w:tcBorders>
          </w:tcPr>
          <w:p w14:paraId="4B5E8C96"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3EDE009B" w14:textId="77777777" w:rsidTr="00C978EB">
        <w:tc>
          <w:tcPr>
            <w:tcW w:w="651" w:type="pct"/>
            <w:vMerge/>
          </w:tcPr>
          <w:p w14:paraId="262125FB" w14:textId="77777777" w:rsidR="00064D19" w:rsidRPr="00FC2D2F" w:rsidRDefault="00064D19" w:rsidP="00FC2D2F">
            <w:pPr>
              <w:spacing w:before="0" w:line="240" w:lineRule="auto"/>
              <w:ind w:left="142" w:right="57"/>
              <w:rPr>
                <w:rFonts w:ascii="Arial Narrow" w:hAnsi="Arial Narrow" w:cs="Arial"/>
                <w:sz w:val="20"/>
                <w:szCs w:val="20"/>
                <w:highlight w:val="yellow"/>
              </w:rPr>
            </w:pPr>
          </w:p>
        </w:tc>
        <w:tc>
          <w:tcPr>
            <w:tcW w:w="333" w:type="pct"/>
            <w:vMerge/>
          </w:tcPr>
          <w:p w14:paraId="60BAD7D6" w14:textId="77777777" w:rsidR="00064D19" w:rsidRPr="00FC2D2F" w:rsidRDefault="00064D19" w:rsidP="00FC2D2F">
            <w:pPr>
              <w:spacing w:before="0" w:line="240" w:lineRule="auto"/>
              <w:ind w:right="57"/>
              <w:jc w:val="center"/>
              <w:rPr>
                <w:rFonts w:ascii="Arial Narrow" w:hAnsi="Arial Narrow" w:cs="Arial"/>
                <w:sz w:val="20"/>
                <w:szCs w:val="20"/>
                <w:highlight w:val="yellow"/>
              </w:rPr>
            </w:pPr>
          </w:p>
        </w:tc>
        <w:tc>
          <w:tcPr>
            <w:tcW w:w="622" w:type="pct"/>
            <w:vMerge/>
            <w:tcBorders>
              <w:right w:val="nil"/>
            </w:tcBorders>
          </w:tcPr>
          <w:p w14:paraId="7AF71BC8" w14:textId="77777777" w:rsidR="00064D19" w:rsidRPr="00FC2D2F" w:rsidRDefault="00064D19" w:rsidP="00FC2D2F">
            <w:pPr>
              <w:spacing w:before="0" w:line="240" w:lineRule="auto"/>
              <w:ind w:left="165" w:right="57"/>
              <w:rPr>
                <w:rFonts w:ascii="Arial Narrow" w:hAnsi="Arial Narrow" w:cs="Arial"/>
                <w:sz w:val="20"/>
                <w:szCs w:val="20"/>
                <w:highlight w:val="yellow"/>
              </w:rPr>
            </w:pPr>
          </w:p>
        </w:tc>
        <w:tc>
          <w:tcPr>
            <w:tcW w:w="674" w:type="pct"/>
            <w:vMerge/>
            <w:tcBorders>
              <w:left w:val="nil"/>
            </w:tcBorders>
          </w:tcPr>
          <w:p w14:paraId="74F1CF33" w14:textId="77777777" w:rsidR="00064D19" w:rsidRPr="00FC2D2F" w:rsidRDefault="00064D19" w:rsidP="00121658">
            <w:pPr>
              <w:spacing w:before="0" w:line="240" w:lineRule="auto"/>
              <w:ind w:right="57"/>
              <w:rPr>
                <w:rFonts w:ascii="Arial Narrow" w:hAnsi="Arial Narrow" w:cs="Arial"/>
                <w:sz w:val="20"/>
                <w:szCs w:val="20"/>
                <w:highlight w:val="yellow"/>
              </w:rPr>
            </w:pPr>
          </w:p>
        </w:tc>
        <w:tc>
          <w:tcPr>
            <w:tcW w:w="2317" w:type="pct"/>
            <w:tcBorders>
              <w:top w:val="single" w:sz="4" w:space="0" w:color="auto"/>
              <w:bottom w:val="single" w:sz="4" w:space="0" w:color="auto"/>
              <w:right w:val="nil"/>
            </w:tcBorders>
          </w:tcPr>
          <w:p w14:paraId="7BA6C7FE"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1 or Initial 2 (new patients) or Initial 3 (change or re-commencement of therapy for all patients) or First Continuing treatment - Balance of supply</w:t>
            </w:r>
          </w:p>
        </w:tc>
        <w:tc>
          <w:tcPr>
            <w:tcW w:w="403" w:type="pct"/>
            <w:tcBorders>
              <w:top w:val="single" w:sz="4" w:space="0" w:color="auto"/>
              <w:left w:val="nil"/>
              <w:bottom w:val="single" w:sz="4" w:space="0" w:color="auto"/>
            </w:tcBorders>
          </w:tcPr>
          <w:p w14:paraId="48534DD7"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 xml:space="preserve">Telephone </w:t>
            </w:r>
          </w:p>
        </w:tc>
      </w:tr>
      <w:tr w:rsidR="00064D19" w:rsidRPr="002D2A0A" w14:paraId="4C1489F2" w14:textId="77777777" w:rsidTr="00C978EB">
        <w:trPr>
          <w:trHeight w:val="194"/>
        </w:trPr>
        <w:tc>
          <w:tcPr>
            <w:tcW w:w="651" w:type="pct"/>
            <w:vMerge/>
          </w:tcPr>
          <w:p w14:paraId="65CA096E" w14:textId="77777777" w:rsidR="00064D19" w:rsidRPr="00FC2D2F" w:rsidRDefault="00064D19" w:rsidP="00FC2D2F">
            <w:pPr>
              <w:spacing w:before="0" w:line="240" w:lineRule="auto"/>
              <w:ind w:left="142" w:right="57"/>
              <w:rPr>
                <w:rFonts w:ascii="Arial Narrow" w:hAnsi="Arial Narrow" w:cs="Arial"/>
                <w:sz w:val="20"/>
                <w:szCs w:val="20"/>
                <w:highlight w:val="yellow"/>
              </w:rPr>
            </w:pPr>
          </w:p>
        </w:tc>
        <w:tc>
          <w:tcPr>
            <w:tcW w:w="333" w:type="pct"/>
            <w:vMerge/>
          </w:tcPr>
          <w:p w14:paraId="12D8B9F9" w14:textId="77777777" w:rsidR="00064D19" w:rsidRPr="00FC2D2F" w:rsidRDefault="00064D19" w:rsidP="00FC2D2F">
            <w:pPr>
              <w:spacing w:before="0" w:line="240" w:lineRule="auto"/>
              <w:ind w:right="57"/>
              <w:jc w:val="center"/>
              <w:rPr>
                <w:rFonts w:ascii="Arial Narrow" w:hAnsi="Arial Narrow" w:cs="Arial"/>
                <w:sz w:val="20"/>
                <w:szCs w:val="20"/>
                <w:highlight w:val="yellow"/>
              </w:rPr>
            </w:pPr>
          </w:p>
        </w:tc>
        <w:tc>
          <w:tcPr>
            <w:tcW w:w="622" w:type="pct"/>
            <w:vMerge/>
            <w:tcBorders>
              <w:right w:val="nil"/>
            </w:tcBorders>
          </w:tcPr>
          <w:p w14:paraId="1F634659" w14:textId="77777777" w:rsidR="00064D19" w:rsidRPr="00FC2D2F" w:rsidRDefault="00064D19" w:rsidP="00FC2D2F">
            <w:pPr>
              <w:spacing w:before="0" w:line="240" w:lineRule="auto"/>
              <w:ind w:left="165" w:right="57"/>
              <w:rPr>
                <w:rFonts w:ascii="Arial Narrow" w:hAnsi="Arial Narrow" w:cs="Arial"/>
                <w:sz w:val="20"/>
                <w:szCs w:val="20"/>
                <w:highlight w:val="yellow"/>
              </w:rPr>
            </w:pPr>
          </w:p>
        </w:tc>
        <w:tc>
          <w:tcPr>
            <w:tcW w:w="674" w:type="pct"/>
            <w:vMerge/>
            <w:tcBorders>
              <w:left w:val="nil"/>
            </w:tcBorders>
          </w:tcPr>
          <w:p w14:paraId="3E8E8359" w14:textId="77777777" w:rsidR="00064D19" w:rsidRPr="00FC2D2F" w:rsidRDefault="00064D19" w:rsidP="00121658">
            <w:pPr>
              <w:spacing w:before="0" w:line="240" w:lineRule="auto"/>
              <w:ind w:right="57"/>
              <w:rPr>
                <w:rFonts w:ascii="Arial Narrow" w:hAnsi="Arial Narrow" w:cs="Arial"/>
                <w:sz w:val="20"/>
                <w:szCs w:val="20"/>
                <w:highlight w:val="yellow"/>
              </w:rPr>
            </w:pPr>
          </w:p>
        </w:tc>
        <w:tc>
          <w:tcPr>
            <w:tcW w:w="2317" w:type="pct"/>
            <w:tcBorders>
              <w:top w:val="single" w:sz="4" w:space="0" w:color="auto"/>
              <w:right w:val="nil"/>
            </w:tcBorders>
          </w:tcPr>
          <w:p w14:paraId="7C51BDF4"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First Continuing treatment</w:t>
            </w:r>
          </w:p>
        </w:tc>
        <w:tc>
          <w:tcPr>
            <w:tcW w:w="403" w:type="pct"/>
            <w:tcBorders>
              <w:top w:val="single" w:sz="4" w:space="0" w:color="auto"/>
              <w:left w:val="nil"/>
            </w:tcBorders>
          </w:tcPr>
          <w:p w14:paraId="66F12490"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3CA7239C" w14:textId="77777777" w:rsidTr="00C978EB">
        <w:trPr>
          <w:trHeight w:val="193"/>
        </w:trPr>
        <w:tc>
          <w:tcPr>
            <w:tcW w:w="651" w:type="pct"/>
            <w:vMerge/>
          </w:tcPr>
          <w:p w14:paraId="4AFCD664" w14:textId="77777777" w:rsidR="00064D19" w:rsidRPr="00FC2D2F" w:rsidRDefault="00064D19" w:rsidP="00FC2D2F">
            <w:pPr>
              <w:spacing w:before="0" w:line="240" w:lineRule="auto"/>
              <w:ind w:left="142" w:right="57"/>
              <w:rPr>
                <w:rFonts w:ascii="Arial Narrow" w:hAnsi="Arial Narrow" w:cs="Arial"/>
                <w:sz w:val="20"/>
                <w:szCs w:val="20"/>
                <w:highlight w:val="yellow"/>
              </w:rPr>
            </w:pPr>
          </w:p>
        </w:tc>
        <w:tc>
          <w:tcPr>
            <w:tcW w:w="333" w:type="pct"/>
            <w:vMerge/>
          </w:tcPr>
          <w:p w14:paraId="60B98D1F" w14:textId="77777777" w:rsidR="00064D19" w:rsidRPr="00FC2D2F" w:rsidRDefault="00064D19" w:rsidP="00FC2D2F">
            <w:pPr>
              <w:spacing w:before="0" w:line="240" w:lineRule="auto"/>
              <w:ind w:right="57"/>
              <w:jc w:val="center"/>
              <w:rPr>
                <w:rFonts w:ascii="Arial Narrow" w:hAnsi="Arial Narrow" w:cs="Arial"/>
                <w:sz w:val="20"/>
                <w:szCs w:val="20"/>
                <w:highlight w:val="yellow"/>
              </w:rPr>
            </w:pPr>
          </w:p>
        </w:tc>
        <w:tc>
          <w:tcPr>
            <w:tcW w:w="622" w:type="pct"/>
            <w:vMerge/>
            <w:tcBorders>
              <w:right w:val="nil"/>
            </w:tcBorders>
          </w:tcPr>
          <w:p w14:paraId="4967D373" w14:textId="77777777" w:rsidR="00064D19" w:rsidRPr="00FC2D2F" w:rsidRDefault="00064D19" w:rsidP="00FC2D2F">
            <w:pPr>
              <w:spacing w:before="0" w:line="240" w:lineRule="auto"/>
              <w:ind w:left="165" w:right="57"/>
              <w:rPr>
                <w:rFonts w:ascii="Arial Narrow" w:hAnsi="Arial Narrow" w:cs="Arial"/>
                <w:sz w:val="20"/>
                <w:szCs w:val="20"/>
                <w:highlight w:val="yellow"/>
              </w:rPr>
            </w:pPr>
          </w:p>
        </w:tc>
        <w:tc>
          <w:tcPr>
            <w:tcW w:w="674" w:type="pct"/>
            <w:vMerge/>
            <w:tcBorders>
              <w:left w:val="nil"/>
            </w:tcBorders>
          </w:tcPr>
          <w:p w14:paraId="2F27BFEA" w14:textId="77777777" w:rsidR="00064D19" w:rsidRPr="00FC2D2F" w:rsidRDefault="00064D19" w:rsidP="00121658">
            <w:pPr>
              <w:spacing w:before="0" w:line="240" w:lineRule="auto"/>
              <w:ind w:right="57"/>
              <w:rPr>
                <w:rFonts w:ascii="Arial Narrow" w:hAnsi="Arial Narrow" w:cs="Arial"/>
                <w:sz w:val="20"/>
                <w:szCs w:val="20"/>
                <w:highlight w:val="yellow"/>
              </w:rPr>
            </w:pPr>
          </w:p>
        </w:tc>
        <w:tc>
          <w:tcPr>
            <w:tcW w:w="2317" w:type="pct"/>
            <w:tcBorders>
              <w:top w:val="single" w:sz="4" w:space="0" w:color="auto"/>
              <w:right w:val="nil"/>
            </w:tcBorders>
          </w:tcPr>
          <w:p w14:paraId="22FA4562"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Subsequent Continuing treatment</w:t>
            </w:r>
          </w:p>
        </w:tc>
        <w:tc>
          <w:tcPr>
            <w:tcW w:w="403" w:type="pct"/>
            <w:tcBorders>
              <w:left w:val="nil"/>
            </w:tcBorders>
          </w:tcPr>
          <w:p w14:paraId="76447E1D"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 xml:space="preserve">Telephone </w:t>
            </w:r>
          </w:p>
        </w:tc>
      </w:tr>
      <w:tr w:rsidR="00064D19" w:rsidRPr="002D2A0A" w14:paraId="25DAB84A" w14:textId="77777777" w:rsidTr="00C978EB">
        <w:tc>
          <w:tcPr>
            <w:tcW w:w="651" w:type="pct"/>
            <w:vMerge w:val="restart"/>
            <w:tcBorders>
              <w:top w:val="single" w:sz="4" w:space="0" w:color="auto"/>
            </w:tcBorders>
          </w:tcPr>
          <w:p w14:paraId="730DE1EC" w14:textId="77777777" w:rsidR="00064D19" w:rsidRPr="00FC2D2F" w:rsidRDefault="00064D19" w:rsidP="00FC2D2F">
            <w:pPr>
              <w:spacing w:before="0" w:line="240" w:lineRule="auto"/>
              <w:ind w:left="142" w:right="57"/>
              <w:rPr>
                <w:rFonts w:ascii="Arial Narrow" w:hAnsi="Arial Narrow" w:cs="Arial"/>
                <w:sz w:val="20"/>
                <w:szCs w:val="20"/>
              </w:rPr>
            </w:pPr>
            <w:r w:rsidRPr="00FC2D2F">
              <w:rPr>
                <w:rFonts w:ascii="Arial Narrow" w:hAnsi="Arial Narrow" w:cs="Arial"/>
                <w:sz w:val="20"/>
                <w:szCs w:val="20"/>
              </w:rPr>
              <w:t>RIOCIGUAT</w:t>
            </w:r>
          </w:p>
          <w:p w14:paraId="76A11B29" w14:textId="77777777" w:rsidR="00064D19" w:rsidRPr="00FC2D2F" w:rsidRDefault="00064D19" w:rsidP="00FC2D2F">
            <w:pPr>
              <w:spacing w:before="0" w:line="240" w:lineRule="auto"/>
              <w:ind w:left="142" w:right="57"/>
              <w:rPr>
                <w:rFonts w:ascii="Arial Narrow" w:hAnsi="Arial Narrow" w:cs="Arial"/>
                <w:sz w:val="20"/>
                <w:szCs w:val="20"/>
              </w:rPr>
            </w:pPr>
            <w:r w:rsidRPr="00FC2D2F">
              <w:rPr>
                <w:rFonts w:ascii="Arial Narrow" w:hAnsi="Arial Narrow" w:cs="Arial"/>
                <w:sz w:val="20"/>
                <w:szCs w:val="20"/>
              </w:rPr>
              <w:t>500 µg, 1.0, 1.5, 2.0, 2.5 mg tablet, pack of 42 or 84</w:t>
            </w:r>
          </w:p>
        </w:tc>
        <w:tc>
          <w:tcPr>
            <w:tcW w:w="333" w:type="pct"/>
            <w:vMerge w:val="restart"/>
            <w:tcBorders>
              <w:top w:val="single" w:sz="4" w:space="0" w:color="auto"/>
            </w:tcBorders>
          </w:tcPr>
          <w:p w14:paraId="1D9BDAA0"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11040C</w:t>
            </w:r>
          </w:p>
          <w:p w14:paraId="7F1EE0CC"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11031N</w:t>
            </w:r>
          </w:p>
          <w:p w14:paraId="5EA2E68C"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11059C</w:t>
            </w:r>
          </w:p>
          <w:p w14:paraId="2A736D31"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11058B</w:t>
            </w:r>
          </w:p>
          <w:p w14:paraId="2930AC98"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11054T</w:t>
            </w:r>
          </w:p>
          <w:p w14:paraId="4B5A1B1C"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11028K</w:t>
            </w:r>
          </w:p>
          <w:p w14:paraId="5ACEDD7B"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11053R</w:t>
            </w:r>
          </w:p>
          <w:p w14:paraId="4D13AF7E"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11060D</w:t>
            </w:r>
          </w:p>
          <w:p w14:paraId="07405FA0"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11047K</w:t>
            </w:r>
          </w:p>
          <w:p w14:paraId="4BA1315A"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lastRenderedPageBreak/>
              <w:t>11046J</w:t>
            </w:r>
          </w:p>
          <w:p w14:paraId="01EF1454"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11048L</w:t>
            </w:r>
          </w:p>
          <w:p w14:paraId="4BEB8AB2"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11061E</w:t>
            </w:r>
          </w:p>
          <w:p w14:paraId="2634A0A4"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11038Y</w:t>
            </w:r>
          </w:p>
          <w:p w14:paraId="4C03731E"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11045H</w:t>
            </w:r>
          </w:p>
          <w:p w14:paraId="3B6420F0"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11039B</w:t>
            </w:r>
          </w:p>
          <w:p w14:paraId="0B506544"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11030M</w:t>
            </w:r>
          </w:p>
          <w:p w14:paraId="26499F85"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11057Y</w:t>
            </w:r>
          </w:p>
          <w:p w14:paraId="71798588"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11052Q</w:t>
            </w:r>
          </w:p>
          <w:p w14:paraId="5E04B8E7"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11024F</w:t>
            </w:r>
          </w:p>
          <w:p w14:paraId="7636518D" w14:textId="77777777" w:rsidR="00064D19" w:rsidRPr="00FC2D2F" w:rsidRDefault="00064D19" w:rsidP="00FC2D2F">
            <w:pPr>
              <w:spacing w:before="0" w:line="240" w:lineRule="auto"/>
              <w:ind w:right="57"/>
              <w:jc w:val="center"/>
              <w:rPr>
                <w:rFonts w:ascii="Arial Narrow" w:hAnsi="Arial Narrow" w:cs="Arial"/>
                <w:sz w:val="20"/>
                <w:szCs w:val="20"/>
              </w:rPr>
            </w:pPr>
            <w:r w:rsidRPr="00FC2D2F">
              <w:rPr>
                <w:rFonts w:ascii="Arial Narrow" w:hAnsi="Arial Narrow" w:cs="Arial"/>
                <w:sz w:val="20"/>
                <w:szCs w:val="20"/>
              </w:rPr>
              <w:t>11035T</w:t>
            </w:r>
          </w:p>
        </w:tc>
        <w:tc>
          <w:tcPr>
            <w:tcW w:w="622" w:type="pct"/>
            <w:vMerge w:val="restart"/>
            <w:tcBorders>
              <w:top w:val="single" w:sz="4" w:space="0" w:color="auto"/>
              <w:right w:val="nil"/>
            </w:tcBorders>
          </w:tcPr>
          <w:p w14:paraId="1CE3940C"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lastRenderedPageBreak/>
              <w:t>S100 HSD Public</w:t>
            </w:r>
          </w:p>
          <w:p w14:paraId="61B353B8"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p w14:paraId="379F9EFF"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01A37EB9"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p w14:paraId="784129C3"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76EC24A2"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p w14:paraId="5C465DE6"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128D34EC"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p w14:paraId="4E33F895"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3AD44478"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lastRenderedPageBreak/>
              <w:t>S100 HSD Private</w:t>
            </w:r>
          </w:p>
          <w:p w14:paraId="7C538F59"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2CAF4EC8"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p w14:paraId="5C6E1576"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063A42A9"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p w14:paraId="041C0B5D"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42ECAA94"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p w14:paraId="0C58C7A9"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44F05458"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p w14:paraId="52E0856A"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Public</w:t>
            </w:r>
          </w:p>
          <w:p w14:paraId="0A6B1E5C" w14:textId="77777777" w:rsidR="00064D19" w:rsidRPr="00FC2D2F" w:rsidRDefault="00064D19" w:rsidP="00FC2D2F">
            <w:pPr>
              <w:spacing w:before="0" w:line="240" w:lineRule="auto"/>
              <w:ind w:left="165" w:right="57"/>
              <w:rPr>
                <w:rFonts w:ascii="Arial Narrow" w:hAnsi="Arial Narrow" w:cs="Arial"/>
                <w:sz w:val="20"/>
                <w:szCs w:val="20"/>
              </w:rPr>
            </w:pPr>
            <w:r w:rsidRPr="00FC2D2F">
              <w:rPr>
                <w:rFonts w:ascii="Arial Narrow" w:hAnsi="Arial Narrow" w:cs="Arial"/>
                <w:sz w:val="20"/>
                <w:szCs w:val="20"/>
              </w:rPr>
              <w:t>S100 HSD Private</w:t>
            </w:r>
          </w:p>
        </w:tc>
        <w:tc>
          <w:tcPr>
            <w:tcW w:w="674" w:type="pct"/>
            <w:vMerge w:val="restart"/>
            <w:tcBorders>
              <w:top w:val="single" w:sz="4" w:space="0" w:color="auto"/>
              <w:left w:val="nil"/>
            </w:tcBorders>
          </w:tcPr>
          <w:p w14:paraId="4A7863A6" w14:textId="4FA21AA3"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lastRenderedPageBreak/>
              <w:t>$1717.71 (500</w:t>
            </w:r>
            <w:r w:rsidR="00067504">
              <w:rPr>
                <w:rFonts w:ascii="Arial Narrow" w:hAnsi="Arial Narrow" w:cs="Arial"/>
                <w:sz w:val="20"/>
                <w:szCs w:val="20"/>
              </w:rPr>
              <w:t xml:space="preserve"> </w:t>
            </w:r>
            <w:r w:rsidRPr="00FC2D2F">
              <w:rPr>
                <w:rFonts w:ascii="Arial Narrow" w:hAnsi="Arial Narrow" w:cs="Arial"/>
                <w:sz w:val="20"/>
                <w:szCs w:val="20"/>
              </w:rPr>
              <w:t>µg/42)</w:t>
            </w:r>
          </w:p>
          <w:p w14:paraId="0793A1F0" w14:textId="174D793B"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$1764.86 (500</w:t>
            </w:r>
            <w:r w:rsidR="00067504">
              <w:rPr>
                <w:rFonts w:ascii="Arial Narrow" w:hAnsi="Arial Narrow" w:cs="Arial"/>
                <w:sz w:val="20"/>
                <w:szCs w:val="20"/>
              </w:rPr>
              <w:t xml:space="preserve"> </w:t>
            </w:r>
            <w:r w:rsidRPr="00FC2D2F">
              <w:rPr>
                <w:rFonts w:ascii="Arial Narrow" w:hAnsi="Arial Narrow" w:cs="Arial"/>
                <w:sz w:val="20"/>
                <w:szCs w:val="20"/>
              </w:rPr>
              <w:t>µg/42)</w:t>
            </w:r>
          </w:p>
          <w:p w14:paraId="45B8245E" w14:textId="131A0953"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$3435.42</w:t>
            </w:r>
            <w:r w:rsidRPr="00FC2D2F">
              <w:rPr>
                <w:rFonts w:ascii="Arial Narrow" w:hAnsi="Arial Narrow" w:cs="Arial"/>
                <w:sz w:val="20"/>
                <w:szCs w:val="20"/>
              </w:rPr>
              <w:tab/>
              <w:t>(500</w:t>
            </w:r>
            <w:r w:rsidR="00067504">
              <w:rPr>
                <w:rFonts w:ascii="Arial Narrow" w:hAnsi="Arial Narrow" w:cs="Arial"/>
                <w:sz w:val="20"/>
                <w:szCs w:val="20"/>
              </w:rPr>
              <w:t xml:space="preserve"> </w:t>
            </w:r>
            <w:r w:rsidRPr="00FC2D2F">
              <w:rPr>
                <w:rFonts w:ascii="Arial Narrow" w:hAnsi="Arial Narrow" w:cs="Arial"/>
                <w:sz w:val="20"/>
                <w:szCs w:val="20"/>
              </w:rPr>
              <w:t>µg/84)</w:t>
            </w:r>
          </w:p>
          <w:p w14:paraId="4457FC1F" w14:textId="4A0440F0"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$3482.57</w:t>
            </w:r>
            <w:r w:rsidRPr="00FC2D2F">
              <w:rPr>
                <w:rFonts w:ascii="Arial Narrow" w:hAnsi="Arial Narrow" w:cs="Arial"/>
                <w:sz w:val="20"/>
                <w:szCs w:val="20"/>
              </w:rPr>
              <w:tab/>
              <w:t>(500</w:t>
            </w:r>
            <w:r w:rsidR="00067504">
              <w:rPr>
                <w:rFonts w:ascii="Arial Narrow" w:hAnsi="Arial Narrow" w:cs="Arial"/>
                <w:sz w:val="20"/>
                <w:szCs w:val="20"/>
              </w:rPr>
              <w:t xml:space="preserve"> </w:t>
            </w:r>
            <w:r w:rsidRPr="00FC2D2F">
              <w:rPr>
                <w:rFonts w:ascii="Arial Narrow" w:hAnsi="Arial Narrow" w:cs="Arial"/>
                <w:sz w:val="20"/>
                <w:szCs w:val="20"/>
              </w:rPr>
              <w:t>µg/84)</w:t>
            </w:r>
          </w:p>
          <w:p w14:paraId="7E700028" w14:textId="26232E23"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$1717.71 (1.0</w:t>
            </w:r>
            <w:r w:rsidR="00067504">
              <w:rPr>
                <w:rFonts w:ascii="Arial Narrow" w:hAnsi="Arial Narrow" w:cs="Arial"/>
                <w:sz w:val="20"/>
                <w:szCs w:val="20"/>
              </w:rPr>
              <w:t xml:space="preserve"> </w:t>
            </w:r>
            <w:r w:rsidRPr="00FC2D2F">
              <w:rPr>
                <w:rFonts w:ascii="Arial Narrow" w:hAnsi="Arial Narrow" w:cs="Arial"/>
                <w:sz w:val="20"/>
                <w:szCs w:val="20"/>
              </w:rPr>
              <w:t>mg/42)</w:t>
            </w:r>
          </w:p>
          <w:p w14:paraId="29C30900" w14:textId="4B79DD54"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$1764.86 (1.0</w:t>
            </w:r>
            <w:r w:rsidR="00067504">
              <w:rPr>
                <w:rFonts w:ascii="Arial Narrow" w:hAnsi="Arial Narrow" w:cs="Arial"/>
                <w:sz w:val="20"/>
                <w:szCs w:val="20"/>
              </w:rPr>
              <w:t xml:space="preserve"> </w:t>
            </w:r>
            <w:r w:rsidRPr="00FC2D2F">
              <w:rPr>
                <w:rFonts w:ascii="Arial Narrow" w:hAnsi="Arial Narrow" w:cs="Arial"/>
                <w:sz w:val="20"/>
                <w:szCs w:val="20"/>
              </w:rPr>
              <w:t>mg/42)</w:t>
            </w:r>
          </w:p>
          <w:p w14:paraId="3A3D1240" w14:textId="70095F3A"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$3435.42 (1.0</w:t>
            </w:r>
            <w:r w:rsidR="00067504">
              <w:rPr>
                <w:rFonts w:ascii="Arial Narrow" w:hAnsi="Arial Narrow" w:cs="Arial"/>
                <w:sz w:val="20"/>
                <w:szCs w:val="20"/>
              </w:rPr>
              <w:t xml:space="preserve"> </w:t>
            </w:r>
            <w:r w:rsidRPr="00FC2D2F">
              <w:rPr>
                <w:rFonts w:ascii="Arial Narrow" w:hAnsi="Arial Narrow" w:cs="Arial"/>
                <w:sz w:val="20"/>
                <w:szCs w:val="20"/>
              </w:rPr>
              <w:t>mg/84)</w:t>
            </w:r>
          </w:p>
          <w:p w14:paraId="53F20581" w14:textId="20C13B48"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$3482.57 (1.0</w:t>
            </w:r>
            <w:r w:rsidR="00067504">
              <w:rPr>
                <w:rFonts w:ascii="Arial Narrow" w:hAnsi="Arial Narrow" w:cs="Arial"/>
                <w:sz w:val="20"/>
                <w:szCs w:val="20"/>
              </w:rPr>
              <w:t xml:space="preserve"> </w:t>
            </w:r>
            <w:r w:rsidRPr="00FC2D2F">
              <w:rPr>
                <w:rFonts w:ascii="Arial Narrow" w:hAnsi="Arial Narrow" w:cs="Arial"/>
                <w:sz w:val="20"/>
                <w:szCs w:val="20"/>
              </w:rPr>
              <w:t>mg/84)</w:t>
            </w:r>
          </w:p>
          <w:p w14:paraId="06CA010E" w14:textId="1648CDAC"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$1717.71 (1.5</w:t>
            </w:r>
            <w:r w:rsidR="00067504">
              <w:rPr>
                <w:rFonts w:ascii="Arial Narrow" w:hAnsi="Arial Narrow" w:cs="Arial"/>
                <w:sz w:val="20"/>
                <w:szCs w:val="20"/>
              </w:rPr>
              <w:t xml:space="preserve"> </w:t>
            </w:r>
            <w:r w:rsidRPr="00FC2D2F">
              <w:rPr>
                <w:rFonts w:ascii="Arial Narrow" w:hAnsi="Arial Narrow" w:cs="Arial"/>
                <w:sz w:val="20"/>
                <w:szCs w:val="20"/>
              </w:rPr>
              <w:t>mg/42)</w:t>
            </w:r>
          </w:p>
          <w:p w14:paraId="0E972BBD" w14:textId="75B22F70"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lastRenderedPageBreak/>
              <w:t>$1764.86 (1.5</w:t>
            </w:r>
            <w:r w:rsidR="00067504">
              <w:rPr>
                <w:rFonts w:ascii="Arial Narrow" w:hAnsi="Arial Narrow" w:cs="Arial"/>
                <w:sz w:val="20"/>
                <w:szCs w:val="20"/>
              </w:rPr>
              <w:t xml:space="preserve"> mg</w:t>
            </w:r>
            <w:r w:rsidRPr="00FC2D2F">
              <w:rPr>
                <w:rFonts w:ascii="Arial Narrow" w:hAnsi="Arial Narrow" w:cs="Arial"/>
                <w:sz w:val="20"/>
                <w:szCs w:val="20"/>
              </w:rPr>
              <w:t>/42)</w:t>
            </w:r>
          </w:p>
          <w:p w14:paraId="5875A73C" w14:textId="051F4B4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$3435.42 (1.5</w:t>
            </w:r>
            <w:r w:rsidR="00067504">
              <w:rPr>
                <w:rFonts w:ascii="Arial Narrow" w:hAnsi="Arial Narrow" w:cs="Arial"/>
                <w:sz w:val="20"/>
                <w:szCs w:val="20"/>
              </w:rPr>
              <w:t xml:space="preserve"> mg</w:t>
            </w:r>
            <w:r w:rsidRPr="00FC2D2F">
              <w:rPr>
                <w:rFonts w:ascii="Arial Narrow" w:hAnsi="Arial Narrow" w:cs="Arial"/>
                <w:sz w:val="20"/>
                <w:szCs w:val="20"/>
              </w:rPr>
              <w:t>/84)</w:t>
            </w:r>
          </w:p>
          <w:p w14:paraId="349D7DC4" w14:textId="07B8B64A"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$3482.57 (1.5</w:t>
            </w:r>
            <w:r w:rsidR="00067504">
              <w:rPr>
                <w:rFonts w:ascii="Arial Narrow" w:hAnsi="Arial Narrow" w:cs="Arial"/>
                <w:sz w:val="20"/>
                <w:szCs w:val="20"/>
              </w:rPr>
              <w:t xml:space="preserve"> mg</w:t>
            </w:r>
            <w:r w:rsidRPr="00FC2D2F">
              <w:rPr>
                <w:rFonts w:ascii="Arial Narrow" w:hAnsi="Arial Narrow" w:cs="Arial"/>
                <w:sz w:val="20"/>
                <w:szCs w:val="20"/>
              </w:rPr>
              <w:t>/84)</w:t>
            </w:r>
          </w:p>
          <w:p w14:paraId="18EEA14C" w14:textId="4859303B"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$1717.71 (2.0</w:t>
            </w:r>
            <w:r w:rsidR="00067504">
              <w:rPr>
                <w:rFonts w:ascii="Arial Narrow" w:hAnsi="Arial Narrow" w:cs="Arial"/>
                <w:sz w:val="20"/>
                <w:szCs w:val="20"/>
              </w:rPr>
              <w:t xml:space="preserve"> mg</w:t>
            </w:r>
            <w:r w:rsidRPr="00FC2D2F">
              <w:rPr>
                <w:rFonts w:ascii="Arial Narrow" w:hAnsi="Arial Narrow" w:cs="Arial"/>
                <w:sz w:val="20"/>
                <w:szCs w:val="20"/>
              </w:rPr>
              <w:t>/42)</w:t>
            </w:r>
          </w:p>
          <w:p w14:paraId="15AE92F7" w14:textId="66E819E1"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$1764.86 (2.0</w:t>
            </w:r>
            <w:r w:rsidR="00067504">
              <w:rPr>
                <w:rFonts w:ascii="Arial Narrow" w:hAnsi="Arial Narrow" w:cs="Arial"/>
                <w:sz w:val="20"/>
                <w:szCs w:val="20"/>
              </w:rPr>
              <w:t xml:space="preserve"> mg</w:t>
            </w:r>
            <w:r w:rsidRPr="00FC2D2F">
              <w:rPr>
                <w:rFonts w:ascii="Arial Narrow" w:hAnsi="Arial Narrow" w:cs="Arial"/>
                <w:sz w:val="20"/>
                <w:szCs w:val="20"/>
              </w:rPr>
              <w:t>/42)</w:t>
            </w:r>
          </w:p>
          <w:p w14:paraId="6548C39A" w14:textId="528ACFA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$3435.42 (2.0</w:t>
            </w:r>
            <w:r w:rsidR="00067504">
              <w:rPr>
                <w:rFonts w:ascii="Arial Narrow" w:hAnsi="Arial Narrow" w:cs="Arial"/>
                <w:sz w:val="20"/>
                <w:szCs w:val="20"/>
              </w:rPr>
              <w:t xml:space="preserve"> mg</w:t>
            </w:r>
            <w:r w:rsidRPr="00FC2D2F">
              <w:rPr>
                <w:rFonts w:ascii="Arial Narrow" w:hAnsi="Arial Narrow" w:cs="Arial"/>
                <w:sz w:val="20"/>
                <w:szCs w:val="20"/>
              </w:rPr>
              <w:t>/84)</w:t>
            </w:r>
          </w:p>
          <w:p w14:paraId="3384DBCA" w14:textId="649875A2"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$3482.57 (2.0</w:t>
            </w:r>
            <w:r w:rsidR="00067504">
              <w:rPr>
                <w:rFonts w:ascii="Arial Narrow" w:hAnsi="Arial Narrow" w:cs="Arial"/>
                <w:sz w:val="20"/>
                <w:szCs w:val="20"/>
              </w:rPr>
              <w:t xml:space="preserve"> mg</w:t>
            </w:r>
            <w:r w:rsidRPr="00FC2D2F">
              <w:rPr>
                <w:rFonts w:ascii="Arial Narrow" w:hAnsi="Arial Narrow" w:cs="Arial"/>
                <w:sz w:val="20"/>
                <w:szCs w:val="20"/>
              </w:rPr>
              <w:t>/84)</w:t>
            </w:r>
          </w:p>
          <w:p w14:paraId="0AF09CFE" w14:textId="2E61F013"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$1717.71 (2.5</w:t>
            </w:r>
            <w:r w:rsidR="00067504">
              <w:rPr>
                <w:rFonts w:ascii="Arial Narrow" w:hAnsi="Arial Narrow" w:cs="Arial"/>
                <w:sz w:val="20"/>
                <w:szCs w:val="20"/>
              </w:rPr>
              <w:t xml:space="preserve"> mg</w:t>
            </w:r>
            <w:r w:rsidRPr="00FC2D2F">
              <w:rPr>
                <w:rFonts w:ascii="Arial Narrow" w:hAnsi="Arial Narrow" w:cs="Arial"/>
                <w:sz w:val="20"/>
                <w:szCs w:val="20"/>
              </w:rPr>
              <w:t>/42)</w:t>
            </w:r>
          </w:p>
          <w:p w14:paraId="4BC37020" w14:textId="14A86E1E"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$1764.86 (2.5</w:t>
            </w:r>
            <w:r w:rsidR="00067504">
              <w:rPr>
                <w:rFonts w:ascii="Arial Narrow" w:hAnsi="Arial Narrow" w:cs="Arial"/>
                <w:sz w:val="20"/>
                <w:szCs w:val="20"/>
              </w:rPr>
              <w:t xml:space="preserve"> mg</w:t>
            </w:r>
            <w:r w:rsidRPr="00FC2D2F">
              <w:rPr>
                <w:rFonts w:ascii="Arial Narrow" w:hAnsi="Arial Narrow" w:cs="Arial"/>
                <w:sz w:val="20"/>
                <w:szCs w:val="20"/>
              </w:rPr>
              <w:t>/42)</w:t>
            </w:r>
          </w:p>
          <w:p w14:paraId="23B149C7" w14:textId="2391E331"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$3435.42</w:t>
            </w:r>
            <w:r w:rsidRPr="00FC2D2F">
              <w:rPr>
                <w:rFonts w:ascii="Arial Narrow" w:hAnsi="Arial Narrow" w:cs="Arial"/>
                <w:sz w:val="20"/>
                <w:szCs w:val="20"/>
              </w:rPr>
              <w:tab/>
              <w:t>(2.5</w:t>
            </w:r>
            <w:r w:rsidR="00067504">
              <w:rPr>
                <w:rFonts w:ascii="Arial Narrow" w:hAnsi="Arial Narrow" w:cs="Arial"/>
                <w:sz w:val="20"/>
                <w:szCs w:val="20"/>
              </w:rPr>
              <w:t xml:space="preserve"> mg</w:t>
            </w:r>
            <w:r w:rsidRPr="00FC2D2F">
              <w:rPr>
                <w:rFonts w:ascii="Arial Narrow" w:hAnsi="Arial Narrow" w:cs="Arial"/>
                <w:sz w:val="20"/>
                <w:szCs w:val="20"/>
              </w:rPr>
              <w:t>/84)</w:t>
            </w:r>
          </w:p>
          <w:p w14:paraId="63681C13" w14:textId="577B6E05"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$3482.57 (2.5</w:t>
            </w:r>
            <w:r w:rsidR="00067504">
              <w:rPr>
                <w:rFonts w:ascii="Arial Narrow" w:hAnsi="Arial Narrow" w:cs="Arial"/>
                <w:sz w:val="20"/>
                <w:szCs w:val="20"/>
              </w:rPr>
              <w:t xml:space="preserve"> mg</w:t>
            </w:r>
            <w:r w:rsidRPr="00FC2D2F">
              <w:rPr>
                <w:rFonts w:ascii="Arial Narrow" w:hAnsi="Arial Narrow" w:cs="Arial"/>
                <w:sz w:val="20"/>
                <w:szCs w:val="20"/>
              </w:rPr>
              <w:t>/84)</w:t>
            </w:r>
          </w:p>
        </w:tc>
        <w:tc>
          <w:tcPr>
            <w:tcW w:w="2317" w:type="pct"/>
            <w:tcBorders>
              <w:top w:val="single" w:sz="4" w:space="0" w:color="auto"/>
              <w:bottom w:val="single" w:sz="4" w:space="0" w:color="auto"/>
              <w:right w:val="nil"/>
            </w:tcBorders>
          </w:tcPr>
          <w:p w14:paraId="2C09FB5E"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lastRenderedPageBreak/>
              <w:t>Initial 1 (new patients)</w:t>
            </w:r>
          </w:p>
        </w:tc>
        <w:tc>
          <w:tcPr>
            <w:tcW w:w="403" w:type="pct"/>
            <w:tcBorders>
              <w:top w:val="single" w:sz="4" w:space="0" w:color="auto"/>
              <w:left w:val="nil"/>
              <w:bottom w:val="single" w:sz="4" w:space="0" w:color="auto"/>
            </w:tcBorders>
          </w:tcPr>
          <w:p w14:paraId="15FCFF4C"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7BD6050D" w14:textId="77777777" w:rsidTr="00C978EB">
        <w:tc>
          <w:tcPr>
            <w:tcW w:w="651" w:type="pct"/>
            <w:vMerge/>
          </w:tcPr>
          <w:p w14:paraId="52DCB2C4" w14:textId="77777777" w:rsidR="00064D19" w:rsidRPr="00FC2D2F" w:rsidRDefault="00064D19" w:rsidP="00121658">
            <w:pPr>
              <w:spacing w:before="0" w:line="240" w:lineRule="auto"/>
              <w:ind w:right="57"/>
              <w:rPr>
                <w:rFonts w:ascii="Arial Narrow" w:hAnsi="Arial Narrow" w:cs="Arial"/>
                <w:sz w:val="20"/>
                <w:szCs w:val="20"/>
              </w:rPr>
            </w:pPr>
          </w:p>
        </w:tc>
        <w:tc>
          <w:tcPr>
            <w:tcW w:w="333" w:type="pct"/>
            <w:vMerge/>
          </w:tcPr>
          <w:p w14:paraId="77C2F8C5"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0DCE892B" w14:textId="77777777" w:rsidR="00064D19" w:rsidRPr="00FC2D2F" w:rsidRDefault="00064D19" w:rsidP="00121658">
            <w:pPr>
              <w:spacing w:before="0" w:line="240" w:lineRule="auto"/>
              <w:ind w:right="57"/>
              <w:rPr>
                <w:rFonts w:ascii="Arial Narrow" w:hAnsi="Arial Narrow" w:cs="Arial"/>
                <w:sz w:val="20"/>
                <w:szCs w:val="20"/>
              </w:rPr>
            </w:pPr>
          </w:p>
        </w:tc>
        <w:tc>
          <w:tcPr>
            <w:tcW w:w="674" w:type="pct"/>
            <w:vMerge/>
            <w:tcBorders>
              <w:left w:val="nil"/>
            </w:tcBorders>
          </w:tcPr>
          <w:p w14:paraId="4770E3CD"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50E01D9E"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2 (new patients)</w:t>
            </w:r>
          </w:p>
        </w:tc>
        <w:tc>
          <w:tcPr>
            <w:tcW w:w="403" w:type="pct"/>
            <w:tcBorders>
              <w:top w:val="single" w:sz="4" w:space="0" w:color="auto"/>
              <w:left w:val="nil"/>
              <w:bottom w:val="single" w:sz="4" w:space="0" w:color="auto"/>
            </w:tcBorders>
          </w:tcPr>
          <w:p w14:paraId="40DD10B0"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218E187C" w14:textId="77777777" w:rsidTr="00C978EB">
        <w:tc>
          <w:tcPr>
            <w:tcW w:w="651" w:type="pct"/>
            <w:vMerge/>
          </w:tcPr>
          <w:p w14:paraId="5C8CD11C" w14:textId="77777777" w:rsidR="00064D19" w:rsidRPr="00FC2D2F" w:rsidRDefault="00064D19" w:rsidP="00121658">
            <w:pPr>
              <w:spacing w:before="0" w:line="240" w:lineRule="auto"/>
              <w:ind w:right="57"/>
              <w:rPr>
                <w:rFonts w:ascii="Arial Narrow" w:hAnsi="Arial Narrow" w:cs="Arial"/>
                <w:sz w:val="20"/>
                <w:szCs w:val="20"/>
              </w:rPr>
            </w:pPr>
          </w:p>
        </w:tc>
        <w:tc>
          <w:tcPr>
            <w:tcW w:w="333" w:type="pct"/>
            <w:vMerge/>
          </w:tcPr>
          <w:p w14:paraId="213F1616"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0C3F0796" w14:textId="77777777" w:rsidR="00064D19" w:rsidRPr="00FC2D2F" w:rsidRDefault="00064D19" w:rsidP="00121658">
            <w:pPr>
              <w:spacing w:before="0" w:line="240" w:lineRule="auto"/>
              <w:ind w:right="57"/>
              <w:rPr>
                <w:rFonts w:ascii="Arial Narrow" w:hAnsi="Arial Narrow" w:cs="Arial"/>
                <w:sz w:val="20"/>
                <w:szCs w:val="20"/>
              </w:rPr>
            </w:pPr>
          </w:p>
        </w:tc>
        <w:tc>
          <w:tcPr>
            <w:tcW w:w="674" w:type="pct"/>
            <w:vMerge/>
            <w:tcBorders>
              <w:left w:val="nil"/>
            </w:tcBorders>
          </w:tcPr>
          <w:p w14:paraId="6912C4CE"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1014FF56"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3 (change or re-commencement of therapy for all patients)</w:t>
            </w:r>
          </w:p>
        </w:tc>
        <w:tc>
          <w:tcPr>
            <w:tcW w:w="403" w:type="pct"/>
            <w:tcBorders>
              <w:top w:val="single" w:sz="4" w:space="0" w:color="auto"/>
              <w:left w:val="nil"/>
              <w:bottom w:val="single" w:sz="4" w:space="0" w:color="auto"/>
            </w:tcBorders>
          </w:tcPr>
          <w:p w14:paraId="10943A52"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07D57F88" w14:textId="77777777" w:rsidTr="00C978EB">
        <w:tc>
          <w:tcPr>
            <w:tcW w:w="651" w:type="pct"/>
            <w:vMerge/>
          </w:tcPr>
          <w:p w14:paraId="634E0577" w14:textId="77777777" w:rsidR="00064D19" w:rsidRPr="00FC2D2F" w:rsidRDefault="00064D19" w:rsidP="00121658">
            <w:pPr>
              <w:spacing w:before="0" w:line="240" w:lineRule="auto"/>
              <w:ind w:right="57"/>
              <w:rPr>
                <w:rFonts w:ascii="Arial Narrow" w:hAnsi="Arial Narrow" w:cs="Arial"/>
                <w:sz w:val="20"/>
                <w:szCs w:val="20"/>
              </w:rPr>
            </w:pPr>
          </w:p>
        </w:tc>
        <w:tc>
          <w:tcPr>
            <w:tcW w:w="333" w:type="pct"/>
            <w:vMerge/>
          </w:tcPr>
          <w:p w14:paraId="43349DD1"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549730DE" w14:textId="77777777" w:rsidR="00064D19" w:rsidRPr="00FC2D2F" w:rsidRDefault="00064D19" w:rsidP="00121658">
            <w:pPr>
              <w:spacing w:before="0" w:line="240" w:lineRule="auto"/>
              <w:ind w:right="57"/>
              <w:rPr>
                <w:rFonts w:ascii="Arial Narrow" w:hAnsi="Arial Narrow" w:cs="Arial"/>
                <w:sz w:val="20"/>
                <w:szCs w:val="20"/>
              </w:rPr>
            </w:pPr>
          </w:p>
        </w:tc>
        <w:tc>
          <w:tcPr>
            <w:tcW w:w="674" w:type="pct"/>
            <w:vMerge/>
            <w:tcBorders>
              <w:left w:val="nil"/>
            </w:tcBorders>
          </w:tcPr>
          <w:p w14:paraId="473A9B9A"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2E702C74"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1 or Initial 2 (new patients) or Initial 3 (change or re-commencement of therapy for all patients) or First Continuing treatment - Balance of supply</w:t>
            </w:r>
          </w:p>
        </w:tc>
        <w:tc>
          <w:tcPr>
            <w:tcW w:w="403" w:type="pct"/>
            <w:tcBorders>
              <w:top w:val="single" w:sz="4" w:space="0" w:color="auto"/>
              <w:left w:val="nil"/>
              <w:bottom w:val="single" w:sz="4" w:space="0" w:color="auto"/>
            </w:tcBorders>
          </w:tcPr>
          <w:p w14:paraId="206618E3"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 xml:space="preserve">Telephone </w:t>
            </w:r>
          </w:p>
        </w:tc>
      </w:tr>
      <w:tr w:rsidR="00064D19" w:rsidRPr="002D2A0A" w14:paraId="5880A538" w14:textId="77777777" w:rsidTr="00C978EB">
        <w:tc>
          <w:tcPr>
            <w:tcW w:w="651" w:type="pct"/>
            <w:vMerge/>
          </w:tcPr>
          <w:p w14:paraId="248A2753" w14:textId="77777777" w:rsidR="00064D19" w:rsidRPr="00FC2D2F" w:rsidRDefault="00064D19" w:rsidP="00121658">
            <w:pPr>
              <w:spacing w:before="0" w:line="240" w:lineRule="auto"/>
              <w:ind w:right="57"/>
              <w:rPr>
                <w:rFonts w:ascii="Arial Narrow" w:hAnsi="Arial Narrow" w:cs="Arial"/>
                <w:sz w:val="20"/>
                <w:szCs w:val="20"/>
              </w:rPr>
            </w:pPr>
          </w:p>
        </w:tc>
        <w:tc>
          <w:tcPr>
            <w:tcW w:w="333" w:type="pct"/>
            <w:vMerge/>
          </w:tcPr>
          <w:p w14:paraId="6313675A"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7A70DD7B" w14:textId="77777777" w:rsidR="00064D19" w:rsidRPr="00FC2D2F" w:rsidRDefault="00064D19" w:rsidP="00121658">
            <w:pPr>
              <w:spacing w:before="0" w:line="240" w:lineRule="auto"/>
              <w:ind w:right="57"/>
              <w:rPr>
                <w:rFonts w:ascii="Arial Narrow" w:hAnsi="Arial Narrow" w:cs="Arial"/>
                <w:sz w:val="20"/>
                <w:szCs w:val="20"/>
              </w:rPr>
            </w:pPr>
          </w:p>
        </w:tc>
        <w:tc>
          <w:tcPr>
            <w:tcW w:w="674" w:type="pct"/>
            <w:vMerge/>
            <w:tcBorders>
              <w:left w:val="nil"/>
            </w:tcBorders>
          </w:tcPr>
          <w:p w14:paraId="56EDA634"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760DEFBB"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First Continuing treatment</w:t>
            </w:r>
          </w:p>
        </w:tc>
        <w:tc>
          <w:tcPr>
            <w:tcW w:w="403" w:type="pct"/>
            <w:tcBorders>
              <w:top w:val="single" w:sz="4" w:space="0" w:color="auto"/>
              <w:left w:val="nil"/>
              <w:bottom w:val="single" w:sz="4" w:space="0" w:color="auto"/>
            </w:tcBorders>
          </w:tcPr>
          <w:p w14:paraId="0FB2C6C8"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342308A2" w14:textId="77777777" w:rsidTr="00C978EB">
        <w:tc>
          <w:tcPr>
            <w:tcW w:w="651" w:type="pct"/>
            <w:vMerge/>
          </w:tcPr>
          <w:p w14:paraId="5A4F48E2" w14:textId="77777777" w:rsidR="00064D19" w:rsidRPr="00FC2D2F" w:rsidRDefault="00064D19" w:rsidP="00121658">
            <w:pPr>
              <w:spacing w:before="0" w:line="240" w:lineRule="auto"/>
              <w:ind w:right="57"/>
              <w:rPr>
                <w:rFonts w:ascii="Arial Narrow" w:hAnsi="Arial Narrow" w:cs="Arial"/>
                <w:sz w:val="20"/>
                <w:szCs w:val="20"/>
              </w:rPr>
            </w:pPr>
          </w:p>
        </w:tc>
        <w:tc>
          <w:tcPr>
            <w:tcW w:w="333" w:type="pct"/>
            <w:vMerge/>
          </w:tcPr>
          <w:p w14:paraId="2EABE363"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133F2C47" w14:textId="77777777" w:rsidR="00064D19" w:rsidRPr="00FC2D2F" w:rsidRDefault="00064D19" w:rsidP="00121658">
            <w:pPr>
              <w:spacing w:before="0" w:line="240" w:lineRule="auto"/>
              <w:ind w:right="57"/>
              <w:rPr>
                <w:rFonts w:ascii="Arial Narrow" w:hAnsi="Arial Narrow" w:cs="Arial"/>
                <w:sz w:val="20"/>
                <w:szCs w:val="20"/>
              </w:rPr>
            </w:pPr>
          </w:p>
        </w:tc>
        <w:tc>
          <w:tcPr>
            <w:tcW w:w="674" w:type="pct"/>
            <w:vMerge/>
            <w:tcBorders>
              <w:left w:val="nil"/>
            </w:tcBorders>
          </w:tcPr>
          <w:p w14:paraId="79925510"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7DD64CA2"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Subsequent Continuing treatment</w:t>
            </w:r>
          </w:p>
        </w:tc>
        <w:tc>
          <w:tcPr>
            <w:tcW w:w="403" w:type="pct"/>
            <w:tcBorders>
              <w:top w:val="single" w:sz="4" w:space="0" w:color="auto"/>
              <w:left w:val="nil"/>
              <w:bottom w:val="single" w:sz="4" w:space="0" w:color="auto"/>
            </w:tcBorders>
          </w:tcPr>
          <w:p w14:paraId="2146CC94"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 xml:space="preserve">Telephone </w:t>
            </w:r>
          </w:p>
        </w:tc>
      </w:tr>
      <w:tr w:rsidR="00064D19" w:rsidRPr="002D2A0A" w14:paraId="0B43C1CF" w14:textId="77777777" w:rsidTr="00C978EB">
        <w:tc>
          <w:tcPr>
            <w:tcW w:w="651" w:type="pct"/>
            <w:vMerge/>
          </w:tcPr>
          <w:p w14:paraId="3F0EF18A" w14:textId="77777777" w:rsidR="00064D19" w:rsidRPr="00FC2D2F" w:rsidRDefault="00064D19" w:rsidP="00121658">
            <w:pPr>
              <w:spacing w:before="0" w:line="240" w:lineRule="auto"/>
              <w:ind w:right="57"/>
              <w:rPr>
                <w:rFonts w:ascii="Arial Narrow" w:hAnsi="Arial Narrow" w:cs="Arial"/>
                <w:sz w:val="20"/>
                <w:szCs w:val="20"/>
              </w:rPr>
            </w:pPr>
          </w:p>
        </w:tc>
        <w:tc>
          <w:tcPr>
            <w:tcW w:w="333" w:type="pct"/>
            <w:vMerge/>
          </w:tcPr>
          <w:p w14:paraId="3B5507EF"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481E3CA2" w14:textId="77777777" w:rsidR="00064D19" w:rsidRPr="00FC2D2F" w:rsidRDefault="00064D19" w:rsidP="00121658">
            <w:pPr>
              <w:spacing w:before="0" w:line="240" w:lineRule="auto"/>
              <w:ind w:right="57"/>
              <w:rPr>
                <w:rFonts w:ascii="Arial Narrow" w:hAnsi="Arial Narrow" w:cs="Arial"/>
                <w:sz w:val="20"/>
                <w:szCs w:val="20"/>
              </w:rPr>
            </w:pPr>
          </w:p>
        </w:tc>
        <w:tc>
          <w:tcPr>
            <w:tcW w:w="674" w:type="pct"/>
            <w:vMerge/>
            <w:tcBorders>
              <w:left w:val="nil"/>
            </w:tcBorders>
          </w:tcPr>
          <w:p w14:paraId="4B08E067"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2E95A92F" w14:textId="77777777" w:rsidR="00064D19" w:rsidRPr="00FC2D2F" w:rsidRDefault="00064D19" w:rsidP="00FC2D2F">
            <w:pPr>
              <w:spacing w:before="0" w:line="240" w:lineRule="auto"/>
              <w:ind w:left="156" w:right="57" w:firstLine="14"/>
              <w:rPr>
                <w:rFonts w:ascii="Arial Narrow" w:hAnsi="Arial Narrow" w:cs="Arial"/>
                <w:sz w:val="20"/>
                <w:szCs w:val="20"/>
              </w:rPr>
            </w:pPr>
            <w:r w:rsidRPr="00FC2D2F">
              <w:rPr>
                <w:rFonts w:ascii="Arial Narrow" w:hAnsi="Arial Narrow" w:cs="Arial"/>
                <w:sz w:val="20"/>
                <w:szCs w:val="20"/>
              </w:rPr>
              <w:t>Initial 4 (Grandfathered patients)</w:t>
            </w:r>
          </w:p>
        </w:tc>
        <w:tc>
          <w:tcPr>
            <w:tcW w:w="403" w:type="pct"/>
            <w:tcBorders>
              <w:top w:val="single" w:sz="4" w:space="0" w:color="auto"/>
              <w:left w:val="nil"/>
              <w:bottom w:val="single" w:sz="4" w:space="0" w:color="auto"/>
            </w:tcBorders>
          </w:tcPr>
          <w:p w14:paraId="3E883AC7"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r w:rsidR="00064D19" w:rsidRPr="002D2A0A" w14:paraId="0F2B5D6E" w14:textId="77777777" w:rsidTr="00C978EB">
        <w:tc>
          <w:tcPr>
            <w:tcW w:w="651" w:type="pct"/>
            <w:vMerge/>
          </w:tcPr>
          <w:p w14:paraId="416EC9B0" w14:textId="77777777" w:rsidR="00064D19" w:rsidRPr="00FC2D2F" w:rsidRDefault="00064D19" w:rsidP="00121658">
            <w:pPr>
              <w:spacing w:before="0" w:line="240" w:lineRule="auto"/>
              <w:ind w:right="57"/>
              <w:rPr>
                <w:rFonts w:ascii="Arial Narrow" w:hAnsi="Arial Narrow" w:cs="Arial"/>
                <w:sz w:val="20"/>
                <w:szCs w:val="20"/>
              </w:rPr>
            </w:pPr>
          </w:p>
        </w:tc>
        <w:tc>
          <w:tcPr>
            <w:tcW w:w="333" w:type="pct"/>
            <w:vMerge/>
          </w:tcPr>
          <w:p w14:paraId="523C3436" w14:textId="77777777" w:rsidR="00064D19" w:rsidRPr="00FC2D2F" w:rsidRDefault="00064D19" w:rsidP="00FC2D2F">
            <w:pPr>
              <w:spacing w:before="0" w:line="240" w:lineRule="auto"/>
              <w:ind w:right="57"/>
              <w:jc w:val="center"/>
              <w:rPr>
                <w:rFonts w:ascii="Arial Narrow" w:hAnsi="Arial Narrow" w:cs="Arial"/>
                <w:sz w:val="20"/>
                <w:szCs w:val="20"/>
              </w:rPr>
            </w:pPr>
          </w:p>
        </w:tc>
        <w:tc>
          <w:tcPr>
            <w:tcW w:w="622" w:type="pct"/>
            <w:vMerge/>
            <w:tcBorders>
              <w:right w:val="nil"/>
            </w:tcBorders>
          </w:tcPr>
          <w:p w14:paraId="6AABDC33" w14:textId="77777777" w:rsidR="00064D19" w:rsidRPr="00FC2D2F" w:rsidRDefault="00064D19" w:rsidP="00121658">
            <w:pPr>
              <w:spacing w:before="0" w:line="240" w:lineRule="auto"/>
              <w:ind w:right="57"/>
              <w:rPr>
                <w:rFonts w:ascii="Arial Narrow" w:hAnsi="Arial Narrow" w:cs="Arial"/>
                <w:sz w:val="20"/>
                <w:szCs w:val="20"/>
              </w:rPr>
            </w:pPr>
          </w:p>
        </w:tc>
        <w:tc>
          <w:tcPr>
            <w:tcW w:w="674" w:type="pct"/>
            <w:vMerge/>
            <w:tcBorders>
              <w:left w:val="nil"/>
            </w:tcBorders>
          </w:tcPr>
          <w:p w14:paraId="5E2B6F89" w14:textId="77777777" w:rsidR="00064D19" w:rsidRPr="00FC2D2F" w:rsidRDefault="00064D19" w:rsidP="00121658">
            <w:pPr>
              <w:spacing w:before="0" w:line="240" w:lineRule="auto"/>
              <w:ind w:right="57"/>
              <w:rPr>
                <w:rFonts w:ascii="Arial Narrow" w:hAnsi="Arial Narrow" w:cs="Arial"/>
                <w:sz w:val="20"/>
                <w:szCs w:val="20"/>
              </w:rPr>
            </w:pPr>
          </w:p>
        </w:tc>
        <w:tc>
          <w:tcPr>
            <w:tcW w:w="2317" w:type="pct"/>
            <w:tcBorders>
              <w:top w:val="single" w:sz="4" w:space="0" w:color="auto"/>
              <w:bottom w:val="single" w:sz="4" w:space="0" w:color="auto"/>
              <w:right w:val="nil"/>
            </w:tcBorders>
          </w:tcPr>
          <w:p w14:paraId="4362C0E6" w14:textId="77777777" w:rsidR="00064D19" w:rsidRPr="00FC2D2F" w:rsidRDefault="00064D19" w:rsidP="00FC2D2F">
            <w:pPr>
              <w:spacing w:before="0" w:line="240" w:lineRule="auto"/>
              <w:ind w:right="57" w:firstLine="156"/>
              <w:rPr>
                <w:rFonts w:ascii="Arial Narrow" w:hAnsi="Arial Narrow" w:cs="Arial"/>
                <w:sz w:val="20"/>
                <w:szCs w:val="20"/>
              </w:rPr>
            </w:pPr>
            <w:r w:rsidRPr="00FC2D2F">
              <w:rPr>
                <w:rFonts w:ascii="Arial Narrow" w:hAnsi="Arial Narrow" w:cs="Arial"/>
                <w:sz w:val="20"/>
                <w:szCs w:val="20"/>
              </w:rPr>
              <w:t>Initial 5 (Grandfathered patients)</w:t>
            </w:r>
          </w:p>
        </w:tc>
        <w:tc>
          <w:tcPr>
            <w:tcW w:w="403" w:type="pct"/>
            <w:tcBorders>
              <w:top w:val="single" w:sz="4" w:space="0" w:color="auto"/>
              <w:left w:val="nil"/>
              <w:bottom w:val="single" w:sz="4" w:space="0" w:color="auto"/>
            </w:tcBorders>
          </w:tcPr>
          <w:p w14:paraId="3E8F0122" w14:textId="77777777" w:rsidR="00064D19" w:rsidRPr="00FC2D2F" w:rsidRDefault="00064D19" w:rsidP="00121658">
            <w:pPr>
              <w:spacing w:before="0" w:line="240" w:lineRule="auto"/>
              <w:ind w:right="57"/>
              <w:rPr>
                <w:rFonts w:ascii="Arial Narrow" w:hAnsi="Arial Narrow" w:cs="Arial"/>
                <w:sz w:val="20"/>
                <w:szCs w:val="20"/>
              </w:rPr>
            </w:pPr>
            <w:r w:rsidRPr="00FC2D2F">
              <w:rPr>
                <w:rFonts w:ascii="Arial Narrow" w:hAnsi="Arial Narrow" w:cs="Arial"/>
                <w:sz w:val="20"/>
                <w:szCs w:val="20"/>
              </w:rPr>
              <w:t>Written</w:t>
            </w:r>
          </w:p>
        </w:tc>
      </w:tr>
    </w:tbl>
    <w:p w14:paraId="0DAC03E7" w14:textId="77777777" w:rsidR="00064D19" w:rsidRPr="002D2A0A" w:rsidRDefault="00064D19" w:rsidP="00121658">
      <w:pPr>
        <w:pStyle w:val="Tablenote"/>
        <w:rPr>
          <w:rFonts w:ascii="Arial" w:hAnsi="Arial" w:cs="Arial"/>
        </w:rPr>
      </w:pPr>
      <w:r w:rsidRPr="002D2A0A">
        <w:rPr>
          <w:rFonts w:ascii="Arial" w:hAnsi="Arial" w:cs="Arial"/>
          <w:sz w:val="18"/>
        </w:rPr>
        <w:t xml:space="preserve">Source: </w:t>
      </w:r>
      <w:r w:rsidRPr="00F4698B">
        <w:rPr>
          <w:rFonts w:ascii="Arial" w:hAnsi="Arial" w:cs="Arial"/>
          <w:sz w:val="18"/>
        </w:rPr>
        <w:t>www.pbs.gov.au</w:t>
      </w:r>
      <w:r w:rsidRPr="002D2A0A">
        <w:rPr>
          <w:rFonts w:ascii="Arial" w:hAnsi="Arial" w:cs="Arial"/>
          <w:sz w:val="18"/>
        </w:rPr>
        <w:t>; Correct as of 1 December 2017</w:t>
      </w:r>
      <w:r w:rsidR="00C6734D" w:rsidRPr="002D2A0A">
        <w:rPr>
          <w:rFonts w:ascii="Arial" w:hAnsi="Arial" w:cs="Arial"/>
          <w:sz w:val="18"/>
        </w:rPr>
        <w:t>.</w:t>
      </w:r>
    </w:p>
    <w:p w14:paraId="1B1E7E93" w14:textId="77777777" w:rsidR="00064D19" w:rsidRPr="002D2A0A" w:rsidRDefault="00064D19" w:rsidP="00121658">
      <w:pPr>
        <w:pStyle w:val="Tablenote"/>
        <w:rPr>
          <w:rFonts w:ascii="Arial" w:hAnsi="Arial" w:cs="Arial"/>
        </w:rPr>
      </w:pPr>
      <w:r w:rsidRPr="002D2A0A">
        <w:rPr>
          <w:rFonts w:ascii="Arial" w:hAnsi="Arial" w:cs="Arial"/>
        </w:rPr>
        <w:br w:type="page"/>
      </w:r>
    </w:p>
    <w:p w14:paraId="7BEA9614" w14:textId="77777777" w:rsidR="00064D19" w:rsidRPr="002D2A0A" w:rsidRDefault="00F275ED" w:rsidP="002D2A0A">
      <w:pPr>
        <w:pStyle w:val="Caption"/>
        <w:ind w:left="0" w:firstLine="0"/>
        <w:jc w:val="left"/>
        <w:rPr>
          <w:rFonts w:cs="Arial"/>
        </w:rPr>
      </w:pPr>
      <w:bookmarkStart w:id="320" w:name="_Ref508899377"/>
      <w:bookmarkStart w:id="321" w:name="_Toc502867739"/>
      <w:bookmarkStart w:id="322" w:name="_Toc29377266"/>
      <w:r w:rsidRPr="002D2A0A">
        <w:rPr>
          <w:rFonts w:cs="Arial"/>
        </w:rPr>
        <w:lastRenderedPageBreak/>
        <w:t>Table 1.</w:t>
      </w:r>
      <w:r w:rsidR="00505D99">
        <w:rPr>
          <w:rFonts w:cs="Arial"/>
          <w:noProof/>
        </w:rPr>
        <w:t>20</w:t>
      </w:r>
      <w:bookmarkEnd w:id="320"/>
      <w:r w:rsidR="000B7685">
        <w:rPr>
          <w:rFonts w:cs="Arial"/>
        </w:rPr>
        <w:tab/>
      </w:r>
      <w:r w:rsidR="00064D19" w:rsidRPr="002D2A0A">
        <w:rPr>
          <w:rFonts w:cs="Arial"/>
        </w:rPr>
        <w:t xml:space="preserve">PAH Medicines – PI references to use in combination with other </w:t>
      </w:r>
      <w:r w:rsidR="00F95235" w:rsidRPr="002D2A0A">
        <w:rPr>
          <w:rFonts w:cs="Arial"/>
        </w:rPr>
        <w:t>PAH medicines</w:t>
      </w:r>
      <w:bookmarkEnd w:id="321"/>
      <w:bookmarkEnd w:id="322"/>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H Medicines – PI references to use in combination with other PAH medicines"/>
      </w:tblPr>
      <w:tblGrid>
        <w:gridCol w:w="1395"/>
        <w:gridCol w:w="1157"/>
        <w:gridCol w:w="1901"/>
        <w:gridCol w:w="10075"/>
      </w:tblGrid>
      <w:tr w:rsidR="00064D19" w:rsidRPr="002D2A0A" w14:paraId="00A731ED" w14:textId="77777777" w:rsidTr="00806FA1">
        <w:trPr>
          <w:tblHeader/>
        </w:trPr>
        <w:tc>
          <w:tcPr>
            <w:tcW w:w="473" w:type="pct"/>
            <w:shd w:val="clear" w:color="auto" w:fill="BFBFBF" w:themeFill="background1" w:themeFillShade="BF"/>
          </w:tcPr>
          <w:p w14:paraId="718C84CF" w14:textId="77777777" w:rsidR="00064D19" w:rsidRPr="002D2A0A" w:rsidRDefault="00064D19" w:rsidP="00FC2D2F">
            <w:pPr>
              <w:spacing w:before="40" w:after="40" w:line="240" w:lineRule="auto"/>
              <w:rPr>
                <w:rFonts w:ascii="Arial" w:hAnsi="Arial" w:cs="Arial"/>
                <w:b/>
                <w:caps/>
                <w:color w:val="000000"/>
                <w:spacing w:val="5"/>
                <w:kern w:val="28"/>
                <w:sz w:val="20"/>
                <w:szCs w:val="20"/>
                <w:lang w:val="en-US"/>
              </w:rPr>
            </w:pPr>
            <w:r w:rsidRPr="002D2A0A">
              <w:rPr>
                <w:rFonts w:ascii="Arial" w:hAnsi="Arial" w:cs="Arial"/>
                <w:b/>
                <w:sz w:val="20"/>
                <w:szCs w:val="20"/>
              </w:rPr>
              <w:t>Medicine</w:t>
            </w:r>
          </w:p>
        </w:tc>
        <w:tc>
          <w:tcPr>
            <w:tcW w:w="392" w:type="pct"/>
            <w:shd w:val="clear" w:color="auto" w:fill="BFBFBF" w:themeFill="background1" w:themeFillShade="BF"/>
          </w:tcPr>
          <w:p w14:paraId="36CFE9AB" w14:textId="77777777" w:rsidR="00064D19" w:rsidRPr="002D2A0A" w:rsidRDefault="00064D19" w:rsidP="00FC2D2F">
            <w:pPr>
              <w:spacing w:before="40" w:after="40" w:line="240" w:lineRule="auto"/>
              <w:rPr>
                <w:rFonts w:ascii="Arial" w:hAnsi="Arial" w:cs="Arial"/>
                <w:b/>
                <w:sz w:val="20"/>
                <w:szCs w:val="20"/>
              </w:rPr>
            </w:pPr>
            <w:r w:rsidRPr="002D2A0A">
              <w:rPr>
                <w:rFonts w:ascii="Arial" w:hAnsi="Arial" w:cs="Arial"/>
                <w:b/>
                <w:sz w:val="20"/>
                <w:szCs w:val="20"/>
              </w:rPr>
              <w:t>Brand</w:t>
            </w:r>
          </w:p>
        </w:tc>
        <w:tc>
          <w:tcPr>
            <w:tcW w:w="661" w:type="pct"/>
            <w:shd w:val="clear" w:color="auto" w:fill="BFBFBF" w:themeFill="background1" w:themeFillShade="BF"/>
          </w:tcPr>
          <w:p w14:paraId="61441152" w14:textId="77777777" w:rsidR="00064D19" w:rsidRPr="002D2A0A" w:rsidRDefault="00064D19" w:rsidP="00FC2D2F">
            <w:pPr>
              <w:spacing w:before="40" w:after="40" w:line="240" w:lineRule="auto"/>
              <w:rPr>
                <w:rFonts w:ascii="Arial" w:hAnsi="Arial" w:cs="Arial"/>
                <w:b/>
                <w:sz w:val="20"/>
                <w:szCs w:val="20"/>
              </w:rPr>
            </w:pPr>
            <w:r w:rsidRPr="002D2A0A">
              <w:rPr>
                <w:rFonts w:ascii="Arial" w:hAnsi="Arial" w:cs="Arial"/>
                <w:b/>
                <w:sz w:val="20"/>
                <w:szCs w:val="20"/>
              </w:rPr>
              <w:t>PI Date</w:t>
            </w:r>
          </w:p>
        </w:tc>
        <w:tc>
          <w:tcPr>
            <w:tcW w:w="3474" w:type="pct"/>
            <w:shd w:val="clear" w:color="auto" w:fill="BFBFBF" w:themeFill="background1" w:themeFillShade="BF"/>
            <w:vAlign w:val="center"/>
          </w:tcPr>
          <w:p w14:paraId="0B596C94" w14:textId="77777777" w:rsidR="00064D19" w:rsidRPr="002D2A0A" w:rsidRDefault="00064D19" w:rsidP="00FC2D2F">
            <w:pPr>
              <w:spacing w:before="40" w:after="40" w:line="240" w:lineRule="auto"/>
              <w:rPr>
                <w:rFonts w:ascii="Arial" w:hAnsi="Arial" w:cs="Arial"/>
                <w:b/>
                <w:sz w:val="20"/>
                <w:szCs w:val="20"/>
              </w:rPr>
            </w:pPr>
            <w:r w:rsidRPr="002D2A0A">
              <w:rPr>
                <w:rFonts w:ascii="Arial" w:hAnsi="Arial" w:cs="Arial"/>
                <w:b/>
                <w:sz w:val="20"/>
                <w:szCs w:val="20"/>
              </w:rPr>
              <w:t>Combination Therapy</w:t>
            </w:r>
          </w:p>
        </w:tc>
      </w:tr>
      <w:tr w:rsidR="00064D19" w:rsidRPr="002D2A0A" w14:paraId="629BAD17" w14:textId="77777777" w:rsidTr="00806FA1">
        <w:tc>
          <w:tcPr>
            <w:tcW w:w="473" w:type="pct"/>
            <w:shd w:val="clear" w:color="auto" w:fill="auto"/>
          </w:tcPr>
          <w:p w14:paraId="29330181"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Bosentan</w:t>
            </w:r>
          </w:p>
        </w:tc>
        <w:tc>
          <w:tcPr>
            <w:tcW w:w="392" w:type="pct"/>
          </w:tcPr>
          <w:p w14:paraId="24CD7261" w14:textId="77777777" w:rsidR="00064D19" w:rsidRPr="002D2A0A" w:rsidRDefault="00060C26" w:rsidP="00121658">
            <w:pPr>
              <w:spacing w:before="0" w:line="240" w:lineRule="auto"/>
              <w:rPr>
                <w:rFonts w:ascii="Arial" w:hAnsi="Arial" w:cs="Arial"/>
                <w:sz w:val="20"/>
                <w:szCs w:val="20"/>
              </w:rPr>
            </w:pPr>
            <w:proofErr w:type="spellStart"/>
            <w:r w:rsidRPr="002D2A0A">
              <w:rPr>
                <w:rFonts w:ascii="Arial" w:hAnsi="Arial" w:cs="Arial"/>
                <w:sz w:val="20"/>
                <w:szCs w:val="20"/>
              </w:rPr>
              <w:t>Tracleer</w:t>
            </w:r>
            <w:proofErr w:type="spellEnd"/>
            <w:r w:rsidR="00252749" w:rsidRPr="002D2A0A">
              <w:rPr>
                <w:rFonts w:ascii="Arial" w:hAnsi="Arial" w:cs="Arial"/>
                <w:sz w:val="20"/>
                <w:szCs w:val="20"/>
                <w:vertAlign w:val="superscript"/>
              </w:rPr>
              <w:t>®</w:t>
            </w:r>
          </w:p>
        </w:tc>
        <w:tc>
          <w:tcPr>
            <w:tcW w:w="661" w:type="pct"/>
          </w:tcPr>
          <w:p w14:paraId="78A9C146"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15 February 2016</w:t>
            </w:r>
          </w:p>
        </w:tc>
        <w:tc>
          <w:tcPr>
            <w:tcW w:w="3474" w:type="pct"/>
            <w:shd w:val="clear" w:color="auto" w:fill="auto"/>
            <w:vAlign w:val="center"/>
          </w:tcPr>
          <w:p w14:paraId="23688E4F"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CLINICAL TRIALS:</w:t>
            </w:r>
          </w:p>
          <w:p w14:paraId="7D282FE8"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Combination with epoprostenol – The combination of </w:t>
            </w:r>
            <w:r w:rsidR="00060C26" w:rsidRPr="007B459D">
              <w:rPr>
                <w:rFonts w:ascii="Arial" w:hAnsi="Arial" w:cs="Arial"/>
                <w:i/>
                <w:caps/>
                <w:sz w:val="20"/>
                <w:szCs w:val="20"/>
              </w:rPr>
              <w:t>Tracleer</w:t>
            </w:r>
            <w:r w:rsidR="00252749" w:rsidRPr="002D2A0A">
              <w:rPr>
                <w:rFonts w:ascii="Arial" w:hAnsi="Arial" w:cs="Arial"/>
                <w:i/>
                <w:sz w:val="20"/>
                <w:szCs w:val="20"/>
                <w:vertAlign w:val="superscript"/>
              </w:rPr>
              <w:t>®</w:t>
            </w:r>
            <w:r w:rsidRPr="002D2A0A">
              <w:rPr>
                <w:rFonts w:ascii="Arial" w:hAnsi="Arial" w:cs="Arial"/>
                <w:i/>
                <w:sz w:val="20"/>
                <w:szCs w:val="20"/>
              </w:rPr>
              <w:t xml:space="preserve"> and epoprostenol </w:t>
            </w:r>
            <w:proofErr w:type="gramStart"/>
            <w:r w:rsidRPr="002D2A0A">
              <w:rPr>
                <w:rFonts w:ascii="Arial" w:hAnsi="Arial" w:cs="Arial"/>
                <w:i/>
                <w:sz w:val="20"/>
                <w:szCs w:val="20"/>
              </w:rPr>
              <w:t>has been investigated</w:t>
            </w:r>
            <w:proofErr w:type="gramEnd"/>
            <w:r w:rsidRPr="002D2A0A">
              <w:rPr>
                <w:rFonts w:ascii="Arial" w:hAnsi="Arial" w:cs="Arial"/>
                <w:i/>
                <w:sz w:val="20"/>
                <w:szCs w:val="20"/>
              </w:rPr>
              <w:t xml:space="preserve"> in two studies: AC-052-355 (BREATHE-2) and AC-052-356 (BREATHE-3). AC-052-355 was a multi-centre, randomised, </w:t>
            </w:r>
            <w:proofErr w:type="gramStart"/>
            <w:r w:rsidRPr="002D2A0A">
              <w:rPr>
                <w:rFonts w:ascii="Arial" w:hAnsi="Arial" w:cs="Arial"/>
                <w:i/>
                <w:sz w:val="20"/>
                <w:szCs w:val="20"/>
              </w:rPr>
              <w:t>double-blind</w:t>
            </w:r>
            <w:proofErr w:type="gramEnd"/>
            <w:r w:rsidRPr="002D2A0A">
              <w:rPr>
                <w:rFonts w:ascii="Arial" w:hAnsi="Arial" w:cs="Arial"/>
                <w:i/>
                <w:sz w:val="20"/>
                <w:szCs w:val="20"/>
              </w:rPr>
              <w:t xml:space="preserve">, parallel-group trial of </w:t>
            </w:r>
            <w:r w:rsidR="00060C26" w:rsidRPr="007B459D">
              <w:rPr>
                <w:rFonts w:ascii="Arial" w:hAnsi="Arial" w:cs="Arial"/>
                <w:i/>
                <w:caps/>
                <w:sz w:val="20"/>
                <w:szCs w:val="20"/>
              </w:rPr>
              <w:t>Tracleer</w:t>
            </w:r>
            <w:r w:rsidR="00252749" w:rsidRPr="002D2A0A">
              <w:rPr>
                <w:rFonts w:ascii="Arial" w:hAnsi="Arial" w:cs="Arial"/>
                <w:i/>
                <w:sz w:val="20"/>
                <w:szCs w:val="20"/>
                <w:vertAlign w:val="superscript"/>
              </w:rPr>
              <w:t>®</w:t>
            </w:r>
            <w:r w:rsidRPr="002D2A0A">
              <w:rPr>
                <w:rFonts w:ascii="Arial" w:hAnsi="Arial" w:cs="Arial"/>
                <w:i/>
                <w:sz w:val="20"/>
                <w:szCs w:val="20"/>
              </w:rPr>
              <w:t xml:space="preserve"> versus placebo in 33 patients with severe pulmonary arterial hypertension who were receiving concomitant epoprostenol therapy. AC-052-356 was an open-label, non-controlled trial; 10 of the 19 paediatric patients were on concomitant </w:t>
            </w:r>
            <w:r w:rsidR="00060C26" w:rsidRPr="002D2A0A">
              <w:rPr>
                <w:rFonts w:ascii="Arial" w:hAnsi="Arial" w:cs="Arial"/>
                <w:i/>
                <w:sz w:val="20"/>
                <w:szCs w:val="20"/>
              </w:rPr>
              <w:t>T</w:t>
            </w:r>
            <w:r w:rsidR="00060C26" w:rsidRPr="007B459D">
              <w:rPr>
                <w:rFonts w:ascii="Arial" w:hAnsi="Arial" w:cs="Arial"/>
                <w:i/>
                <w:caps/>
                <w:sz w:val="20"/>
                <w:szCs w:val="20"/>
              </w:rPr>
              <w:t>racleer</w:t>
            </w:r>
            <w:r w:rsidR="00252749" w:rsidRPr="002D2A0A">
              <w:rPr>
                <w:rFonts w:ascii="Arial" w:hAnsi="Arial" w:cs="Arial"/>
                <w:i/>
                <w:sz w:val="20"/>
                <w:szCs w:val="20"/>
                <w:vertAlign w:val="superscript"/>
              </w:rPr>
              <w:t>®</w:t>
            </w:r>
            <w:r w:rsidRPr="002D2A0A">
              <w:rPr>
                <w:rFonts w:ascii="Arial" w:hAnsi="Arial" w:cs="Arial"/>
                <w:i/>
                <w:sz w:val="20"/>
                <w:szCs w:val="20"/>
              </w:rPr>
              <w:t xml:space="preserve"> and epoprostenol therapy during the 12–week trial. The safety profile of the combination was not different from the one expected with each component and the combination therapy was well tolerated in children and adults. The clinical benefit of the combination </w:t>
            </w:r>
            <w:proofErr w:type="gramStart"/>
            <w:r w:rsidRPr="002D2A0A">
              <w:rPr>
                <w:rFonts w:ascii="Arial" w:hAnsi="Arial" w:cs="Arial"/>
                <w:i/>
                <w:sz w:val="20"/>
                <w:szCs w:val="20"/>
              </w:rPr>
              <w:t>has not been demonstrated</w:t>
            </w:r>
            <w:proofErr w:type="gramEnd"/>
            <w:r w:rsidRPr="002D2A0A">
              <w:rPr>
                <w:rFonts w:ascii="Arial" w:hAnsi="Arial" w:cs="Arial"/>
                <w:i/>
                <w:sz w:val="20"/>
                <w:szCs w:val="20"/>
              </w:rPr>
              <w:t>.</w:t>
            </w:r>
          </w:p>
          <w:p w14:paraId="09C2D4DD"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PRECAUTIONS:</w:t>
            </w:r>
          </w:p>
          <w:p w14:paraId="126CE640"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Use in patients receiving epoprostenol – In a randomised, double blind trial (BREATHE-2), 32 patients were commenced on epoprostenol, to which bosentan (n=22) or placebo (n=11) was added two days later. The treatments </w:t>
            </w:r>
            <w:proofErr w:type="gramStart"/>
            <w:r w:rsidRPr="002D2A0A">
              <w:rPr>
                <w:rFonts w:ascii="Arial" w:hAnsi="Arial" w:cs="Arial"/>
                <w:i/>
                <w:sz w:val="20"/>
                <w:szCs w:val="20"/>
              </w:rPr>
              <w:t>were then carried out</w:t>
            </w:r>
            <w:proofErr w:type="gramEnd"/>
            <w:r w:rsidRPr="002D2A0A">
              <w:rPr>
                <w:rFonts w:ascii="Arial" w:hAnsi="Arial" w:cs="Arial"/>
                <w:i/>
                <w:sz w:val="20"/>
                <w:szCs w:val="20"/>
              </w:rPr>
              <w:t xml:space="preserve"> for 16 weeks. The trial failed to show any significant clinical benefit (</w:t>
            </w:r>
            <w:proofErr w:type="gramStart"/>
            <w:r w:rsidRPr="002D2A0A">
              <w:rPr>
                <w:rFonts w:ascii="Arial" w:hAnsi="Arial" w:cs="Arial"/>
                <w:i/>
                <w:sz w:val="20"/>
                <w:szCs w:val="20"/>
              </w:rPr>
              <w:t>6 minute</w:t>
            </w:r>
            <w:proofErr w:type="gramEnd"/>
            <w:r w:rsidRPr="002D2A0A">
              <w:rPr>
                <w:rFonts w:ascii="Arial" w:hAnsi="Arial" w:cs="Arial"/>
                <w:i/>
                <w:sz w:val="20"/>
                <w:szCs w:val="20"/>
              </w:rPr>
              <w:t xml:space="preserve"> walk, dyspnoea score, WHO functional class) or </w:t>
            </w:r>
            <w:proofErr w:type="spellStart"/>
            <w:r w:rsidRPr="002D2A0A">
              <w:rPr>
                <w:rFonts w:ascii="Arial" w:hAnsi="Arial" w:cs="Arial"/>
                <w:i/>
                <w:sz w:val="20"/>
                <w:szCs w:val="20"/>
              </w:rPr>
              <w:t>pharmacodynamic</w:t>
            </w:r>
            <w:proofErr w:type="spellEnd"/>
            <w:r w:rsidRPr="002D2A0A">
              <w:rPr>
                <w:rFonts w:ascii="Arial" w:hAnsi="Arial" w:cs="Arial"/>
                <w:i/>
                <w:sz w:val="20"/>
                <w:szCs w:val="20"/>
              </w:rPr>
              <w:t xml:space="preserve"> effect. The co-administration of bosentan with epoprostenol </w:t>
            </w:r>
            <w:proofErr w:type="gramStart"/>
            <w:r w:rsidRPr="002D2A0A">
              <w:rPr>
                <w:rFonts w:ascii="Arial" w:hAnsi="Arial" w:cs="Arial"/>
                <w:i/>
                <w:sz w:val="20"/>
                <w:szCs w:val="20"/>
              </w:rPr>
              <w:t>is, therefore, not recommended</w:t>
            </w:r>
            <w:proofErr w:type="gramEnd"/>
            <w:r w:rsidRPr="002D2A0A">
              <w:rPr>
                <w:rFonts w:ascii="Arial" w:hAnsi="Arial" w:cs="Arial"/>
                <w:i/>
                <w:sz w:val="20"/>
                <w:szCs w:val="20"/>
              </w:rPr>
              <w:t>.</w:t>
            </w:r>
          </w:p>
          <w:p w14:paraId="76C9CF0F" w14:textId="6EC4AE7A"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Interactions with Other Medicines – Concomitant administration of </w:t>
            </w:r>
            <w:r w:rsidR="00060C26" w:rsidRPr="002D2A0A">
              <w:rPr>
                <w:rFonts w:ascii="Arial" w:hAnsi="Arial" w:cs="Arial"/>
                <w:i/>
                <w:sz w:val="20"/>
                <w:szCs w:val="20"/>
              </w:rPr>
              <w:t>TRACLEER</w:t>
            </w:r>
            <w:r w:rsidR="007B459D">
              <w:rPr>
                <w:rFonts w:ascii="Arial" w:hAnsi="Arial" w:cs="Arial"/>
                <w:i/>
                <w:sz w:val="20"/>
                <w:szCs w:val="20"/>
                <w:vertAlign w:val="superscript"/>
              </w:rPr>
              <w:t>®</w:t>
            </w:r>
            <w:r w:rsidRPr="002D2A0A">
              <w:rPr>
                <w:rFonts w:ascii="Arial" w:hAnsi="Arial" w:cs="Arial"/>
                <w:i/>
                <w:sz w:val="20"/>
                <w:szCs w:val="20"/>
              </w:rPr>
              <w:t xml:space="preserve"> and epoprostenol has shown to be safe and efficacious in a clinical study with paediatric PPH/PAH patients. The pharmacokinetics were similar to those in adult patients and healthy subjects in other studies.</w:t>
            </w:r>
          </w:p>
          <w:p w14:paraId="371959ED" w14:textId="71770736"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Effects of bosentan on other drugs – Co-administration of </w:t>
            </w:r>
            <w:r w:rsidR="00060C26" w:rsidRPr="002D2A0A">
              <w:rPr>
                <w:rFonts w:ascii="Arial" w:hAnsi="Arial" w:cs="Arial"/>
                <w:i/>
                <w:sz w:val="20"/>
                <w:szCs w:val="20"/>
              </w:rPr>
              <w:t>TRACLEER</w:t>
            </w:r>
            <w:r w:rsidR="00252749" w:rsidRPr="002D2A0A">
              <w:rPr>
                <w:rFonts w:ascii="Arial" w:hAnsi="Arial" w:cs="Arial"/>
                <w:i/>
                <w:sz w:val="20"/>
                <w:szCs w:val="20"/>
                <w:vertAlign w:val="superscript"/>
              </w:rPr>
              <w:t>®</w:t>
            </w:r>
            <w:r w:rsidRPr="002D2A0A">
              <w:rPr>
                <w:rFonts w:ascii="Arial" w:hAnsi="Arial" w:cs="Arial"/>
                <w:i/>
                <w:sz w:val="20"/>
                <w:szCs w:val="20"/>
              </w:rPr>
              <w:t xml:space="preserve"> 125 mg twice daily (steady state) with sildenafil 80 mg three times a day (at steady state) concomitantly administered during 6 days in healthy volunteers resulted in a 63% decrease of the sildenafil AUC and a 50% increase of the bosentan AUC. Caution </w:t>
            </w:r>
            <w:proofErr w:type="gramStart"/>
            <w:r w:rsidRPr="002D2A0A">
              <w:rPr>
                <w:rFonts w:ascii="Arial" w:hAnsi="Arial" w:cs="Arial"/>
                <w:i/>
                <w:sz w:val="20"/>
                <w:szCs w:val="20"/>
              </w:rPr>
              <w:t>is recommended</w:t>
            </w:r>
            <w:proofErr w:type="gramEnd"/>
            <w:r w:rsidRPr="002D2A0A">
              <w:rPr>
                <w:rFonts w:ascii="Arial" w:hAnsi="Arial" w:cs="Arial"/>
                <w:i/>
                <w:sz w:val="20"/>
                <w:szCs w:val="20"/>
              </w:rPr>
              <w:t xml:space="preserve"> in case of co-administration. The reduction in sildenafil plasma concentration with co-administration of bosentan </w:t>
            </w:r>
            <w:proofErr w:type="gramStart"/>
            <w:r w:rsidRPr="002D2A0A">
              <w:rPr>
                <w:rFonts w:ascii="Arial" w:hAnsi="Arial" w:cs="Arial"/>
                <w:i/>
                <w:sz w:val="20"/>
                <w:szCs w:val="20"/>
              </w:rPr>
              <w:t>has also been reported</w:t>
            </w:r>
            <w:proofErr w:type="gramEnd"/>
            <w:r w:rsidRPr="002D2A0A">
              <w:rPr>
                <w:rFonts w:ascii="Arial" w:hAnsi="Arial" w:cs="Arial"/>
                <w:i/>
                <w:sz w:val="20"/>
                <w:szCs w:val="20"/>
              </w:rPr>
              <w:t xml:space="preserve"> in a study of patients with primary arterial hypertension.</w:t>
            </w:r>
          </w:p>
        </w:tc>
      </w:tr>
      <w:tr w:rsidR="00064D19" w:rsidRPr="002D2A0A" w14:paraId="591310A9" w14:textId="77777777" w:rsidTr="00806FA1">
        <w:tc>
          <w:tcPr>
            <w:tcW w:w="473" w:type="pct"/>
            <w:shd w:val="clear" w:color="auto" w:fill="auto"/>
          </w:tcPr>
          <w:p w14:paraId="094C3CF3"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Ambrisentan</w:t>
            </w:r>
          </w:p>
        </w:tc>
        <w:tc>
          <w:tcPr>
            <w:tcW w:w="392" w:type="pct"/>
          </w:tcPr>
          <w:p w14:paraId="4CCAF7D7" w14:textId="77777777" w:rsidR="00064D19" w:rsidRPr="002D2A0A" w:rsidRDefault="00777ACB" w:rsidP="00121658">
            <w:pPr>
              <w:spacing w:before="0" w:line="240" w:lineRule="auto"/>
              <w:rPr>
                <w:rFonts w:ascii="Arial" w:hAnsi="Arial" w:cs="Arial"/>
                <w:sz w:val="20"/>
                <w:szCs w:val="20"/>
              </w:rPr>
            </w:pPr>
            <w:proofErr w:type="spellStart"/>
            <w:r w:rsidRPr="002D2A0A">
              <w:rPr>
                <w:rFonts w:ascii="Arial" w:hAnsi="Arial" w:cs="Arial"/>
                <w:sz w:val="20"/>
                <w:szCs w:val="20"/>
              </w:rPr>
              <w:t>Volibris</w:t>
            </w:r>
            <w:proofErr w:type="spellEnd"/>
            <w:r w:rsidR="00252749" w:rsidRPr="002D2A0A">
              <w:rPr>
                <w:rFonts w:ascii="Arial" w:hAnsi="Arial" w:cs="Arial"/>
                <w:sz w:val="20"/>
                <w:szCs w:val="20"/>
              </w:rPr>
              <w:t>®</w:t>
            </w:r>
          </w:p>
        </w:tc>
        <w:tc>
          <w:tcPr>
            <w:tcW w:w="661" w:type="pct"/>
          </w:tcPr>
          <w:p w14:paraId="2192CA79"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16 February 2016</w:t>
            </w:r>
          </w:p>
        </w:tc>
        <w:tc>
          <w:tcPr>
            <w:tcW w:w="3474" w:type="pct"/>
            <w:shd w:val="clear" w:color="auto" w:fill="auto"/>
            <w:vAlign w:val="center"/>
          </w:tcPr>
          <w:p w14:paraId="176E55DB"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PHARMACOLOGY:</w:t>
            </w:r>
          </w:p>
          <w:p w14:paraId="7EE07A7C"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The effect of 7-day dosing of sildenafil (20 mg three times daily) on the pharmacokinetics of a single dose of ambrisentan, and the effects of 7-day dosing of ambrisentan (10 mg once daily) on the pharmacokinetics of a single dose of sildenafil </w:t>
            </w:r>
            <w:proofErr w:type="gramStart"/>
            <w:r w:rsidRPr="002D2A0A">
              <w:rPr>
                <w:rFonts w:ascii="Arial" w:hAnsi="Arial" w:cs="Arial"/>
                <w:i/>
                <w:sz w:val="20"/>
                <w:szCs w:val="20"/>
              </w:rPr>
              <w:t>were investigated</w:t>
            </w:r>
            <w:proofErr w:type="gramEnd"/>
            <w:r w:rsidRPr="002D2A0A">
              <w:rPr>
                <w:rFonts w:ascii="Arial" w:hAnsi="Arial" w:cs="Arial"/>
                <w:i/>
                <w:sz w:val="20"/>
                <w:szCs w:val="20"/>
              </w:rPr>
              <w:t xml:space="preserve"> in 19 healthy adults. With the exception of a 13% increase (90% CI: 99.6% - 129.1%) in sildenafil </w:t>
            </w:r>
            <w:proofErr w:type="spellStart"/>
            <w:r w:rsidRPr="002D2A0A">
              <w:rPr>
                <w:rFonts w:ascii="Arial" w:hAnsi="Arial" w:cs="Arial"/>
                <w:i/>
                <w:sz w:val="20"/>
                <w:szCs w:val="20"/>
              </w:rPr>
              <w:t>Cmax</w:t>
            </w:r>
            <w:proofErr w:type="spellEnd"/>
            <w:r w:rsidRPr="002D2A0A">
              <w:rPr>
                <w:rFonts w:ascii="Arial" w:hAnsi="Arial" w:cs="Arial"/>
                <w:i/>
                <w:sz w:val="20"/>
                <w:szCs w:val="20"/>
              </w:rPr>
              <w:t xml:space="preserve"> following co-administration with ambrisentan, there were no other changes in the pharmacokinetic parameters of sildenafil, N-</w:t>
            </w:r>
            <w:proofErr w:type="spellStart"/>
            <w:r w:rsidRPr="002D2A0A">
              <w:rPr>
                <w:rFonts w:ascii="Arial" w:hAnsi="Arial" w:cs="Arial"/>
                <w:i/>
                <w:sz w:val="20"/>
                <w:szCs w:val="20"/>
              </w:rPr>
              <w:t>desmethyl</w:t>
            </w:r>
            <w:proofErr w:type="spellEnd"/>
            <w:r w:rsidRPr="002D2A0A">
              <w:rPr>
                <w:rFonts w:ascii="Arial" w:hAnsi="Arial" w:cs="Arial"/>
                <w:i/>
                <w:sz w:val="20"/>
                <w:szCs w:val="20"/>
              </w:rPr>
              <w:t xml:space="preserve">-sildenafil and ambrisentan. This slight increase in sildenafil </w:t>
            </w:r>
            <w:proofErr w:type="spellStart"/>
            <w:r w:rsidRPr="002D2A0A">
              <w:rPr>
                <w:rFonts w:ascii="Arial" w:hAnsi="Arial" w:cs="Arial"/>
                <w:i/>
                <w:sz w:val="20"/>
                <w:szCs w:val="20"/>
              </w:rPr>
              <w:t>Cmax</w:t>
            </w:r>
            <w:proofErr w:type="spellEnd"/>
            <w:r w:rsidRPr="002D2A0A">
              <w:rPr>
                <w:rFonts w:ascii="Arial" w:hAnsi="Arial" w:cs="Arial"/>
                <w:i/>
                <w:sz w:val="20"/>
                <w:szCs w:val="20"/>
              </w:rPr>
              <w:t xml:space="preserve"> </w:t>
            </w:r>
            <w:proofErr w:type="gramStart"/>
            <w:r w:rsidRPr="002D2A0A">
              <w:rPr>
                <w:rFonts w:ascii="Arial" w:hAnsi="Arial" w:cs="Arial"/>
                <w:i/>
                <w:sz w:val="20"/>
                <w:szCs w:val="20"/>
              </w:rPr>
              <w:t>is not considered</w:t>
            </w:r>
            <w:proofErr w:type="gramEnd"/>
            <w:r w:rsidRPr="002D2A0A">
              <w:rPr>
                <w:rFonts w:ascii="Arial" w:hAnsi="Arial" w:cs="Arial"/>
                <w:i/>
                <w:sz w:val="20"/>
                <w:szCs w:val="20"/>
              </w:rPr>
              <w:t xml:space="preserve"> clinically relevant (see Interactions with Other Medicines).</w:t>
            </w:r>
          </w:p>
          <w:p w14:paraId="04C7F5A4"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INDICATIONS:</w:t>
            </w:r>
          </w:p>
          <w:p w14:paraId="06273B2C" w14:textId="77777777" w:rsidR="00064D19" w:rsidRPr="002D2A0A" w:rsidRDefault="00777ACB" w:rsidP="00121658">
            <w:pPr>
              <w:spacing w:before="0" w:after="120" w:line="240" w:lineRule="auto"/>
              <w:rPr>
                <w:rFonts w:ascii="Arial" w:hAnsi="Arial" w:cs="Arial"/>
                <w:i/>
                <w:sz w:val="20"/>
                <w:szCs w:val="20"/>
              </w:rPr>
            </w:pPr>
            <w:r w:rsidRPr="002D2A0A">
              <w:rPr>
                <w:rFonts w:ascii="Arial" w:hAnsi="Arial" w:cs="Arial"/>
                <w:i/>
                <w:sz w:val="20"/>
                <w:szCs w:val="20"/>
              </w:rPr>
              <w:t>VOLIBRIS</w:t>
            </w:r>
            <w:r w:rsidR="00252749" w:rsidRPr="002D2A0A">
              <w:rPr>
                <w:rFonts w:ascii="Arial" w:hAnsi="Arial" w:cs="Arial"/>
                <w:i/>
                <w:sz w:val="20"/>
                <w:szCs w:val="20"/>
              </w:rPr>
              <w:t>®</w:t>
            </w:r>
            <w:r w:rsidR="00064D19" w:rsidRPr="002D2A0A">
              <w:rPr>
                <w:rFonts w:ascii="Arial" w:hAnsi="Arial" w:cs="Arial"/>
                <w:i/>
                <w:sz w:val="20"/>
                <w:szCs w:val="20"/>
              </w:rPr>
              <w:t xml:space="preserve"> in combination with Tadalafil </w:t>
            </w:r>
            <w:proofErr w:type="gramStart"/>
            <w:r w:rsidR="00064D19" w:rsidRPr="002D2A0A">
              <w:rPr>
                <w:rFonts w:ascii="Arial" w:hAnsi="Arial" w:cs="Arial"/>
                <w:i/>
                <w:sz w:val="20"/>
                <w:szCs w:val="20"/>
              </w:rPr>
              <w:t>is indicated</w:t>
            </w:r>
            <w:proofErr w:type="gramEnd"/>
            <w:r w:rsidR="00064D19" w:rsidRPr="002D2A0A">
              <w:rPr>
                <w:rFonts w:ascii="Arial" w:hAnsi="Arial" w:cs="Arial"/>
                <w:i/>
                <w:sz w:val="20"/>
                <w:szCs w:val="20"/>
              </w:rPr>
              <w:t xml:space="preserve"> for the treatment of WHO Group 1 pulmonary arterial hypertension in patients with WHO functional class II, III or IV symptoms.</w:t>
            </w:r>
          </w:p>
          <w:p w14:paraId="2A15A901" w14:textId="77777777" w:rsidR="00064D19" w:rsidRPr="002D2A0A" w:rsidRDefault="00064D19" w:rsidP="00121658">
            <w:pPr>
              <w:spacing w:before="0" w:after="120" w:line="240" w:lineRule="auto"/>
              <w:rPr>
                <w:rFonts w:ascii="Arial" w:hAnsi="Arial" w:cs="Arial"/>
                <w:sz w:val="20"/>
                <w:szCs w:val="20"/>
              </w:rPr>
            </w:pPr>
            <w:r w:rsidRPr="002D2A0A">
              <w:rPr>
                <w:rFonts w:ascii="Arial" w:hAnsi="Arial" w:cs="Arial"/>
                <w:sz w:val="20"/>
                <w:szCs w:val="20"/>
              </w:rPr>
              <w:lastRenderedPageBreak/>
              <w:t xml:space="preserve">Extensive clinical information to support the registered indication combination therapy of ambrisentan + tadalafil is included in the PI and </w:t>
            </w:r>
            <w:proofErr w:type="gramStart"/>
            <w:r w:rsidRPr="002D2A0A">
              <w:rPr>
                <w:rFonts w:ascii="Arial" w:hAnsi="Arial" w:cs="Arial"/>
                <w:sz w:val="20"/>
                <w:szCs w:val="20"/>
              </w:rPr>
              <w:t>is not reproduced</w:t>
            </w:r>
            <w:proofErr w:type="gramEnd"/>
            <w:r w:rsidRPr="002D2A0A">
              <w:rPr>
                <w:rFonts w:ascii="Arial" w:hAnsi="Arial" w:cs="Arial"/>
                <w:sz w:val="20"/>
                <w:szCs w:val="20"/>
              </w:rPr>
              <w:t xml:space="preserve"> here.</w:t>
            </w:r>
          </w:p>
          <w:p w14:paraId="1C0150AD"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INTERACTIONS WITH OTHER MEDICINES:</w:t>
            </w:r>
          </w:p>
          <w:p w14:paraId="7980B0FF"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Sildenafil &amp; Tadalafil – Co-administration of ambrisentan with a phosphodiesterase inhibitor, either sildenafil or tadalafil (both substrates of CYP 3A4) in healthy volunteers did not significantly affect the pharmacokinetics of ambrisentan or the phosphodiesterase inhibitor (see Metabolism).</w:t>
            </w:r>
          </w:p>
        </w:tc>
      </w:tr>
      <w:tr w:rsidR="00064D19" w:rsidRPr="002D2A0A" w14:paraId="0B354886" w14:textId="77777777" w:rsidTr="00806FA1">
        <w:tc>
          <w:tcPr>
            <w:tcW w:w="473" w:type="pct"/>
            <w:shd w:val="clear" w:color="auto" w:fill="auto"/>
          </w:tcPr>
          <w:p w14:paraId="4B72FE22"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lastRenderedPageBreak/>
              <w:t>Macitentan</w:t>
            </w:r>
          </w:p>
        </w:tc>
        <w:tc>
          <w:tcPr>
            <w:tcW w:w="392" w:type="pct"/>
          </w:tcPr>
          <w:p w14:paraId="158C36EB" w14:textId="77777777" w:rsidR="00064D19" w:rsidRPr="002D2A0A" w:rsidRDefault="00060C26" w:rsidP="00121658">
            <w:pPr>
              <w:spacing w:before="0" w:line="240" w:lineRule="auto"/>
              <w:rPr>
                <w:rFonts w:ascii="Arial" w:hAnsi="Arial" w:cs="Arial"/>
                <w:sz w:val="20"/>
                <w:szCs w:val="20"/>
              </w:rPr>
            </w:pPr>
            <w:proofErr w:type="spellStart"/>
            <w:r w:rsidRPr="002D2A0A">
              <w:rPr>
                <w:rFonts w:ascii="Arial" w:hAnsi="Arial" w:cs="Arial"/>
                <w:sz w:val="20"/>
                <w:szCs w:val="20"/>
              </w:rPr>
              <w:t>Opsumit</w:t>
            </w:r>
            <w:proofErr w:type="spellEnd"/>
            <w:r w:rsidR="00252749" w:rsidRPr="002D2A0A">
              <w:rPr>
                <w:rFonts w:ascii="Arial" w:hAnsi="Arial" w:cs="Arial"/>
                <w:sz w:val="20"/>
                <w:szCs w:val="20"/>
                <w:vertAlign w:val="superscript"/>
              </w:rPr>
              <w:t>®</w:t>
            </w:r>
          </w:p>
        </w:tc>
        <w:tc>
          <w:tcPr>
            <w:tcW w:w="661" w:type="pct"/>
          </w:tcPr>
          <w:p w14:paraId="3F23A3AC"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25 August 2016</w:t>
            </w:r>
          </w:p>
        </w:tc>
        <w:tc>
          <w:tcPr>
            <w:tcW w:w="3474" w:type="pct"/>
            <w:shd w:val="clear" w:color="auto" w:fill="auto"/>
            <w:vAlign w:val="center"/>
          </w:tcPr>
          <w:p w14:paraId="554AD034"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INDICATIONS:</w:t>
            </w:r>
          </w:p>
          <w:p w14:paraId="3222491C" w14:textId="77777777" w:rsidR="00064D19" w:rsidRPr="002D2A0A" w:rsidRDefault="00060C26" w:rsidP="00121658">
            <w:pPr>
              <w:spacing w:before="0" w:after="120" w:line="240" w:lineRule="auto"/>
              <w:rPr>
                <w:rFonts w:ascii="Arial" w:hAnsi="Arial" w:cs="Arial"/>
                <w:i/>
                <w:sz w:val="20"/>
                <w:szCs w:val="20"/>
              </w:rPr>
            </w:pPr>
            <w:r w:rsidRPr="002D2A0A">
              <w:rPr>
                <w:rFonts w:ascii="Arial" w:hAnsi="Arial" w:cs="Arial"/>
                <w:i/>
                <w:sz w:val="20"/>
                <w:szCs w:val="20"/>
              </w:rPr>
              <w:t>OPSUMIT</w:t>
            </w:r>
            <w:r w:rsidR="00252749" w:rsidRPr="002D2A0A">
              <w:rPr>
                <w:rFonts w:ascii="Arial" w:hAnsi="Arial" w:cs="Arial"/>
                <w:i/>
                <w:sz w:val="20"/>
                <w:szCs w:val="20"/>
                <w:vertAlign w:val="superscript"/>
              </w:rPr>
              <w:t>®</w:t>
            </w:r>
            <w:r w:rsidR="00064D19" w:rsidRPr="002D2A0A">
              <w:rPr>
                <w:rFonts w:ascii="Arial" w:hAnsi="Arial" w:cs="Arial"/>
                <w:i/>
                <w:sz w:val="20"/>
                <w:szCs w:val="20"/>
              </w:rPr>
              <w:t>, as monotherapy or in combination with approved PAH treatments (phosphodiesterase-5 inhibitors or inhaled prostanoids) … [indicated for the same suite of indications for monotherapy and combination therapy]</w:t>
            </w:r>
          </w:p>
          <w:p w14:paraId="685B986D"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PRECAUTIONS:</w:t>
            </w:r>
          </w:p>
          <w:p w14:paraId="1CF384F6"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The efficacy and safety of macitentan when co-administered with epoprostenol </w:t>
            </w:r>
            <w:proofErr w:type="gramStart"/>
            <w:r w:rsidRPr="002D2A0A">
              <w:rPr>
                <w:rFonts w:ascii="Arial" w:hAnsi="Arial" w:cs="Arial"/>
                <w:i/>
                <w:sz w:val="20"/>
                <w:szCs w:val="20"/>
              </w:rPr>
              <w:t>has not been specifically studied</w:t>
            </w:r>
            <w:proofErr w:type="gramEnd"/>
            <w:r w:rsidRPr="002D2A0A">
              <w:rPr>
                <w:rFonts w:ascii="Arial" w:hAnsi="Arial" w:cs="Arial"/>
                <w:i/>
                <w:sz w:val="20"/>
                <w:szCs w:val="20"/>
              </w:rPr>
              <w:t xml:space="preserve"> in controlled clinical trials.</w:t>
            </w:r>
          </w:p>
          <w:p w14:paraId="45409268"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sz w:val="20"/>
                <w:szCs w:val="20"/>
              </w:rPr>
              <w:t>The PI contains no warning about use with other ERAs but makes a general statement that “</w:t>
            </w:r>
            <w:r w:rsidRPr="002D2A0A">
              <w:rPr>
                <w:rFonts w:ascii="Arial" w:hAnsi="Arial" w:cs="Arial"/>
                <w:i/>
                <w:sz w:val="20"/>
                <w:szCs w:val="20"/>
              </w:rPr>
              <w:t xml:space="preserve">Caution should be exercised when </w:t>
            </w:r>
            <w:r w:rsidR="00060C26" w:rsidRPr="002D2A0A">
              <w:rPr>
                <w:rFonts w:ascii="Arial" w:hAnsi="Arial" w:cs="Arial"/>
                <w:i/>
                <w:sz w:val="20"/>
                <w:szCs w:val="20"/>
              </w:rPr>
              <w:t>OPSUMIT</w:t>
            </w:r>
            <w:r w:rsidR="00252749" w:rsidRPr="002D2A0A">
              <w:rPr>
                <w:rFonts w:ascii="Arial" w:hAnsi="Arial" w:cs="Arial"/>
                <w:i/>
                <w:sz w:val="20"/>
                <w:szCs w:val="20"/>
                <w:vertAlign w:val="superscript"/>
              </w:rPr>
              <w:t>®</w:t>
            </w:r>
            <w:r w:rsidRPr="002D2A0A">
              <w:rPr>
                <w:rFonts w:ascii="Arial" w:hAnsi="Arial" w:cs="Arial"/>
                <w:i/>
                <w:sz w:val="20"/>
                <w:szCs w:val="20"/>
              </w:rPr>
              <w:t xml:space="preserve"> is used concomitantly with medicinal products known to be associated with hepatic injury as the additive effects of </w:t>
            </w:r>
            <w:r w:rsidR="00060C26" w:rsidRPr="002D2A0A">
              <w:rPr>
                <w:rFonts w:ascii="Arial" w:hAnsi="Arial" w:cs="Arial"/>
                <w:i/>
                <w:sz w:val="20"/>
                <w:szCs w:val="20"/>
              </w:rPr>
              <w:t>OPSUMIT</w:t>
            </w:r>
            <w:r w:rsidR="00252749" w:rsidRPr="002D2A0A">
              <w:rPr>
                <w:rFonts w:ascii="Arial" w:hAnsi="Arial" w:cs="Arial"/>
                <w:i/>
                <w:sz w:val="20"/>
                <w:szCs w:val="20"/>
                <w:vertAlign w:val="superscript"/>
              </w:rPr>
              <w:t>®</w:t>
            </w:r>
            <w:r w:rsidRPr="002D2A0A">
              <w:rPr>
                <w:rFonts w:ascii="Arial" w:hAnsi="Arial" w:cs="Arial"/>
                <w:i/>
                <w:sz w:val="20"/>
                <w:szCs w:val="20"/>
              </w:rPr>
              <w:t xml:space="preserve"> with these agents are not known.</w:t>
            </w:r>
          </w:p>
          <w:p w14:paraId="593D6CBB"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INTERACTIONS WITH OTHER MEDICINES:</w:t>
            </w:r>
          </w:p>
          <w:p w14:paraId="248130AE"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Sildenafil: At </w:t>
            </w:r>
            <w:proofErr w:type="gramStart"/>
            <w:r w:rsidRPr="002D2A0A">
              <w:rPr>
                <w:rFonts w:ascii="Arial" w:hAnsi="Arial" w:cs="Arial"/>
                <w:i/>
                <w:sz w:val="20"/>
                <w:szCs w:val="20"/>
              </w:rPr>
              <w:t>steady-state</w:t>
            </w:r>
            <w:proofErr w:type="gramEnd"/>
            <w:r w:rsidRPr="002D2A0A">
              <w:rPr>
                <w:rFonts w:ascii="Arial" w:hAnsi="Arial" w:cs="Arial"/>
                <w:i/>
                <w:sz w:val="20"/>
                <w:szCs w:val="20"/>
              </w:rPr>
              <w:t xml:space="preserve">, the exposure to sildenafil 20 mg </w:t>
            </w:r>
            <w:proofErr w:type="spellStart"/>
            <w:r w:rsidRPr="002D2A0A">
              <w:rPr>
                <w:rFonts w:ascii="Arial" w:hAnsi="Arial" w:cs="Arial"/>
                <w:i/>
                <w:sz w:val="20"/>
                <w:szCs w:val="20"/>
              </w:rPr>
              <w:t>t.i.d</w:t>
            </w:r>
            <w:proofErr w:type="spellEnd"/>
            <w:r w:rsidRPr="002D2A0A">
              <w:rPr>
                <w:rFonts w:ascii="Arial" w:hAnsi="Arial" w:cs="Arial"/>
                <w:i/>
                <w:sz w:val="20"/>
                <w:szCs w:val="20"/>
              </w:rPr>
              <w:t xml:space="preserve">. was increased by 15% during concomitant administration of macitentan 10 mg once daily. Sildenafil, a CYP3A4 substrate, did not affect the pharmacokinetics of macitentan, while there was a 15% reduction in the exposure to the active metabolite of macitentan. These changes </w:t>
            </w:r>
            <w:proofErr w:type="gramStart"/>
            <w:r w:rsidRPr="002D2A0A">
              <w:rPr>
                <w:rFonts w:ascii="Arial" w:hAnsi="Arial" w:cs="Arial"/>
                <w:i/>
                <w:sz w:val="20"/>
                <w:szCs w:val="20"/>
              </w:rPr>
              <w:t>are not considered</w:t>
            </w:r>
            <w:proofErr w:type="gramEnd"/>
            <w:r w:rsidRPr="002D2A0A">
              <w:rPr>
                <w:rFonts w:ascii="Arial" w:hAnsi="Arial" w:cs="Arial"/>
                <w:i/>
                <w:sz w:val="20"/>
                <w:szCs w:val="20"/>
              </w:rPr>
              <w:t xml:space="preserve"> clinically relevant. In a placebo-controlled trial in patients with PAH, the efficacy and safety of macitentan in combination with sildenafil </w:t>
            </w:r>
            <w:proofErr w:type="gramStart"/>
            <w:r w:rsidRPr="002D2A0A">
              <w:rPr>
                <w:rFonts w:ascii="Arial" w:hAnsi="Arial" w:cs="Arial"/>
                <w:i/>
                <w:sz w:val="20"/>
                <w:szCs w:val="20"/>
              </w:rPr>
              <w:t>were demonstrated</w:t>
            </w:r>
            <w:proofErr w:type="gramEnd"/>
            <w:r w:rsidRPr="002D2A0A">
              <w:rPr>
                <w:rFonts w:ascii="Arial" w:hAnsi="Arial" w:cs="Arial"/>
                <w:i/>
                <w:sz w:val="20"/>
                <w:szCs w:val="20"/>
              </w:rPr>
              <w:t>.</w:t>
            </w:r>
          </w:p>
        </w:tc>
      </w:tr>
      <w:tr w:rsidR="00064D19" w:rsidRPr="002D2A0A" w14:paraId="35397D2D" w14:textId="77777777" w:rsidTr="00806FA1">
        <w:tc>
          <w:tcPr>
            <w:tcW w:w="473" w:type="pct"/>
            <w:shd w:val="clear" w:color="auto" w:fill="auto"/>
          </w:tcPr>
          <w:p w14:paraId="162BF0D5"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Sildenafil</w:t>
            </w:r>
          </w:p>
        </w:tc>
        <w:tc>
          <w:tcPr>
            <w:tcW w:w="392" w:type="pct"/>
          </w:tcPr>
          <w:p w14:paraId="2EC2DF0A" w14:textId="77777777" w:rsidR="00064D19" w:rsidRPr="002D2A0A" w:rsidRDefault="00060C26" w:rsidP="00121658">
            <w:pPr>
              <w:spacing w:before="0" w:line="240" w:lineRule="auto"/>
              <w:rPr>
                <w:rFonts w:ascii="Arial" w:hAnsi="Arial" w:cs="Arial"/>
                <w:sz w:val="20"/>
                <w:szCs w:val="20"/>
              </w:rPr>
            </w:pPr>
            <w:proofErr w:type="spellStart"/>
            <w:r w:rsidRPr="002D2A0A">
              <w:rPr>
                <w:rFonts w:ascii="Arial" w:hAnsi="Arial" w:cs="Arial"/>
                <w:sz w:val="20"/>
                <w:szCs w:val="20"/>
              </w:rPr>
              <w:t>Revatio</w:t>
            </w:r>
            <w:proofErr w:type="spellEnd"/>
            <w:r w:rsidR="00252749" w:rsidRPr="002D2A0A">
              <w:rPr>
                <w:rFonts w:ascii="Arial" w:hAnsi="Arial" w:cs="Arial"/>
                <w:sz w:val="20"/>
                <w:szCs w:val="20"/>
                <w:vertAlign w:val="superscript"/>
              </w:rPr>
              <w:t>®</w:t>
            </w:r>
          </w:p>
        </w:tc>
        <w:tc>
          <w:tcPr>
            <w:tcW w:w="661" w:type="pct"/>
          </w:tcPr>
          <w:p w14:paraId="04F35D4D"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21 December 2015</w:t>
            </w:r>
          </w:p>
        </w:tc>
        <w:tc>
          <w:tcPr>
            <w:tcW w:w="3474" w:type="pct"/>
            <w:shd w:val="clear" w:color="auto" w:fill="auto"/>
            <w:vAlign w:val="center"/>
          </w:tcPr>
          <w:p w14:paraId="074EFE36"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INDICATIONS:</w:t>
            </w:r>
          </w:p>
          <w:p w14:paraId="7C7B09AC"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The efficacy of </w:t>
            </w:r>
            <w:r w:rsidR="00060C26" w:rsidRPr="002D2A0A">
              <w:rPr>
                <w:rFonts w:ascii="Arial" w:hAnsi="Arial" w:cs="Arial"/>
                <w:i/>
                <w:sz w:val="20"/>
                <w:szCs w:val="20"/>
              </w:rPr>
              <w:t>REVATIO</w:t>
            </w:r>
            <w:r w:rsidR="00252749" w:rsidRPr="002D2A0A">
              <w:rPr>
                <w:rFonts w:ascii="Arial" w:hAnsi="Arial" w:cs="Arial"/>
                <w:i/>
                <w:sz w:val="20"/>
                <w:szCs w:val="20"/>
                <w:vertAlign w:val="superscript"/>
              </w:rPr>
              <w:t>®</w:t>
            </w:r>
            <w:r w:rsidRPr="002D2A0A">
              <w:rPr>
                <w:rFonts w:ascii="Arial" w:hAnsi="Arial" w:cs="Arial"/>
                <w:i/>
                <w:sz w:val="20"/>
                <w:szCs w:val="20"/>
              </w:rPr>
              <w:t xml:space="preserve"> </w:t>
            </w:r>
            <w:proofErr w:type="gramStart"/>
            <w:r w:rsidRPr="002D2A0A">
              <w:rPr>
                <w:rFonts w:ascii="Arial" w:hAnsi="Arial" w:cs="Arial"/>
                <w:i/>
                <w:sz w:val="20"/>
                <w:szCs w:val="20"/>
              </w:rPr>
              <w:t>has not been established</w:t>
            </w:r>
            <w:proofErr w:type="gramEnd"/>
            <w:r w:rsidRPr="002D2A0A">
              <w:rPr>
                <w:rFonts w:ascii="Arial" w:hAnsi="Arial" w:cs="Arial"/>
                <w:i/>
                <w:sz w:val="20"/>
                <w:szCs w:val="20"/>
              </w:rPr>
              <w:t xml:space="preserve"> in patients currently on bosentan therapy (see PRECAUTIONS).</w:t>
            </w:r>
          </w:p>
          <w:p w14:paraId="172F0432"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CONTRAINDICATIONS:</w:t>
            </w:r>
          </w:p>
          <w:p w14:paraId="01C0BD9F"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Co-administration of </w:t>
            </w:r>
            <w:r w:rsidR="006F26C5">
              <w:rPr>
                <w:rFonts w:ascii="Arial" w:hAnsi="Arial" w:cs="Arial"/>
                <w:i/>
                <w:sz w:val="20"/>
                <w:szCs w:val="20"/>
              </w:rPr>
              <w:t>PDE-5</w:t>
            </w:r>
            <w:r w:rsidRPr="002D2A0A">
              <w:rPr>
                <w:rFonts w:ascii="Arial" w:hAnsi="Arial" w:cs="Arial"/>
                <w:i/>
                <w:sz w:val="20"/>
                <w:szCs w:val="20"/>
              </w:rPr>
              <w:t xml:space="preserve"> inhibitors, including </w:t>
            </w:r>
            <w:r w:rsidR="00060C26" w:rsidRPr="002D2A0A">
              <w:rPr>
                <w:rFonts w:ascii="Arial" w:hAnsi="Arial" w:cs="Arial"/>
                <w:i/>
                <w:sz w:val="20"/>
                <w:szCs w:val="20"/>
              </w:rPr>
              <w:t>REVATIO</w:t>
            </w:r>
            <w:r w:rsidR="00252749" w:rsidRPr="002D2A0A">
              <w:rPr>
                <w:rFonts w:ascii="Arial" w:hAnsi="Arial" w:cs="Arial"/>
                <w:i/>
                <w:sz w:val="20"/>
                <w:szCs w:val="20"/>
                <w:vertAlign w:val="superscript"/>
              </w:rPr>
              <w:t>®</w:t>
            </w:r>
            <w:r w:rsidRPr="002D2A0A">
              <w:rPr>
                <w:rFonts w:ascii="Arial" w:hAnsi="Arial" w:cs="Arial"/>
                <w:i/>
                <w:sz w:val="20"/>
                <w:szCs w:val="20"/>
              </w:rPr>
              <w:t xml:space="preserve">, with guanylate cyclase stimulators, such as riociguat, </w:t>
            </w:r>
            <w:proofErr w:type="gramStart"/>
            <w:r w:rsidRPr="002D2A0A">
              <w:rPr>
                <w:rFonts w:ascii="Arial" w:hAnsi="Arial" w:cs="Arial"/>
                <w:i/>
                <w:sz w:val="20"/>
                <w:szCs w:val="20"/>
              </w:rPr>
              <w:t>is contraindicated</w:t>
            </w:r>
            <w:proofErr w:type="gramEnd"/>
            <w:r w:rsidRPr="002D2A0A">
              <w:rPr>
                <w:rFonts w:ascii="Arial" w:hAnsi="Arial" w:cs="Arial"/>
                <w:i/>
                <w:sz w:val="20"/>
                <w:szCs w:val="20"/>
              </w:rPr>
              <w:t xml:space="preserve"> as it may potentially lead to symptomatic hypotension.</w:t>
            </w:r>
          </w:p>
          <w:p w14:paraId="5A372CDD"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PRECAUTIONS:</w:t>
            </w:r>
          </w:p>
          <w:p w14:paraId="11C10BA8" w14:textId="56CF1DA8"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Co-administration with bosentan – In a study of PAH patients (primary PAH and secondary PAH associated with CTD) on bosentan the</w:t>
            </w:r>
            <w:r w:rsidR="00067504">
              <w:rPr>
                <w:rFonts w:ascii="Arial" w:hAnsi="Arial" w:cs="Arial"/>
                <w:i/>
                <w:sz w:val="20"/>
                <w:szCs w:val="20"/>
              </w:rPr>
              <w:t>rapy, no incremental benefit (6</w:t>
            </w:r>
            <w:r w:rsidRPr="002D2A0A">
              <w:rPr>
                <w:rFonts w:ascii="Arial" w:hAnsi="Arial" w:cs="Arial"/>
                <w:i/>
                <w:sz w:val="20"/>
                <w:szCs w:val="20"/>
              </w:rPr>
              <w:t xml:space="preserve">MWD) of sildenafil co-administered with bosentan was demonstrated over bosentan alone. The mean result of the combination of sildenafil and bosentan was numerically worse than bosentan alone in patients with PAH associated with CTD but numerically better than bosentan alone in patients with primary PAH. Physicians should assess the clinical response when sildenafil </w:t>
            </w:r>
            <w:proofErr w:type="gramStart"/>
            <w:r w:rsidRPr="002D2A0A">
              <w:rPr>
                <w:rFonts w:ascii="Arial" w:hAnsi="Arial" w:cs="Arial"/>
                <w:i/>
                <w:sz w:val="20"/>
                <w:szCs w:val="20"/>
              </w:rPr>
              <w:t xml:space="preserve">is </w:t>
            </w:r>
            <w:r w:rsidRPr="002D2A0A">
              <w:rPr>
                <w:rFonts w:ascii="Arial" w:hAnsi="Arial" w:cs="Arial"/>
                <w:i/>
                <w:sz w:val="20"/>
                <w:szCs w:val="20"/>
              </w:rPr>
              <w:lastRenderedPageBreak/>
              <w:t>used</w:t>
            </w:r>
            <w:proofErr w:type="gramEnd"/>
            <w:r w:rsidRPr="002D2A0A">
              <w:rPr>
                <w:rFonts w:ascii="Arial" w:hAnsi="Arial" w:cs="Arial"/>
                <w:i/>
                <w:sz w:val="20"/>
                <w:szCs w:val="20"/>
              </w:rPr>
              <w:t xml:space="preserve"> in combination with bosentan in primary PAH. Co-administration of sildenafil and bosentan in patients with PAH associated with CTD is not recommended (see INTERACTIONS WITH OTHER MEDICINES).</w:t>
            </w:r>
          </w:p>
          <w:p w14:paraId="35E8EFB1"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Concomitant use with other </w:t>
            </w:r>
            <w:r w:rsidR="006F26C5">
              <w:rPr>
                <w:rFonts w:ascii="Arial" w:hAnsi="Arial" w:cs="Arial"/>
                <w:i/>
                <w:sz w:val="20"/>
                <w:szCs w:val="20"/>
              </w:rPr>
              <w:t>PDE-5</w:t>
            </w:r>
            <w:r w:rsidRPr="002D2A0A">
              <w:rPr>
                <w:rFonts w:ascii="Arial" w:hAnsi="Arial" w:cs="Arial"/>
                <w:i/>
                <w:sz w:val="20"/>
                <w:szCs w:val="20"/>
              </w:rPr>
              <w:t xml:space="preserve"> inhibitors – The safety and efficacy of sildenafil when co-administered with other </w:t>
            </w:r>
            <w:r w:rsidR="006F26C5">
              <w:rPr>
                <w:rFonts w:ascii="Arial" w:hAnsi="Arial" w:cs="Arial"/>
                <w:i/>
                <w:sz w:val="20"/>
                <w:szCs w:val="20"/>
              </w:rPr>
              <w:t>PDE-5</w:t>
            </w:r>
            <w:r w:rsidRPr="002D2A0A">
              <w:rPr>
                <w:rFonts w:ascii="Arial" w:hAnsi="Arial" w:cs="Arial"/>
                <w:i/>
                <w:sz w:val="20"/>
                <w:szCs w:val="20"/>
              </w:rPr>
              <w:t xml:space="preserve"> inhibitor products has not been studied in PAH patients and such concomitant use </w:t>
            </w:r>
            <w:proofErr w:type="gramStart"/>
            <w:r w:rsidRPr="002D2A0A">
              <w:rPr>
                <w:rFonts w:ascii="Arial" w:hAnsi="Arial" w:cs="Arial"/>
                <w:i/>
                <w:sz w:val="20"/>
                <w:szCs w:val="20"/>
              </w:rPr>
              <w:t>is not recommended</w:t>
            </w:r>
            <w:proofErr w:type="gramEnd"/>
            <w:r w:rsidRPr="002D2A0A">
              <w:rPr>
                <w:rFonts w:ascii="Arial" w:hAnsi="Arial" w:cs="Arial"/>
                <w:i/>
                <w:sz w:val="20"/>
                <w:szCs w:val="20"/>
              </w:rPr>
              <w:t>.</w:t>
            </w:r>
          </w:p>
          <w:p w14:paraId="444033F7"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INTERACTIONS WITH OTHER MEDICINES:</w:t>
            </w:r>
          </w:p>
          <w:p w14:paraId="6E165C53" w14:textId="77777777" w:rsidR="00064D19" w:rsidRPr="002D2A0A" w:rsidRDefault="00064D19" w:rsidP="00121658">
            <w:pPr>
              <w:spacing w:before="0" w:after="120" w:line="240" w:lineRule="auto"/>
              <w:rPr>
                <w:rFonts w:ascii="Arial" w:hAnsi="Arial" w:cs="Arial"/>
                <w:i/>
                <w:sz w:val="20"/>
                <w:szCs w:val="20"/>
              </w:rPr>
            </w:pPr>
            <w:proofErr w:type="gramStart"/>
            <w:r w:rsidRPr="002D2A0A">
              <w:rPr>
                <w:rFonts w:ascii="Arial" w:hAnsi="Arial" w:cs="Arial"/>
                <w:i/>
                <w:sz w:val="20"/>
                <w:szCs w:val="20"/>
              </w:rPr>
              <w:t xml:space="preserve">Effect of Other Medicines on </w:t>
            </w:r>
            <w:r w:rsidR="00060C26" w:rsidRPr="002D2A0A">
              <w:rPr>
                <w:rFonts w:ascii="Arial" w:hAnsi="Arial" w:cs="Arial"/>
                <w:i/>
                <w:sz w:val="20"/>
                <w:szCs w:val="20"/>
              </w:rPr>
              <w:t>REVATIO</w:t>
            </w:r>
            <w:r w:rsidR="00252749" w:rsidRPr="002D2A0A">
              <w:rPr>
                <w:rFonts w:ascii="Arial" w:hAnsi="Arial" w:cs="Arial"/>
                <w:i/>
                <w:sz w:val="20"/>
                <w:szCs w:val="20"/>
                <w:vertAlign w:val="superscript"/>
              </w:rPr>
              <w:t>®</w:t>
            </w:r>
            <w:r w:rsidRPr="002D2A0A">
              <w:rPr>
                <w:rFonts w:ascii="Arial" w:hAnsi="Arial" w:cs="Arial"/>
                <w:i/>
                <w:sz w:val="20"/>
                <w:szCs w:val="20"/>
              </w:rPr>
              <w:t xml:space="preserve"> – In a study of healthy male volunteers co-administration of the endothelin antagonist bosentan, which is a moderate inducer of CYP3A4, CYP2C9 and possibly of CYP2C19, at steady state (125 mg twice a day) with oral sildenafil at steady state (80 mg three times a day) resulted in a 62.6% decrease of sildenafil AUC and a 55.4% decrease in sildenafil </w:t>
            </w:r>
            <w:proofErr w:type="spellStart"/>
            <w:r w:rsidRPr="002D2A0A">
              <w:rPr>
                <w:rFonts w:ascii="Arial" w:hAnsi="Arial" w:cs="Arial"/>
                <w:i/>
                <w:sz w:val="20"/>
                <w:szCs w:val="20"/>
              </w:rPr>
              <w:t>Cmax</w:t>
            </w:r>
            <w:proofErr w:type="spellEnd"/>
            <w:r w:rsidRPr="002D2A0A">
              <w:rPr>
                <w:rFonts w:ascii="Arial" w:hAnsi="Arial" w:cs="Arial"/>
                <w:i/>
                <w:sz w:val="20"/>
                <w:szCs w:val="20"/>
              </w:rPr>
              <w:t>.</w:t>
            </w:r>
            <w:proofErr w:type="gramEnd"/>
            <w:r w:rsidRPr="002D2A0A">
              <w:rPr>
                <w:rFonts w:ascii="Arial" w:hAnsi="Arial" w:cs="Arial"/>
                <w:i/>
                <w:sz w:val="20"/>
                <w:szCs w:val="20"/>
              </w:rPr>
              <w:t xml:space="preserve"> The same effect </w:t>
            </w:r>
            <w:proofErr w:type="gramStart"/>
            <w:r w:rsidRPr="002D2A0A">
              <w:rPr>
                <w:rFonts w:ascii="Arial" w:hAnsi="Arial" w:cs="Arial"/>
                <w:i/>
                <w:sz w:val="20"/>
                <w:szCs w:val="20"/>
              </w:rPr>
              <w:t>was also observed</w:t>
            </w:r>
            <w:proofErr w:type="gramEnd"/>
            <w:r w:rsidRPr="002D2A0A">
              <w:rPr>
                <w:rFonts w:ascii="Arial" w:hAnsi="Arial" w:cs="Arial"/>
                <w:i/>
                <w:sz w:val="20"/>
                <w:szCs w:val="20"/>
              </w:rPr>
              <w:t xml:space="preserve"> with lower doses of sildenafil (20 mg three times a day) and bosentan therapy (62.5 mg – 125 mg twice daily). The combination of both drugs did not lead to clinically significant changes of blood pressure (supine and standing).</w:t>
            </w:r>
          </w:p>
          <w:p w14:paraId="6AE0D4EF"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Effect of Other Medicines on </w:t>
            </w:r>
            <w:r w:rsidR="00060C26" w:rsidRPr="002D2A0A">
              <w:rPr>
                <w:rFonts w:ascii="Arial" w:hAnsi="Arial" w:cs="Arial"/>
                <w:i/>
                <w:sz w:val="20"/>
                <w:szCs w:val="20"/>
              </w:rPr>
              <w:t>REVATIO</w:t>
            </w:r>
            <w:r w:rsidR="00252749" w:rsidRPr="002D2A0A">
              <w:rPr>
                <w:rFonts w:ascii="Arial" w:hAnsi="Arial" w:cs="Arial"/>
                <w:i/>
                <w:sz w:val="20"/>
                <w:szCs w:val="20"/>
                <w:vertAlign w:val="superscript"/>
              </w:rPr>
              <w:t>®</w:t>
            </w:r>
            <w:r w:rsidRPr="002D2A0A">
              <w:rPr>
                <w:rFonts w:ascii="Arial" w:hAnsi="Arial" w:cs="Arial"/>
                <w:i/>
                <w:sz w:val="20"/>
                <w:szCs w:val="20"/>
              </w:rPr>
              <w:t xml:space="preserve"> – Riociguat: Preclinical studies showed an additive systemic blood pressure lowering effect when </w:t>
            </w:r>
            <w:r w:rsidR="006F26C5">
              <w:rPr>
                <w:rFonts w:ascii="Arial" w:hAnsi="Arial" w:cs="Arial"/>
                <w:i/>
                <w:sz w:val="20"/>
                <w:szCs w:val="20"/>
              </w:rPr>
              <w:t>PDE-5</w:t>
            </w:r>
            <w:r w:rsidRPr="002D2A0A">
              <w:rPr>
                <w:rFonts w:ascii="Arial" w:hAnsi="Arial" w:cs="Arial"/>
                <w:i/>
                <w:sz w:val="20"/>
                <w:szCs w:val="20"/>
              </w:rPr>
              <w:t xml:space="preserve"> inhibitors </w:t>
            </w:r>
            <w:proofErr w:type="gramStart"/>
            <w:r w:rsidRPr="002D2A0A">
              <w:rPr>
                <w:rFonts w:ascii="Arial" w:hAnsi="Arial" w:cs="Arial"/>
                <w:i/>
                <w:sz w:val="20"/>
                <w:szCs w:val="20"/>
              </w:rPr>
              <w:t>were combined</w:t>
            </w:r>
            <w:proofErr w:type="gramEnd"/>
            <w:r w:rsidRPr="002D2A0A">
              <w:rPr>
                <w:rFonts w:ascii="Arial" w:hAnsi="Arial" w:cs="Arial"/>
                <w:i/>
                <w:sz w:val="20"/>
                <w:szCs w:val="20"/>
              </w:rPr>
              <w:t xml:space="preserve"> with riociguat. In clinical studies, riociguat </w:t>
            </w:r>
            <w:proofErr w:type="gramStart"/>
            <w:r w:rsidRPr="002D2A0A">
              <w:rPr>
                <w:rFonts w:ascii="Arial" w:hAnsi="Arial" w:cs="Arial"/>
                <w:i/>
                <w:sz w:val="20"/>
                <w:szCs w:val="20"/>
              </w:rPr>
              <w:t>has been shown</w:t>
            </w:r>
            <w:proofErr w:type="gramEnd"/>
            <w:r w:rsidRPr="002D2A0A">
              <w:rPr>
                <w:rFonts w:ascii="Arial" w:hAnsi="Arial" w:cs="Arial"/>
                <w:i/>
                <w:sz w:val="20"/>
                <w:szCs w:val="20"/>
              </w:rPr>
              <w:t xml:space="preserve"> to augment the hypotensive effects of sildenafil. There was no evidence of favourable clinical effect of the combination in the population studied. Concomitant use of riociguat with </w:t>
            </w:r>
            <w:r w:rsidR="006F26C5">
              <w:rPr>
                <w:rFonts w:ascii="Arial" w:hAnsi="Arial" w:cs="Arial"/>
                <w:i/>
                <w:sz w:val="20"/>
                <w:szCs w:val="20"/>
              </w:rPr>
              <w:t>PDE-5</w:t>
            </w:r>
            <w:r w:rsidRPr="002D2A0A">
              <w:rPr>
                <w:rFonts w:ascii="Arial" w:hAnsi="Arial" w:cs="Arial"/>
                <w:i/>
                <w:sz w:val="20"/>
                <w:szCs w:val="20"/>
              </w:rPr>
              <w:t xml:space="preserve"> inhibitors, including sildenafil, </w:t>
            </w:r>
            <w:proofErr w:type="gramStart"/>
            <w:r w:rsidRPr="002D2A0A">
              <w:rPr>
                <w:rFonts w:ascii="Arial" w:hAnsi="Arial" w:cs="Arial"/>
                <w:i/>
                <w:sz w:val="20"/>
                <w:szCs w:val="20"/>
              </w:rPr>
              <w:t>is contraindicated</w:t>
            </w:r>
            <w:proofErr w:type="gramEnd"/>
            <w:r w:rsidRPr="002D2A0A">
              <w:rPr>
                <w:rFonts w:ascii="Arial" w:hAnsi="Arial" w:cs="Arial"/>
                <w:i/>
                <w:sz w:val="20"/>
                <w:szCs w:val="20"/>
              </w:rPr>
              <w:t xml:space="preserve"> as it may potentially lead to symptomatic hypotension (see CONTRAINDICATIONS).</w:t>
            </w:r>
          </w:p>
          <w:p w14:paraId="4E55CD88" w14:textId="3C360ADF"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Effect of </w:t>
            </w:r>
            <w:r w:rsidR="00060C26" w:rsidRPr="002D2A0A">
              <w:rPr>
                <w:rFonts w:ascii="Arial" w:hAnsi="Arial" w:cs="Arial"/>
                <w:i/>
                <w:sz w:val="20"/>
                <w:szCs w:val="20"/>
              </w:rPr>
              <w:t>REVATIO</w:t>
            </w:r>
            <w:r w:rsidR="00252749" w:rsidRPr="002D2A0A">
              <w:rPr>
                <w:rFonts w:ascii="Arial" w:hAnsi="Arial" w:cs="Arial"/>
                <w:i/>
                <w:sz w:val="20"/>
                <w:szCs w:val="20"/>
                <w:vertAlign w:val="superscript"/>
              </w:rPr>
              <w:t>®</w:t>
            </w:r>
            <w:r w:rsidRPr="002D2A0A">
              <w:rPr>
                <w:rFonts w:ascii="Arial" w:hAnsi="Arial" w:cs="Arial"/>
                <w:i/>
                <w:sz w:val="20"/>
                <w:szCs w:val="20"/>
              </w:rPr>
              <w:t xml:space="preserve"> on Other Medicines – In a study of healthy volunteers oral sildenafil at steady state (80 mg three times a day) resulted in a 49.8% increase in bosentan AUC and a 42% increase in bosentan </w:t>
            </w:r>
            <w:proofErr w:type="spellStart"/>
            <w:r w:rsidRPr="002D2A0A">
              <w:rPr>
                <w:rFonts w:ascii="Arial" w:hAnsi="Arial" w:cs="Arial"/>
                <w:i/>
                <w:sz w:val="20"/>
                <w:szCs w:val="20"/>
              </w:rPr>
              <w:t>Cmax</w:t>
            </w:r>
            <w:proofErr w:type="spellEnd"/>
            <w:r w:rsidRPr="002D2A0A">
              <w:rPr>
                <w:rFonts w:ascii="Arial" w:hAnsi="Arial" w:cs="Arial"/>
                <w:i/>
                <w:sz w:val="20"/>
                <w:szCs w:val="20"/>
              </w:rPr>
              <w:t xml:space="preserve"> (125</w:t>
            </w:r>
            <w:r w:rsidR="00067504">
              <w:rPr>
                <w:rFonts w:ascii="Arial" w:hAnsi="Arial" w:cs="Arial"/>
                <w:i/>
                <w:sz w:val="20"/>
                <w:szCs w:val="20"/>
              </w:rPr>
              <w:t> </w:t>
            </w:r>
            <w:r w:rsidRPr="002D2A0A">
              <w:rPr>
                <w:rFonts w:ascii="Arial" w:hAnsi="Arial" w:cs="Arial"/>
                <w:i/>
                <w:sz w:val="20"/>
                <w:szCs w:val="20"/>
              </w:rPr>
              <w:t>mg twice daily). The same effect was also observed with lower doses of sildenafil (</w:t>
            </w:r>
            <w:proofErr w:type="gramStart"/>
            <w:r w:rsidRPr="002D2A0A">
              <w:rPr>
                <w:rFonts w:ascii="Arial" w:hAnsi="Arial" w:cs="Arial"/>
                <w:i/>
                <w:sz w:val="20"/>
                <w:szCs w:val="20"/>
              </w:rPr>
              <w:t xml:space="preserve">20 </w:t>
            </w:r>
            <w:r w:rsidR="00067504">
              <w:rPr>
                <w:rFonts w:ascii="Arial" w:hAnsi="Arial" w:cs="Arial"/>
                <w:i/>
                <w:sz w:val="20"/>
                <w:szCs w:val="20"/>
              </w:rPr>
              <w:t> </w:t>
            </w:r>
            <w:r w:rsidRPr="002D2A0A">
              <w:rPr>
                <w:rFonts w:ascii="Arial" w:hAnsi="Arial" w:cs="Arial"/>
                <w:i/>
                <w:sz w:val="20"/>
                <w:szCs w:val="20"/>
              </w:rPr>
              <w:t>three</w:t>
            </w:r>
            <w:proofErr w:type="gramEnd"/>
            <w:r w:rsidRPr="002D2A0A">
              <w:rPr>
                <w:rFonts w:ascii="Arial" w:hAnsi="Arial" w:cs="Arial"/>
                <w:i/>
                <w:sz w:val="20"/>
                <w:szCs w:val="20"/>
              </w:rPr>
              <w:t xml:space="preserve"> times a day) and bosentan therapy (62.5 mg – 125 mg twice a day).</w:t>
            </w:r>
          </w:p>
          <w:p w14:paraId="4CBACC39"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Co-administration with other PAH treatments – The safety and efficacy of sildenafil when co-administered with medicines for PAH other than epoprostenol has not been studied in controlled clinical trials. Caution </w:t>
            </w:r>
            <w:proofErr w:type="gramStart"/>
            <w:r w:rsidRPr="002D2A0A">
              <w:rPr>
                <w:rFonts w:ascii="Arial" w:hAnsi="Arial" w:cs="Arial"/>
                <w:i/>
                <w:sz w:val="20"/>
                <w:szCs w:val="20"/>
              </w:rPr>
              <w:t>is recommended</w:t>
            </w:r>
            <w:proofErr w:type="gramEnd"/>
            <w:r w:rsidRPr="002D2A0A">
              <w:rPr>
                <w:rFonts w:ascii="Arial" w:hAnsi="Arial" w:cs="Arial"/>
                <w:i/>
                <w:sz w:val="20"/>
                <w:szCs w:val="20"/>
              </w:rPr>
              <w:t xml:space="preserve"> in the case of co-administration. The safety and efficacy of </w:t>
            </w:r>
            <w:r w:rsidR="00060C26" w:rsidRPr="002D2A0A">
              <w:rPr>
                <w:rFonts w:ascii="Arial" w:hAnsi="Arial" w:cs="Arial"/>
                <w:i/>
                <w:sz w:val="20"/>
                <w:szCs w:val="20"/>
              </w:rPr>
              <w:t>REVATIO</w:t>
            </w:r>
            <w:r w:rsidR="00252749" w:rsidRPr="002D2A0A">
              <w:rPr>
                <w:rFonts w:ascii="Arial" w:hAnsi="Arial" w:cs="Arial"/>
                <w:i/>
                <w:sz w:val="20"/>
                <w:szCs w:val="20"/>
                <w:vertAlign w:val="superscript"/>
              </w:rPr>
              <w:t>®</w:t>
            </w:r>
            <w:r w:rsidRPr="002D2A0A">
              <w:rPr>
                <w:rFonts w:ascii="Arial" w:hAnsi="Arial" w:cs="Arial"/>
                <w:i/>
                <w:sz w:val="20"/>
                <w:szCs w:val="20"/>
              </w:rPr>
              <w:t xml:space="preserve"> when co-administered with other </w:t>
            </w:r>
            <w:r w:rsidR="006F26C5">
              <w:rPr>
                <w:rFonts w:ascii="Arial" w:hAnsi="Arial" w:cs="Arial"/>
                <w:i/>
                <w:sz w:val="20"/>
                <w:szCs w:val="20"/>
              </w:rPr>
              <w:t>PDE-5</w:t>
            </w:r>
            <w:r w:rsidRPr="002D2A0A">
              <w:rPr>
                <w:rFonts w:ascii="Arial" w:hAnsi="Arial" w:cs="Arial"/>
                <w:i/>
                <w:sz w:val="20"/>
                <w:szCs w:val="20"/>
              </w:rPr>
              <w:t xml:space="preserve"> inhibitors </w:t>
            </w:r>
            <w:proofErr w:type="gramStart"/>
            <w:r w:rsidRPr="002D2A0A">
              <w:rPr>
                <w:rFonts w:ascii="Arial" w:hAnsi="Arial" w:cs="Arial"/>
                <w:i/>
                <w:sz w:val="20"/>
                <w:szCs w:val="20"/>
              </w:rPr>
              <w:t>has not been studied</w:t>
            </w:r>
            <w:proofErr w:type="gramEnd"/>
            <w:r w:rsidRPr="002D2A0A">
              <w:rPr>
                <w:rFonts w:ascii="Arial" w:hAnsi="Arial" w:cs="Arial"/>
                <w:i/>
                <w:sz w:val="20"/>
                <w:szCs w:val="20"/>
              </w:rPr>
              <w:t xml:space="preserve"> in pulmonary arterial hypertension patients.</w:t>
            </w:r>
          </w:p>
        </w:tc>
      </w:tr>
      <w:tr w:rsidR="00064D19" w:rsidRPr="002D2A0A" w14:paraId="4B6FC905" w14:textId="77777777" w:rsidTr="00806FA1">
        <w:tc>
          <w:tcPr>
            <w:tcW w:w="473" w:type="pct"/>
            <w:shd w:val="clear" w:color="auto" w:fill="auto"/>
          </w:tcPr>
          <w:p w14:paraId="7983F259"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lastRenderedPageBreak/>
              <w:t>Tadalafil</w:t>
            </w:r>
          </w:p>
        </w:tc>
        <w:tc>
          <w:tcPr>
            <w:tcW w:w="392" w:type="pct"/>
          </w:tcPr>
          <w:p w14:paraId="55F539B7" w14:textId="77777777" w:rsidR="00064D19" w:rsidRPr="002D2A0A" w:rsidRDefault="00060C26" w:rsidP="00121658">
            <w:pPr>
              <w:spacing w:before="0" w:line="240" w:lineRule="auto"/>
              <w:rPr>
                <w:rFonts w:ascii="Arial" w:hAnsi="Arial" w:cs="Arial"/>
                <w:sz w:val="20"/>
                <w:szCs w:val="20"/>
              </w:rPr>
            </w:pPr>
            <w:proofErr w:type="spellStart"/>
            <w:r w:rsidRPr="002D2A0A">
              <w:rPr>
                <w:rFonts w:ascii="Arial" w:hAnsi="Arial" w:cs="Arial"/>
                <w:sz w:val="20"/>
                <w:szCs w:val="20"/>
              </w:rPr>
              <w:t>Adcirca</w:t>
            </w:r>
            <w:proofErr w:type="spellEnd"/>
            <w:r w:rsidR="00252749" w:rsidRPr="002D2A0A">
              <w:rPr>
                <w:rFonts w:ascii="Arial" w:hAnsi="Arial" w:cs="Arial"/>
                <w:sz w:val="20"/>
                <w:szCs w:val="20"/>
                <w:vertAlign w:val="superscript"/>
              </w:rPr>
              <w:t>®</w:t>
            </w:r>
          </w:p>
        </w:tc>
        <w:tc>
          <w:tcPr>
            <w:tcW w:w="661" w:type="pct"/>
          </w:tcPr>
          <w:p w14:paraId="3BB40536"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18 December 2015</w:t>
            </w:r>
          </w:p>
        </w:tc>
        <w:tc>
          <w:tcPr>
            <w:tcW w:w="3474" w:type="pct"/>
            <w:shd w:val="clear" w:color="auto" w:fill="auto"/>
            <w:vAlign w:val="center"/>
          </w:tcPr>
          <w:p w14:paraId="0438B965"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CONTRAINDICATIONS:</w:t>
            </w:r>
          </w:p>
          <w:p w14:paraId="0F2D03D4"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Guanylate Cyclase Stimulators – The combination of tadalafil and guanylate cyclase stimulators, such as riociguat, </w:t>
            </w:r>
            <w:proofErr w:type="gramStart"/>
            <w:r w:rsidRPr="002D2A0A">
              <w:rPr>
                <w:rFonts w:ascii="Arial" w:hAnsi="Arial" w:cs="Arial"/>
                <w:i/>
                <w:sz w:val="20"/>
                <w:szCs w:val="20"/>
              </w:rPr>
              <w:t>is contraindicated</w:t>
            </w:r>
            <w:proofErr w:type="gramEnd"/>
            <w:r w:rsidRPr="002D2A0A">
              <w:rPr>
                <w:rFonts w:ascii="Arial" w:hAnsi="Arial" w:cs="Arial"/>
                <w:i/>
                <w:sz w:val="20"/>
                <w:szCs w:val="20"/>
              </w:rPr>
              <w:t xml:space="preserve"> because it may lead to symptomatic hypotension.</w:t>
            </w:r>
          </w:p>
          <w:p w14:paraId="4CF88EF7"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PRECAUTIONS</w:t>
            </w:r>
          </w:p>
          <w:p w14:paraId="76918759"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The efficacy and safety of tadalafil co-administered with prostacyclin or its analogues </w:t>
            </w:r>
            <w:proofErr w:type="gramStart"/>
            <w:r w:rsidRPr="002D2A0A">
              <w:rPr>
                <w:rFonts w:ascii="Arial" w:hAnsi="Arial" w:cs="Arial"/>
                <w:i/>
                <w:sz w:val="20"/>
                <w:szCs w:val="20"/>
              </w:rPr>
              <w:t>has not been studied</w:t>
            </w:r>
            <w:proofErr w:type="gramEnd"/>
            <w:r w:rsidRPr="002D2A0A">
              <w:rPr>
                <w:rFonts w:ascii="Arial" w:hAnsi="Arial" w:cs="Arial"/>
                <w:i/>
                <w:sz w:val="20"/>
                <w:szCs w:val="20"/>
              </w:rPr>
              <w:t xml:space="preserve"> in controlled clinical trials. Therefore, caution </w:t>
            </w:r>
            <w:proofErr w:type="gramStart"/>
            <w:r w:rsidRPr="002D2A0A">
              <w:rPr>
                <w:rFonts w:ascii="Arial" w:hAnsi="Arial" w:cs="Arial"/>
                <w:i/>
                <w:sz w:val="20"/>
                <w:szCs w:val="20"/>
              </w:rPr>
              <w:t>is recommended</w:t>
            </w:r>
            <w:proofErr w:type="gramEnd"/>
            <w:r w:rsidRPr="002D2A0A">
              <w:rPr>
                <w:rFonts w:ascii="Arial" w:hAnsi="Arial" w:cs="Arial"/>
                <w:i/>
                <w:sz w:val="20"/>
                <w:szCs w:val="20"/>
              </w:rPr>
              <w:t xml:space="preserve"> in case of co-administration. </w:t>
            </w:r>
          </w:p>
          <w:p w14:paraId="48025792"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lastRenderedPageBreak/>
              <w:t xml:space="preserve">The efficacy of tadalafil in patients already on bosentan therapy </w:t>
            </w:r>
            <w:proofErr w:type="gramStart"/>
            <w:r w:rsidRPr="002D2A0A">
              <w:rPr>
                <w:rFonts w:ascii="Arial" w:hAnsi="Arial" w:cs="Arial"/>
                <w:i/>
                <w:sz w:val="20"/>
                <w:szCs w:val="20"/>
              </w:rPr>
              <w:t>has not been conclusively demonstrated</w:t>
            </w:r>
            <w:proofErr w:type="gramEnd"/>
            <w:r w:rsidRPr="002D2A0A">
              <w:rPr>
                <w:rFonts w:ascii="Arial" w:hAnsi="Arial" w:cs="Arial"/>
                <w:i/>
                <w:sz w:val="20"/>
                <w:szCs w:val="20"/>
              </w:rPr>
              <w:t xml:space="preserve"> (see PRECAUTIONS – Interactions with Other Medicines and CLINICAL TRIALS).</w:t>
            </w:r>
          </w:p>
          <w:p w14:paraId="1CE647CB"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The safety and efficacy of combinations of </w:t>
            </w:r>
            <w:r w:rsidR="00060C26" w:rsidRPr="002D2A0A">
              <w:rPr>
                <w:rFonts w:ascii="Arial" w:hAnsi="Arial" w:cs="Arial"/>
                <w:i/>
                <w:sz w:val="20"/>
                <w:szCs w:val="20"/>
              </w:rPr>
              <w:t>ADCIRCA</w:t>
            </w:r>
            <w:r w:rsidR="00252749" w:rsidRPr="002D2A0A">
              <w:rPr>
                <w:rFonts w:ascii="Arial" w:hAnsi="Arial" w:cs="Arial"/>
                <w:i/>
                <w:sz w:val="20"/>
                <w:szCs w:val="20"/>
                <w:vertAlign w:val="superscript"/>
              </w:rPr>
              <w:t>®</w:t>
            </w:r>
            <w:r w:rsidRPr="002D2A0A">
              <w:rPr>
                <w:rFonts w:ascii="Arial" w:hAnsi="Arial" w:cs="Arial"/>
                <w:i/>
                <w:sz w:val="20"/>
                <w:szCs w:val="20"/>
              </w:rPr>
              <w:t xml:space="preserve"> and other </w:t>
            </w:r>
            <w:r w:rsidR="006F26C5">
              <w:rPr>
                <w:rFonts w:ascii="Arial" w:hAnsi="Arial" w:cs="Arial"/>
                <w:i/>
                <w:sz w:val="20"/>
                <w:szCs w:val="20"/>
              </w:rPr>
              <w:t>PDE-5</w:t>
            </w:r>
            <w:r w:rsidRPr="002D2A0A">
              <w:rPr>
                <w:rFonts w:ascii="Arial" w:hAnsi="Arial" w:cs="Arial"/>
                <w:i/>
                <w:sz w:val="20"/>
                <w:szCs w:val="20"/>
              </w:rPr>
              <w:t xml:space="preserve"> inhibitors or other treatments for erectile dysfunction </w:t>
            </w:r>
            <w:proofErr w:type="gramStart"/>
            <w:r w:rsidRPr="002D2A0A">
              <w:rPr>
                <w:rFonts w:ascii="Arial" w:hAnsi="Arial" w:cs="Arial"/>
                <w:i/>
                <w:sz w:val="20"/>
                <w:szCs w:val="20"/>
              </w:rPr>
              <w:t>have not been studied</w:t>
            </w:r>
            <w:proofErr w:type="gramEnd"/>
            <w:r w:rsidRPr="002D2A0A">
              <w:rPr>
                <w:rFonts w:ascii="Arial" w:hAnsi="Arial" w:cs="Arial"/>
                <w:i/>
                <w:sz w:val="20"/>
                <w:szCs w:val="20"/>
              </w:rPr>
              <w:t xml:space="preserve">. </w:t>
            </w:r>
            <w:proofErr w:type="gramStart"/>
            <w:r w:rsidRPr="002D2A0A">
              <w:rPr>
                <w:rFonts w:ascii="Arial" w:hAnsi="Arial" w:cs="Arial"/>
                <w:i/>
                <w:sz w:val="20"/>
                <w:szCs w:val="20"/>
              </w:rPr>
              <w:t>Therefore</w:t>
            </w:r>
            <w:proofErr w:type="gramEnd"/>
            <w:r w:rsidRPr="002D2A0A">
              <w:rPr>
                <w:rFonts w:ascii="Arial" w:hAnsi="Arial" w:cs="Arial"/>
                <w:i/>
                <w:sz w:val="20"/>
                <w:szCs w:val="20"/>
              </w:rPr>
              <w:t xml:space="preserve"> patients should be informed not to take </w:t>
            </w:r>
            <w:r w:rsidR="00060C26" w:rsidRPr="002D2A0A">
              <w:rPr>
                <w:rFonts w:ascii="Arial" w:hAnsi="Arial" w:cs="Arial"/>
                <w:i/>
                <w:sz w:val="20"/>
                <w:szCs w:val="20"/>
              </w:rPr>
              <w:t>ADCIRCA</w:t>
            </w:r>
            <w:r w:rsidR="00252749" w:rsidRPr="002D2A0A">
              <w:rPr>
                <w:rFonts w:ascii="Arial" w:hAnsi="Arial" w:cs="Arial"/>
                <w:i/>
                <w:sz w:val="20"/>
                <w:szCs w:val="20"/>
                <w:vertAlign w:val="superscript"/>
              </w:rPr>
              <w:t>®</w:t>
            </w:r>
            <w:r w:rsidRPr="002D2A0A">
              <w:rPr>
                <w:rFonts w:ascii="Arial" w:hAnsi="Arial" w:cs="Arial"/>
                <w:i/>
                <w:sz w:val="20"/>
                <w:szCs w:val="20"/>
              </w:rPr>
              <w:t xml:space="preserve"> with these medications.</w:t>
            </w:r>
          </w:p>
          <w:p w14:paraId="495D02B9"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Endothelin-1 receptor antagonists (e.g. bosentan) – Bosentan (125 mg twice daily), a substrate of CYP2C9 and CYP3A4 and a moderate inducer of CYP3A4, CYP2C9 and possibly CYP2C19, reduced tadalafil (40 mg once per day) systemic exposure by 42% and </w:t>
            </w:r>
            <w:proofErr w:type="spellStart"/>
            <w:r w:rsidRPr="002D2A0A">
              <w:rPr>
                <w:rFonts w:ascii="Arial" w:hAnsi="Arial" w:cs="Arial"/>
                <w:i/>
                <w:sz w:val="20"/>
                <w:szCs w:val="20"/>
              </w:rPr>
              <w:t>Cmax</w:t>
            </w:r>
            <w:proofErr w:type="spellEnd"/>
            <w:r w:rsidRPr="002D2A0A">
              <w:rPr>
                <w:rFonts w:ascii="Arial" w:hAnsi="Arial" w:cs="Arial"/>
                <w:i/>
                <w:sz w:val="20"/>
                <w:szCs w:val="20"/>
              </w:rPr>
              <w:t xml:space="preserve"> by 27% following multiple dose co-administration. The efficacy of tadalafil in patients already on bosentan therapy </w:t>
            </w:r>
            <w:proofErr w:type="gramStart"/>
            <w:r w:rsidRPr="002D2A0A">
              <w:rPr>
                <w:rFonts w:ascii="Arial" w:hAnsi="Arial" w:cs="Arial"/>
                <w:i/>
                <w:sz w:val="20"/>
                <w:szCs w:val="20"/>
              </w:rPr>
              <w:t>has not been conclusively demonstrated</w:t>
            </w:r>
            <w:proofErr w:type="gramEnd"/>
            <w:r w:rsidRPr="002D2A0A">
              <w:rPr>
                <w:rFonts w:ascii="Arial" w:hAnsi="Arial" w:cs="Arial"/>
                <w:i/>
                <w:sz w:val="20"/>
                <w:szCs w:val="20"/>
              </w:rPr>
              <w:t xml:space="preserve"> (see PRECAUTIONS and CLINICAL TRIALS). Tadalafil did not affect the exposure (AUC and </w:t>
            </w:r>
            <w:proofErr w:type="spellStart"/>
            <w:r w:rsidRPr="002D2A0A">
              <w:rPr>
                <w:rFonts w:ascii="Arial" w:hAnsi="Arial" w:cs="Arial"/>
                <w:i/>
                <w:sz w:val="20"/>
                <w:szCs w:val="20"/>
              </w:rPr>
              <w:t>Cmax</w:t>
            </w:r>
            <w:proofErr w:type="spellEnd"/>
            <w:r w:rsidRPr="002D2A0A">
              <w:rPr>
                <w:rFonts w:ascii="Arial" w:hAnsi="Arial" w:cs="Arial"/>
                <w:i/>
                <w:sz w:val="20"/>
                <w:szCs w:val="20"/>
              </w:rPr>
              <w:t xml:space="preserve">) of bosentan or its metabolites. The safety and efficacy of combinations of </w:t>
            </w:r>
            <w:r w:rsidR="00060C26" w:rsidRPr="002D2A0A">
              <w:rPr>
                <w:rFonts w:ascii="Arial" w:hAnsi="Arial" w:cs="Arial"/>
                <w:i/>
                <w:sz w:val="20"/>
                <w:szCs w:val="20"/>
              </w:rPr>
              <w:t>ADCIRCA</w:t>
            </w:r>
            <w:r w:rsidR="00252749" w:rsidRPr="002D2A0A">
              <w:rPr>
                <w:rFonts w:ascii="Arial" w:hAnsi="Arial" w:cs="Arial"/>
                <w:i/>
                <w:sz w:val="20"/>
                <w:szCs w:val="20"/>
                <w:vertAlign w:val="superscript"/>
              </w:rPr>
              <w:t>®</w:t>
            </w:r>
            <w:r w:rsidRPr="002D2A0A">
              <w:rPr>
                <w:rFonts w:ascii="Arial" w:hAnsi="Arial" w:cs="Arial"/>
                <w:i/>
                <w:sz w:val="20"/>
                <w:szCs w:val="20"/>
              </w:rPr>
              <w:t xml:space="preserve"> and other endothelin-1 receptor antagonists </w:t>
            </w:r>
            <w:proofErr w:type="gramStart"/>
            <w:r w:rsidRPr="002D2A0A">
              <w:rPr>
                <w:rFonts w:ascii="Arial" w:hAnsi="Arial" w:cs="Arial"/>
                <w:i/>
                <w:sz w:val="20"/>
                <w:szCs w:val="20"/>
              </w:rPr>
              <w:t>have not been studied</w:t>
            </w:r>
            <w:proofErr w:type="gramEnd"/>
            <w:r w:rsidRPr="002D2A0A">
              <w:rPr>
                <w:rFonts w:ascii="Arial" w:hAnsi="Arial" w:cs="Arial"/>
                <w:i/>
                <w:sz w:val="20"/>
                <w:szCs w:val="20"/>
              </w:rPr>
              <w:t>.</w:t>
            </w:r>
          </w:p>
          <w:p w14:paraId="103E5418"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Other </w:t>
            </w:r>
            <w:r w:rsidR="006F26C5">
              <w:rPr>
                <w:rFonts w:ascii="Arial" w:hAnsi="Arial" w:cs="Arial"/>
                <w:i/>
                <w:sz w:val="20"/>
                <w:szCs w:val="20"/>
              </w:rPr>
              <w:t>PDE-5</w:t>
            </w:r>
            <w:r w:rsidRPr="002D2A0A">
              <w:rPr>
                <w:rFonts w:ascii="Arial" w:hAnsi="Arial" w:cs="Arial"/>
                <w:i/>
                <w:sz w:val="20"/>
                <w:szCs w:val="20"/>
              </w:rPr>
              <w:t xml:space="preserve"> inhibitors – The safety and efficacy of combinations of </w:t>
            </w:r>
            <w:r w:rsidR="00060C26" w:rsidRPr="002D2A0A">
              <w:rPr>
                <w:rFonts w:ascii="Arial" w:hAnsi="Arial" w:cs="Arial"/>
                <w:i/>
                <w:sz w:val="20"/>
                <w:szCs w:val="20"/>
              </w:rPr>
              <w:t>ADCIRCA</w:t>
            </w:r>
            <w:r w:rsidR="00252749" w:rsidRPr="002D2A0A">
              <w:rPr>
                <w:rFonts w:ascii="Arial" w:hAnsi="Arial" w:cs="Arial"/>
                <w:i/>
                <w:sz w:val="20"/>
                <w:szCs w:val="20"/>
                <w:vertAlign w:val="superscript"/>
              </w:rPr>
              <w:t>®</w:t>
            </w:r>
            <w:r w:rsidRPr="002D2A0A">
              <w:rPr>
                <w:rFonts w:ascii="Arial" w:hAnsi="Arial" w:cs="Arial"/>
                <w:i/>
                <w:sz w:val="20"/>
                <w:szCs w:val="20"/>
              </w:rPr>
              <w:t xml:space="preserve"> and other </w:t>
            </w:r>
            <w:r w:rsidR="006F26C5">
              <w:rPr>
                <w:rFonts w:ascii="Arial" w:hAnsi="Arial" w:cs="Arial"/>
                <w:i/>
                <w:sz w:val="20"/>
                <w:szCs w:val="20"/>
              </w:rPr>
              <w:t>PDE-5</w:t>
            </w:r>
            <w:r w:rsidRPr="002D2A0A">
              <w:rPr>
                <w:rFonts w:ascii="Arial" w:hAnsi="Arial" w:cs="Arial"/>
                <w:i/>
                <w:sz w:val="20"/>
                <w:szCs w:val="20"/>
              </w:rPr>
              <w:t xml:space="preserve"> inhibitors </w:t>
            </w:r>
            <w:proofErr w:type="gramStart"/>
            <w:r w:rsidRPr="002D2A0A">
              <w:rPr>
                <w:rFonts w:ascii="Arial" w:hAnsi="Arial" w:cs="Arial"/>
                <w:i/>
                <w:sz w:val="20"/>
                <w:szCs w:val="20"/>
              </w:rPr>
              <w:t>have not been studied</w:t>
            </w:r>
            <w:proofErr w:type="gramEnd"/>
            <w:r w:rsidRPr="002D2A0A">
              <w:rPr>
                <w:rFonts w:ascii="Arial" w:hAnsi="Arial" w:cs="Arial"/>
                <w:i/>
                <w:sz w:val="20"/>
                <w:szCs w:val="20"/>
              </w:rPr>
              <w:t xml:space="preserve">. Therefore, the use of such combinations </w:t>
            </w:r>
            <w:proofErr w:type="gramStart"/>
            <w:r w:rsidRPr="002D2A0A">
              <w:rPr>
                <w:rFonts w:ascii="Arial" w:hAnsi="Arial" w:cs="Arial"/>
                <w:i/>
                <w:sz w:val="20"/>
                <w:szCs w:val="20"/>
              </w:rPr>
              <w:t>is not recommended</w:t>
            </w:r>
            <w:proofErr w:type="gramEnd"/>
            <w:r w:rsidRPr="002D2A0A">
              <w:rPr>
                <w:rFonts w:ascii="Arial" w:hAnsi="Arial" w:cs="Arial"/>
                <w:i/>
                <w:sz w:val="20"/>
                <w:szCs w:val="20"/>
              </w:rPr>
              <w:t>.</w:t>
            </w:r>
          </w:p>
          <w:p w14:paraId="422CCAE0" w14:textId="77777777" w:rsidR="00064D19" w:rsidRPr="002D2A0A" w:rsidRDefault="00064D19" w:rsidP="00121658">
            <w:pPr>
              <w:spacing w:before="0" w:after="120" w:line="240" w:lineRule="auto"/>
              <w:rPr>
                <w:rFonts w:ascii="Arial" w:hAnsi="Arial" w:cs="Arial"/>
                <w:i/>
                <w:sz w:val="20"/>
                <w:szCs w:val="20"/>
              </w:rPr>
            </w:pPr>
            <w:r w:rsidRPr="002D2A0A">
              <w:rPr>
                <w:rFonts w:ascii="Arial" w:hAnsi="Arial" w:cs="Arial"/>
                <w:i/>
                <w:sz w:val="20"/>
                <w:szCs w:val="20"/>
              </w:rPr>
              <w:t xml:space="preserve">Riociguat – Preclinical studies showed an additive systemic blood pressure lowering effect when </w:t>
            </w:r>
            <w:r w:rsidR="006F26C5">
              <w:rPr>
                <w:rFonts w:ascii="Arial" w:hAnsi="Arial" w:cs="Arial"/>
                <w:i/>
                <w:sz w:val="20"/>
                <w:szCs w:val="20"/>
              </w:rPr>
              <w:t>PDE-5</w:t>
            </w:r>
            <w:r w:rsidRPr="002D2A0A">
              <w:rPr>
                <w:rFonts w:ascii="Arial" w:hAnsi="Arial" w:cs="Arial"/>
                <w:i/>
                <w:sz w:val="20"/>
                <w:szCs w:val="20"/>
              </w:rPr>
              <w:t xml:space="preserve"> inhibitors </w:t>
            </w:r>
            <w:proofErr w:type="gramStart"/>
            <w:r w:rsidRPr="002D2A0A">
              <w:rPr>
                <w:rFonts w:ascii="Arial" w:hAnsi="Arial" w:cs="Arial"/>
                <w:i/>
                <w:sz w:val="20"/>
                <w:szCs w:val="20"/>
              </w:rPr>
              <w:t>were combined</w:t>
            </w:r>
            <w:proofErr w:type="gramEnd"/>
            <w:r w:rsidRPr="002D2A0A">
              <w:rPr>
                <w:rFonts w:ascii="Arial" w:hAnsi="Arial" w:cs="Arial"/>
                <w:i/>
                <w:sz w:val="20"/>
                <w:szCs w:val="20"/>
              </w:rPr>
              <w:t xml:space="preserve"> with riociguat. In clinical studies, riociguat </w:t>
            </w:r>
            <w:proofErr w:type="gramStart"/>
            <w:r w:rsidRPr="002D2A0A">
              <w:rPr>
                <w:rFonts w:ascii="Arial" w:hAnsi="Arial" w:cs="Arial"/>
                <w:i/>
                <w:sz w:val="20"/>
                <w:szCs w:val="20"/>
              </w:rPr>
              <w:t>has been shown</w:t>
            </w:r>
            <w:proofErr w:type="gramEnd"/>
            <w:r w:rsidRPr="002D2A0A">
              <w:rPr>
                <w:rFonts w:ascii="Arial" w:hAnsi="Arial" w:cs="Arial"/>
                <w:i/>
                <w:sz w:val="20"/>
                <w:szCs w:val="20"/>
              </w:rPr>
              <w:t xml:space="preserve"> to augment the hypotensive effects of </w:t>
            </w:r>
            <w:r w:rsidR="006F26C5">
              <w:rPr>
                <w:rFonts w:ascii="Arial" w:hAnsi="Arial" w:cs="Arial"/>
                <w:i/>
                <w:sz w:val="20"/>
                <w:szCs w:val="20"/>
              </w:rPr>
              <w:t>PDE-5</w:t>
            </w:r>
            <w:r w:rsidRPr="002D2A0A">
              <w:rPr>
                <w:rFonts w:ascii="Arial" w:hAnsi="Arial" w:cs="Arial"/>
                <w:i/>
                <w:sz w:val="20"/>
                <w:szCs w:val="20"/>
              </w:rPr>
              <w:t xml:space="preserve"> inhibitors. There was no evidence of favourable clinical effect of the combination in the population studied. Concomitant use of riociguat with </w:t>
            </w:r>
            <w:r w:rsidR="006F26C5">
              <w:rPr>
                <w:rFonts w:ascii="Arial" w:hAnsi="Arial" w:cs="Arial"/>
                <w:i/>
                <w:sz w:val="20"/>
                <w:szCs w:val="20"/>
              </w:rPr>
              <w:t>PDE-5</w:t>
            </w:r>
            <w:r w:rsidRPr="002D2A0A">
              <w:rPr>
                <w:rFonts w:ascii="Arial" w:hAnsi="Arial" w:cs="Arial"/>
                <w:i/>
                <w:sz w:val="20"/>
                <w:szCs w:val="20"/>
              </w:rPr>
              <w:t xml:space="preserve"> inhibitors, including tadalafil, </w:t>
            </w:r>
            <w:proofErr w:type="gramStart"/>
            <w:r w:rsidRPr="002D2A0A">
              <w:rPr>
                <w:rFonts w:ascii="Arial" w:hAnsi="Arial" w:cs="Arial"/>
                <w:i/>
                <w:sz w:val="20"/>
                <w:szCs w:val="20"/>
              </w:rPr>
              <w:t>is contraindicated</w:t>
            </w:r>
            <w:proofErr w:type="gramEnd"/>
            <w:r w:rsidRPr="002D2A0A">
              <w:rPr>
                <w:rFonts w:ascii="Arial" w:hAnsi="Arial" w:cs="Arial"/>
                <w:i/>
                <w:sz w:val="20"/>
                <w:szCs w:val="20"/>
              </w:rPr>
              <w:t xml:space="preserve"> as it may potentially lead to symptomatic hypotension (see CONTRAINDICATIONS).</w:t>
            </w:r>
          </w:p>
        </w:tc>
      </w:tr>
      <w:tr w:rsidR="00064D19" w:rsidRPr="00FC25C7" w14:paraId="6BB2A41B" w14:textId="77777777" w:rsidTr="00806FA1">
        <w:tc>
          <w:tcPr>
            <w:tcW w:w="473" w:type="pct"/>
            <w:shd w:val="clear" w:color="auto" w:fill="auto"/>
          </w:tcPr>
          <w:p w14:paraId="1A7F8FE6" w14:textId="77777777" w:rsidR="00064D19" w:rsidRPr="00FC25C7" w:rsidRDefault="00064D19" w:rsidP="00121658">
            <w:pPr>
              <w:spacing w:before="0" w:line="240" w:lineRule="auto"/>
              <w:rPr>
                <w:rFonts w:ascii="Arial" w:hAnsi="Arial" w:cs="Arial"/>
                <w:sz w:val="20"/>
                <w:szCs w:val="20"/>
              </w:rPr>
            </w:pPr>
            <w:r w:rsidRPr="00FC25C7">
              <w:rPr>
                <w:rFonts w:ascii="Arial" w:hAnsi="Arial" w:cs="Arial"/>
                <w:sz w:val="20"/>
                <w:szCs w:val="20"/>
              </w:rPr>
              <w:lastRenderedPageBreak/>
              <w:t>Riociguat</w:t>
            </w:r>
          </w:p>
        </w:tc>
        <w:tc>
          <w:tcPr>
            <w:tcW w:w="392" w:type="pct"/>
          </w:tcPr>
          <w:p w14:paraId="2AC01E2F" w14:textId="77777777" w:rsidR="00064D19" w:rsidRPr="00FC25C7" w:rsidRDefault="00060C26" w:rsidP="00121658">
            <w:pPr>
              <w:spacing w:before="0" w:line="240" w:lineRule="auto"/>
              <w:rPr>
                <w:rFonts w:ascii="Arial" w:hAnsi="Arial" w:cs="Arial"/>
                <w:sz w:val="20"/>
                <w:szCs w:val="20"/>
              </w:rPr>
            </w:pPr>
            <w:proofErr w:type="spellStart"/>
            <w:r w:rsidRPr="00FC25C7">
              <w:rPr>
                <w:rFonts w:ascii="Arial" w:hAnsi="Arial" w:cs="Arial"/>
                <w:sz w:val="20"/>
                <w:szCs w:val="20"/>
              </w:rPr>
              <w:t>Adempas</w:t>
            </w:r>
            <w:proofErr w:type="spellEnd"/>
            <w:r w:rsidR="00252749" w:rsidRPr="00FC25C7">
              <w:rPr>
                <w:rFonts w:ascii="Arial" w:hAnsi="Arial" w:cs="Arial"/>
                <w:sz w:val="20"/>
                <w:szCs w:val="20"/>
                <w:vertAlign w:val="superscript"/>
              </w:rPr>
              <w:t>®</w:t>
            </w:r>
          </w:p>
        </w:tc>
        <w:tc>
          <w:tcPr>
            <w:tcW w:w="661" w:type="pct"/>
          </w:tcPr>
          <w:p w14:paraId="2752AA52" w14:textId="77777777" w:rsidR="00064D19" w:rsidRPr="00FC25C7" w:rsidRDefault="00064D19" w:rsidP="00121658">
            <w:pPr>
              <w:spacing w:before="0" w:line="240" w:lineRule="auto"/>
              <w:rPr>
                <w:rFonts w:ascii="Arial" w:hAnsi="Arial" w:cs="Arial"/>
                <w:sz w:val="20"/>
                <w:szCs w:val="20"/>
              </w:rPr>
            </w:pPr>
            <w:r w:rsidRPr="00FC25C7">
              <w:rPr>
                <w:rFonts w:ascii="Arial" w:hAnsi="Arial" w:cs="Arial"/>
                <w:sz w:val="20"/>
                <w:szCs w:val="20"/>
              </w:rPr>
              <w:t>17 March 2017</w:t>
            </w:r>
          </w:p>
        </w:tc>
        <w:tc>
          <w:tcPr>
            <w:tcW w:w="3474" w:type="pct"/>
            <w:shd w:val="clear" w:color="auto" w:fill="auto"/>
            <w:vAlign w:val="center"/>
          </w:tcPr>
          <w:p w14:paraId="295CDCF0" w14:textId="77777777" w:rsidR="00064D19" w:rsidRPr="00FC25C7" w:rsidRDefault="00064D19" w:rsidP="00121658">
            <w:pPr>
              <w:spacing w:before="0" w:line="240" w:lineRule="auto"/>
              <w:rPr>
                <w:rFonts w:ascii="Arial" w:hAnsi="Arial" w:cs="Arial"/>
                <w:i/>
                <w:sz w:val="20"/>
                <w:szCs w:val="20"/>
              </w:rPr>
            </w:pPr>
            <w:r w:rsidRPr="00FC25C7">
              <w:rPr>
                <w:rFonts w:ascii="Arial" w:hAnsi="Arial" w:cs="Arial"/>
                <w:i/>
                <w:sz w:val="20"/>
                <w:szCs w:val="20"/>
              </w:rPr>
              <w:t>INDICATIONS:</w:t>
            </w:r>
          </w:p>
          <w:p w14:paraId="6A94B229" w14:textId="77777777" w:rsidR="00064D19" w:rsidRPr="00FC25C7" w:rsidRDefault="00064D19" w:rsidP="00121658">
            <w:pPr>
              <w:spacing w:before="0" w:after="120" w:line="240" w:lineRule="auto"/>
              <w:rPr>
                <w:rFonts w:ascii="Arial" w:hAnsi="Arial" w:cs="Arial"/>
                <w:sz w:val="20"/>
                <w:szCs w:val="20"/>
              </w:rPr>
            </w:pPr>
            <w:r w:rsidRPr="00FC25C7">
              <w:rPr>
                <w:rFonts w:ascii="Arial" w:hAnsi="Arial" w:cs="Arial"/>
                <w:i/>
                <w:sz w:val="20"/>
                <w:szCs w:val="20"/>
              </w:rPr>
              <w:t xml:space="preserve">Pulmonary arterial hypertension – </w:t>
            </w:r>
            <w:r w:rsidR="00060C26" w:rsidRPr="007B459D">
              <w:rPr>
                <w:rFonts w:ascii="Arial" w:hAnsi="Arial" w:cs="Arial"/>
                <w:i/>
                <w:caps/>
                <w:sz w:val="20"/>
                <w:szCs w:val="20"/>
              </w:rPr>
              <w:t>Adempas</w:t>
            </w:r>
            <w:r w:rsidR="00252749" w:rsidRPr="00FC25C7">
              <w:rPr>
                <w:rFonts w:ascii="Arial" w:hAnsi="Arial" w:cs="Arial"/>
                <w:i/>
                <w:sz w:val="20"/>
                <w:szCs w:val="20"/>
                <w:vertAlign w:val="superscript"/>
              </w:rPr>
              <w:t>®</w:t>
            </w:r>
            <w:r w:rsidRPr="00FC25C7">
              <w:rPr>
                <w:rFonts w:ascii="Arial" w:hAnsi="Arial" w:cs="Arial"/>
                <w:i/>
                <w:sz w:val="20"/>
                <w:szCs w:val="20"/>
              </w:rPr>
              <w:t>, as monotherapy or in combination with approved PAH treatments (endothelin receptor antagonists or inhaled or subcutaneous prostanoids) …</w:t>
            </w:r>
            <w:r w:rsidR="005A470D" w:rsidRPr="00FC25C7">
              <w:rPr>
                <w:rFonts w:ascii="Arial" w:hAnsi="Arial" w:cs="Arial"/>
                <w:i/>
                <w:sz w:val="20"/>
                <w:szCs w:val="20"/>
              </w:rPr>
              <w:t>.</w:t>
            </w:r>
            <w:r w:rsidRPr="00FC25C7">
              <w:rPr>
                <w:rFonts w:ascii="Arial" w:hAnsi="Arial" w:cs="Arial"/>
                <w:i/>
                <w:sz w:val="20"/>
                <w:szCs w:val="20"/>
              </w:rPr>
              <w:t xml:space="preserve"> </w:t>
            </w:r>
            <w:r w:rsidRPr="00FC25C7">
              <w:rPr>
                <w:rFonts w:ascii="Arial" w:hAnsi="Arial" w:cs="Arial"/>
                <w:sz w:val="20"/>
                <w:szCs w:val="20"/>
              </w:rPr>
              <w:t>[applies to all the registered PAH indications for riociguat]</w:t>
            </w:r>
          </w:p>
          <w:p w14:paraId="6583B9F7" w14:textId="77777777" w:rsidR="00064D19" w:rsidRPr="00FC25C7" w:rsidRDefault="00064D19" w:rsidP="00121658">
            <w:pPr>
              <w:spacing w:before="0" w:line="240" w:lineRule="auto"/>
              <w:rPr>
                <w:rFonts w:ascii="Arial" w:hAnsi="Arial" w:cs="Arial"/>
                <w:i/>
                <w:sz w:val="20"/>
                <w:szCs w:val="20"/>
              </w:rPr>
            </w:pPr>
            <w:r w:rsidRPr="00FC25C7">
              <w:rPr>
                <w:rFonts w:ascii="Arial" w:hAnsi="Arial" w:cs="Arial"/>
                <w:i/>
                <w:sz w:val="20"/>
                <w:szCs w:val="20"/>
              </w:rPr>
              <w:t>CONTRAINDICATIONS:</w:t>
            </w:r>
          </w:p>
          <w:p w14:paraId="0982283A" w14:textId="77777777" w:rsidR="00064D19" w:rsidRPr="00FC25C7" w:rsidRDefault="00064D19" w:rsidP="00121658">
            <w:pPr>
              <w:spacing w:before="0" w:after="120" w:line="240" w:lineRule="auto"/>
              <w:rPr>
                <w:rFonts w:ascii="Arial" w:hAnsi="Arial" w:cs="Arial"/>
                <w:i/>
                <w:sz w:val="20"/>
                <w:szCs w:val="20"/>
              </w:rPr>
            </w:pPr>
            <w:r w:rsidRPr="00FC25C7">
              <w:rPr>
                <w:rFonts w:ascii="Arial" w:hAnsi="Arial" w:cs="Arial"/>
                <w:i/>
                <w:sz w:val="20"/>
                <w:szCs w:val="20"/>
              </w:rPr>
              <w:t xml:space="preserve">Co-administration of </w:t>
            </w:r>
            <w:r w:rsidR="00060C26" w:rsidRPr="007B459D">
              <w:rPr>
                <w:rFonts w:ascii="Arial" w:hAnsi="Arial" w:cs="Arial"/>
                <w:i/>
                <w:caps/>
                <w:sz w:val="20"/>
                <w:szCs w:val="20"/>
              </w:rPr>
              <w:t>Adempas</w:t>
            </w:r>
            <w:r w:rsidR="00252749" w:rsidRPr="00FC25C7">
              <w:rPr>
                <w:rFonts w:ascii="Arial" w:hAnsi="Arial" w:cs="Arial"/>
                <w:i/>
                <w:sz w:val="20"/>
                <w:szCs w:val="20"/>
                <w:vertAlign w:val="superscript"/>
              </w:rPr>
              <w:t>®</w:t>
            </w:r>
            <w:r w:rsidRPr="00FC25C7">
              <w:rPr>
                <w:rFonts w:ascii="Arial" w:hAnsi="Arial" w:cs="Arial"/>
                <w:i/>
                <w:sz w:val="20"/>
                <w:szCs w:val="20"/>
              </w:rPr>
              <w:t xml:space="preserve"> with specific </w:t>
            </w:r>
            <w:r w:rsidR="00AF191D" w:rsidRPr="00FC25C7">
              <w:rPr>
                <w:rFonts w:ascii="Arial" w:hAnsi="Arial" w:cs="Arial"/>
                <w:i/>
                <w:sz w:val="20"/>
                <w:szCs w:val="20"/>
              </w:rPr>
              <w:t>PDE</w:t>
            </w:r>
            <w:r w:rsidR="00AF191D" w:rsidRPr="00FC25C7">
              <w:rPr>
                <w:rFonts w:ascii="Arial" w:hAnsi="Arial" w:cs="Arial"/>
                <w:i/>
                <w:sz w:val="20"/>
                <w:szCs w:val="20"/>
              </w:rPr>
              <w:noBreakHyphen/>
              <w:t>5</w:t>
            </w:r>
            <w:r w:rsidRPr="00FC25C7">
              <w:rPr>
                <w:rFonts w:ascii="Arial" w:hAnsi="Arial" w:cs="Arial"/>
                <w:i/>
                <w:sz w:val="20"/>
                <w:szCs w:val="20"/>
              </w:rPr>
              <w:t xml:space="preserve">-inhibitors (such as sildenafil, tadalafil, or </w:t>
            </w:r>
            <w:proofErr w:type="spellStart"/>
            <w:r w:rsidRPr="00FC25C7">
              <w:rPr>
                <w:rFonts w:ascii="Arial" w:hAnsi="Arial" w:cs="Arial"/>
                <w:i/>
                <w:sz w:val="20"/>
                <w:szCs w:val="20"/>
              </w:rPr>
              <w:t>vardenafil</w:t>
            </w:r>
            <w:proofErr w:type="spellEnd"/>
            <w:r w:rsidRPr="00FC25C7">
              <w:rPr>
                <w:rFonts w:ascii="Arial" w:hAnsi="Arial" w:cs="Arial"/>
                <w:i/>
                <w:sz w:val="20"/>
                <w:szCs w:val="20"/>
              </w:rPr>
              <w:t xml:space="preserve">) or nonspecific PDE inhibitors (such as dipyridamole or theophylline) </w:t>
            </w:r>
            <w:proofErr w:type="gramStart"/>
            <w:r w:rsidRPr="00FC25C7">
              <w:rPr>
                <w:rFonts w:ascii="Arial" w:hAnsi="Arial" w:cs="Arial"/>
                <w:i/>
                <w:sz w:val="20"/>
                <w:szCs w:val="20"/>
              </w:rPr>
              <w:t>is contraindicated</w:t>
            </w:r>
            <w:proofErr w:type="gramEnd"/>
            <w:r w:rsidRPr="00FC25C7">
              <w:rPr>
                <w:rFonts w:ascii="Arial" w:hAnsi="Arial" w:cs="Arial"/>
                <w:i/>
                <w:sz w:val="20"/>
                <w:szCs w:val="20"/>
              </w:rPr>
              <w:t xml:space="preserve"> (see INTERACTIONS WITH OTHER MEDICINES, </w:t>
            </w:r>
            <w:proofErr w:type="spellStart"/>
            <w:r w:rsidRPr="00FC25C7">
              <w:rPr>
                <w:rFonts w:ascii="Arial" w:hAnsi="Arial" w:cs="Arial"/>
                <w:i/>
                <w:sz w:val="20"/>
                <w:szCs w:val="20"/>
              </w:rPr>
              <w:t>Pharmacodynamic</w:t>
            </w:r>
            <w:proofErr w:type="spellEnd"/>
            <w:r w:rsidRPr="00FC25C7">
              <w:rPr>
                <w:rFonts w:ascii="Arial" w:hAnsi="Arial" w:cs="Arial"/>
                <w:i/>
                <w:sz w:val="20"/>
                <w:szCs w:val="20"/>
              </w:rPr>
              <w:t xml:space="preserve"> Interactions).</w:t>
            </w:r>
          </w:p>
          <w:p w14:paraId="614DF756" w14:textId="77777777" w:rsidR="00064D19" w:rsidRPr="00FC25C7" w:rsidRDefault="00064D19" w:rsidP="00121658">
            <w:pPr>
              <w:spacing w:before="0" w:line="240" w:lineRule="auto"/>
              <w:rPr>
                <w:rFonts w:ascii="Arial" w:hAnsi="Arial" w:cs="Arial"/>
                <w:i/>
                <w:sz w:val="20"/>
                <w:szCs w:val="20"/>
              </w:rPr>
            </w:pPr>
            <w:r w:rsidRPr="00FC25C7">
              <w:rPr>
                <w:rFonts w:ascii="Arial" w:hAnsi="Arial" w:cs="Arial"/>
                <w:i/>
                <w:sz w:val="20"/>
                <w:szCs w:val="20"/>
              </w:rPr>
              <w:t>PRECAUTIONS:</w:t>
            </w:r>
          </w:p>
          <w:p w14:paraId="071675E9" w14:textId="77777777" w:rsidR="00064D19" w:rsidRPr="00FC25C7" w:rsidRDefault="00064D19" w:rsidP="00121658">
            <w:pPr>
              <w:spacing w:before="0" w:after="120" w:line="240" w:lineRule="auto"/>
              <w:rPr>
                <w:rFonts w:ascii="Arial" w:hAnsi="Arial" w:cs="Arial"/>
                <w:i/>
                <w:sz w:val="20"/>
                <w:szCs w:val="20"/>
              </w:rPr>
            </w:pPr>
            <w:r w:rsidRPr="00FC25C7">
              <w:rPr>
                <w:rFonts w:ascii="Arial" w:hAnsi="Arial" w:cs="Arial"/>
                <w:i/>
                <w:sz w:val="20"/>
                <w:szCs w:val="20"/>
              </w:rPr>
              <w:t xml:space="preserve">The efficacy and safety of riociguat when co-administered with epoprostenol </w:t>
            </w:r>
            <w:proofErr w:type="gramStart"/>
            <w:r w:rsidRPr="00FC25C7">
              <w:rPr>
                <w:rFonts w:ascii="Arial" w:hAnsi="Arial" w:cs="Arial"/>
                <w:i/>
                <w:sz w:val="20"/>
                <w:szCs w:val="20"/>
              </w:rPr>
              <w:t>has not been established</w:t>
            </w:r>
            <w:proofErr w:type="gramEnd"/>
            <w:r w:rsidRPr="00FC25C7">
              <w:rPr>
                <w:rFonts w:ascii="Arial" w:hAnsi="Arial" w:cs="Arial"/>
                <w:i/>
                <w:sz w:val="20"/>
                <w:szCs w:val="20"/>
              </w:rPr>
              <w:t>.</w:t>
            </w:r>
          </w:p>
          <w:p w14:paraId="03B6330E" w14:textId="77777777" w:rsidR="00064D19" w:rsidRPr="00FC25C7" w:rsidRDefault="00064D19" w:rsidP="00121658">
            <w:pPr>
              <w:spacing w:before="0" w:line="240" w:lineRule="auto"/>
              <w:rPr>
                <w:rFonts w:ascii="Arial" w:hAnsi="Arial" w:cs="Arial"/>
                <w:i/>
                <w:sz w:val="20"/>
                <w:szCs w:val="20"/>
              </w:rPr>
            </w:pPr>
            <w:r w:rsidRPr="00FC25C7">
              <w:rPr>
                <w:rFonts w:ascii="Arial" w:hAnsi="Arial" w:cs="Arial"/>
                <w:i/>
                <w:sz w:val="20"/>
                <w:szCs w:val="20"/>
              </w:rPr>
              <w:t>INTERACTIONS WITH OTHER MEDICINES:</w:t>
            </w:r>
          </w:p>
          <w:p w14:paraId="7FD15788" w14:textId="77777777" w:rsidR="00064D19" w:rsidRPr="00FC25C7" w:rsidRDefault="00064D19" w:rsidP="00121658">
            <w:pPr>
              <w:spacing w:before="0" w:after="120" w:line="240" w:lineRule="auto"/>
              <w:rPr>
                <w:rFonts w:ascii="Arial" w:hAnsi="Arial" w:cs="Arial"/>
                <w:i/>
                <w:sz w:val="20"/>
                <w:szCs w:val="20"/>
              </w:rPr>
            </w:pPr>
            <w:r w:rsidRPr="00FC25C7">
              <w:rPr>
                <w:rFonts w:ascii="Arial" w:hAnsi="Arial" w:cs="Arial"/>
                <w:i/>
                <w:sz w:val="20"/>
                <w:szCs w:val="20"/>
              </w:rPr>
              <w:t>Pharmacokinetic Interactions – Bosentan, reported to be a moderate inducer of CYP3A4, led to a decrease of riociguat steady-state plasma concentrations in PAH patients by 27% without compromising the efficacy of the combination (see INDICATIONS and CLINICAL TRIALS, Treatment of Pulmonary Arterial Hypertension).</w:t>
            </w:r>
          </w:p>
          <w:p w14:paraId="1D17E622" w14:textId="77777777" w:rsidR="002F477F" w:rsidRDefault="002F477F" w:rsidP="00121658">
            <w:pPr>
              <w:spacing w:before="0" w:line="240" w:lineRule="auto"/>
              <w:rPr>
                <w:rFonts w:ascii="Arial" w:hAnsi="Arial" w:cs="Arial"/>
                <w:i/>
                <w:sz w:val="20"/>
                <w:szCs w:val="20"/>
              </w:rPr>
            </w:pPr>
          </w:p>
          <w:p w14:paraId="38E46538" w14:textId="77777777" w:rsidR="00064D19" w:rsidRPr="00FC25C7" w:rsidRDefault="00064D19" w:rsidP="00121658">
            <w:pPr>
              <w:spacing w:before="0" w:line="240" w:lineRule="auto"/>
              <w:rPr>
                <w:rFonts w:ascii="Arial" w:hAnsi="Arial" w:cs="Arial"/>
                <w:i/>
                <w:sz w:val="20"/>
                <w:szCs w:val="20"/>
              </w:rPr>
            </w:pPr>
            <w:proofErr w:type="spellStart"/>
            <w:r w:rsidRPr="00FC25C7">
              <w:rPr>
                <w:rFonts w:ascii="Arial" w:hAnsi="Arial" w:cs="Arial"/>
                <w:i/>
                <w:sz w:val="20"/>
                <w:szCs w:val="20"/>
              </w:rPr>
              <w:t>Pharmacodynamic</w:t>
            </w:r>
            <w:proofErr w:type="spellEnd"/>
            <w:r w:rsidRPr="00FC25C7">
              <w:rPr>
                <w:rFonts w:ascii="Arial" w:hAnsi="Arial" w:cs="Arial"/>
                <w:i/>
                <w:sz w:val="20"/>
                <w:szCs w:val="20"/>
              </w:rPr>
              <w:t xml:space="preserve"> Interactions – PDE</w:t>
            </w:r>
            <w:r w:rsidR="005077A8">
              <w:rPr>
                <w:rFonts w:ascii="Arial" w:hAnsi="Arial" w:cs="Arial"/>
                <w:i/>
                <w:sz w:val="20"/>
                <w:szCs w:val="20"/>
              </w:rPr>
              <w:t>-5</w:t>
            </w:r>
            <w:r w:rsidRPr="00FC25C7">
              <w:rPr>
                <w:rFonts w:ascii="Arial" w:hAnsi="Arial" w:cs="Arial"/>
                <w:i/>
                <w:sz w:val="20"/>
                <w:szCs w:val="20"/>
              </w:rPr>
              <w:t xml:space="preserve"> inhibitors</w:t>
            </w:r>
          </w:p>
          <w:p w14:paraId="2D0BD808" w14:textId="77777777" w:rsidR="00064D19" w:rsidRPr="00FC25C7" w:rsidRDefault="00064D19" w:rsidP="00121658">
            <w:pPr>
              <w:spacing w:before="0" w:line="240" w:lineRule="auto"/>
              <w:rPr>
                <w:rFonts w:ascii="Arial" w:hAnsi="Arial" w:cs="Arial"/>
                <w:i/>
                <w:sz w:val="20"/>
                <w:szCs w:val="20"/>
              </w:rPr>
            </w:pPr>
            <w:r w:rsidRPr="00FC25C7">
              <w:rPr>
                <w:rFonts w:ascii="Arial" w:hAnsi="Arial" w:cs="Arial"/>
                <w:i/>
                <w:sz w:val="20"/>
                <w:szCs w:val="20"/>
              </w:rPr>
              <w:t xml:space="preserve">Riociguat and </w:t>
            </w:r>
            <w:r w:rsidR="00AF191D" w:rsidRPr="00FC25C7">
              <w:rPr>
                <w:rFonts w:ascii="Arial" w:hAnsi="Arial" w:cs="Arial"/>
                <w:i/>
                <w:sz w:val="20"/>
                <w:szCs w:val="20"/>
              </w:rPr>
              <w:t>PDE</w:t>
            </w:r>
            <w:r w:rsidR="00AF191D" w:rsidRPr="00FC25C7">
              <w:rPr>
                <w:rFonts w:ascii="Arial" w:hAnsi="Arial" w:cs="Arial"/>
                <w:i/>
                <w:sz w:val="20"/>
                <w:szCs w:val="20"/>
              </w:rPr>
              <w:noBreakHyphen/>
              <w:t>5</w:t>
            </w:r>
            <w:r w:rsidRPr="00FC25C7">
              <w:rPr>
                <w:rFonts w:ascii="Arial" w:hAnsi="Arial" w:cs="Arial"/>
                <w:i/>
                <w:sz w:val="20"/>
                <w:szCs w:val="20"/>
              </w:rPr>
              <w:t xml:space="preserve">-inhibitors are modulators of intra-cellular cGMP through different modes of action, but both act as vasodilators clinically. When cGMP </w:t>
            </w:r>
            <w:proofErr w:type="gramStart"/>
            <w:r w:rsidRPr="00FC25C7">
              <w:rPr>
                <w:rFonts w:ascii="Arial" w:hAnsi="Arial" w:cs="Arial"/>
                <w:i/>
                <w:sz w:val="20"/>
                <w:szCs w:val="20"/>
              </w:rPr>
              <w:t>is elevated</w:t>
            </w:r>
            <w:proofErr w:type="gramEnd"/>
            <w:r w:rsidRPr="00FC25C7">
              <w:rPr>
                <w:rFonts w:ascii="Arial" w:hAnsi="Arial" w:cs="Arial"/>
                <w:i/>
                <w:sz w:val="20"/>
                <w:szCs w:val="20"/>
              </w:rPr>
              <w:t xml:space="preserve"> by combining both principles, an additive effect on systemic blood pressure is anticipated (see CONTRAINDICATIONS).</w:t>
            </w:r>
          </w:p>
          <w:p w14:paraId="3A6B77B5" w14:textId="77777777" w:rsidR="00064D19" w:rsidRPr="00FC25C7" w:rsidRDefault="00064D19" w:rsidP="00121658">
            <w:pPr>
              <w:spacing w:before="0" w:line="240" w:lineRule="auto"/>
              <w:rPr>
                <w:rFonts w:ascii="Arial" w:hAnsi="Arial" w:cs="Arial"/>
                <w:i/>
                <w:sz w:val="20"/>
                <w:szCs w:val="20"/>
              </w:rPr>
            </w:pPr>
            <w:r w:rsidRPr="00FC25C7">
              <w:rPr>
                <w:rFonts w:ascii="Arial" w:hAnsi="Arial" w:cs="Arial"/>
                <w:i/>
                <w:sz w:val="20"/>
                <w:szCs w:val="20"/>
              </w:rPr>
              <w:t xml:space="preserve">Preclinical studies in animal models showed additive systemic blood pressure lowering effect when riociguat </w:t>
            </w:r>
            <w:proofErr w:type="gramStart"/>
            <w:r w:rsidRPr="00FC25C7">
              <w:rPr>
                <w:rFonts w:ascii="Arial" w:hAnsi="Arial" w:cs="Arial"/>
                <w:i/>
                <w:sz w:val="20"/>
                <w:szCs w:val="20"/>
              </w:rPr>
              <w:t>was combined</w:t>
            </w:r>
            <w:proofErr w:type="gramEnd"/>
            <w:r w:rsidRPr="00FC25C7">
              <w:rPr>
                <w:rFonts w:ascii="Arial" w:hAnsi="Arial" w:cs="Arial"/>
                <w:i/>
                <w:sz w:val="20"/>
                <w:szCs w:val="20"/>
              </w:rPr>
              <w:t xml:space="preserve"> with either sildenafil or </w:t>
            </w:r>
            <w:proofErr w:type="spellStart"/>
            <w:r w:rsidRPr="00FC25C7">
              <w:rPr>
                <w:rFonts w:ascii="Arial" w:hAnsi="Arial" w:cs="Arial"/>
                <w:i/>
                <w:sz w:val="20"/>
                <w:szCs w:val="20"/>
              </w:rPr>
              <w:t>vardenafil</w:t>
            </w:r>
            <w:proofErr w:type="spellEnd"/>
            <w:r w:rsidRPr="00FC25C7">
              <w:rPr>
                <w:rFonts w:ascii="Arial" w:hAnsi="Arial" w:cs="Arial"/>
                <w:i/>
                <w:sz w:val="20"/>
                <w:szCs w:val="20"/>
              </w:rPr>
              <w:t xml:space="preserve">. With increased doses, over additive effects on systemic blood pressure </w:t>
            </w:r>
            <w:proofErr w:type="gramStart"/>
            <w:r w:rsidRPr="00FC25C7">
              <w:rPr>
                <w:rFonts w:ascii="Arial" w:hAnsi="Arial" w:cs="Arial"/>
                <w:i/>
                <w:sz w:val="20"/>
                <w:szCs w:val="20"/>
              </w:rPr>
              <w:t>were observed</w:t>
            </w:r>
            <w:proofErr w:type="gramEnd"/>
            <w:r w:rsidRPr="00FC25C7">
              <w:rPr>
                <w:rFonts w:ascii="Arial" w:hAnsi="Arial" w:cs="Arial"/>
                <w:i/>
                <w:sz w:val="20"/>
                <w:szCs w:val="20"/>
              </w:rPr>
              <w:t xml:space="preserve"> in some cases.</w:t>
            </w:r>
          </w:p>
          <w:p w14:paraId="47DC3B90" w14:textId="77777777" w:rsidR="00064D19" w:rsidRPr="00FC25C7" w:rsidRDefault="00064D19" w:rsidP="00121658">
            <w:pPr>
              <w:spacing w:before="0" w:line="240" w:lineRule="auto"/>
              <w:rPr>
                <w:rFonts w:ascii="Arial" w:hAnsi="Arial" w:cs="Arial"/>
                <w:i/>
                <w:sz w:val="20"/>
                <w:szCs w:val="20"/>
              </w:rPr>
            </w:pPr>
            <w:r w:rsidRPr="00FC25C7">
              <w:rPr>
                <w:rFonts w:ascii="Arial" w:hAnsi="Arial" w:cs="Arial"/>
                <w:i/>
                <w:sz w:val="20"/>
                <w:szCs w:val="20"/>
              </w:rPr>
              <w:t>In some patients, concomitant use of these two medicine classes can lower blood pressure significantly leading to symptomatic hypotension (see CONTRAINDICATIONS).</w:t>
            </w:r>
          </w:p>
          <w:p w14:paraId="66E5D0DC" w14:textId="77777777" w:rsidR="00064D19" w:rsidRPr="00FC25C7" w:rsidRDefault="00064D19" w:rsidP="00121658">
            <w:pPr>
              <w:spacing w:before="0" w:line="240" w:lineRule="auto"/>
              <w:rPr>
                <w:rFonts w:ascii="Arial" w:hAnsi="Arial" w:cs="Arial"/>
                <w:i/>
                <w:sz w:val="20"/>
                <w:szCs w:val="20"/>
              </w:rPr>
            </w:pPr>
            <w:r w:rsidRPr="00FC25C7">
              <w:rPr>
                <w:rFonts w:ascii="Arial" w:hAnsi="Arial" w:cs="Arial"/>
                <w:i/>
                <w:sz w:val="20"/>
                <w:szCs w:val="20"/>
              </w:rPr>
              <w:t xml:space="preserve">In an exploratory interaction study in 7 patients with PAH on stable sildenafil treatment (20 mg three times daily) and single doses of riociguat (0.5 mg and 1 mg sequentially) showed additive haemodynamic effects. Doses above 1 mg riociguat </w:t>
            </w:r>
            <w:proofErr w:type="gramStart"/>
            <w:r w:rsidRPr="00FC25C7">
              <w:rPr>
                <w:rFonts w:ascii="Arial" w:hAnsi="Arial" w:cs="Arial"/>
                <w:i/>
                <w:sz w:val="20"/>
                <w:szCs w:val="20"/>
              </w:rPr>
              <w:t>were not investigated</w:t>
            </w:r>
            <w:proofErr w:type="gramEnd"/>
            <w:r w:rsidRPr="00FC25C7">
              <w:rPr>
                <w:rFonts w:ascii="Arial" w:hAnsi="Arial" w:cs="Arial"/>
                <w:i/>
                <w:sz w:val="20"/>
                <w:szCs w:val="20"/>
              </w:rPr>
              <w:t xml:space="preserve"> in this study.</w:t>
            </w:r>
          </w:p>
          <w:p w14:paraId="198A880D" w14:textId="77777777" w:rsidR="00064D19" w:rsidRPr="00FC25C7" w:rsidRDefault="00064D19" w:rsidP="00121658">
            <w:pPr>
              <w:spacing w:before="0" w:line="240" w:lineRule="auto"/>
              <w:rPr>
                <w:rFonts w:ascii="Arial" w:hAnsi="Arial" w:cs="Arial"/>
                <w:i/>
                <w:sz w:val="20"/>
                <w:szCs w:val="20"/>
              </w:rPr>
            </w:pPr>
            <w:r w:rsidRPr="00FC25C7">
              <w:rPr>
                <w:rFonts w:ascii="Arial" w:hAnsi="Arial" w:cs="Arial"/>
                <w:i/>
                <w:sz w:val="20"/>
                <w:szCs w:val="20"/>
              </w:rPr>
              <w:t xml:space="preserve">A 12 week combination study in 18 patients with PAH on stable sildenafil treatment (20 mg three times daily) and riociguat (1.0 mg – 2.5 mg three times daily) compared to sildenafil alone was performed. In the long </w:t>
            </w:r>
            <w:proofErr w:type="gramStart"/>
            <w:r w:rsidRPr="00FC25C7">
              <w:rPr>
                <w:rFonts w:ascii="Arial" w:hAnsi="Arial" w:cs="Arial"/>
                <w:i/>
                <w:sz w:val="20"/>
                <w:szCs w:val="20"/>
              </w:rPr>
              <w:t>term</w:t>
            </w:r>
            <w:proofErr w:type="gramEnd"/>
            <w:r w:rsidRPr="00FC25C7">
              <w:rPr>
                <w:rFonts w:ascii="Arial" w:hAnsi="Arial" w:cs="Arial"/>
                <w:i/>
                <w:sz w:val="20"/>
                <w:szCs w:val="20"/>
              </w:rPr>
              <w:t xml:space="preserve"> extension part (non-controlled) the concomitant use of sildenafil and riociguat resulted in a high rate of discontinuation, predominately due to hypotension. There was no evidence of a favourable clinical effect of the combination in the population studied.</w:t>
            </w:r>
          </w:p>
          <w:p w14:paraId="7292256C" w14:textId="77777777" w:rsidR="00064D19" w:rsidRPr="00FC25C7" w:rsidRDefault="00064D19" w:rsidP="00121658">
            <w:pPr>
              <w:spacing w:before="0" w:after="120" w:line="240" w:lineRule="auto"/>
              <w:rPr>
                <w:rFonts w:ascii="Arial" w:hAnsi="Arial" w:cs="Arial"/>
                <w:i/>
                <w:sz w:val="20"/>
                <w:szCs w:val="20"/>
              </w:rPr>
            </w:pPr>
            <w:r w:rsidRPr="00FC25C7">
              <w:rPr>
                <w:rFonts w:ascii="Arial" w:hAnsi="Arial" w:cs="Arial"/>
                <w:i/>
                <w:sz w:val="20"/>
                <w:szCs w:val="20"/>
              </w:rPr>
              <w:t xml:space="preserve">Concomitant administration of </w:t>
            </w:r>
            <w:r w:rsidR="00060C26" w:rsidRPr="007B459D">
              <w:rPr>
                <w:rFonts w:ascii="Arial" w:hAnsi="Arial" w:cs="Arial"/>
                <w:i/>
                <w:caps/>
                <w:sz w:val="20"/>
                <w:szCs w:val="20"/>
              </w:rPr>
              <w:t>Adempas</w:t>
            </w:r>
            <w:r w:rsidR="00252749" w:rsidRPr="00FC25C7">
              <w:rPr>
                <w:rFonts w:ascii="Arial" w:hAnsi="Arial" w:cs="Arial"/>
                <w:i/>
                <w:sz w:val="20"/>
                <w:szCs w:val="20"/>
                <w:vertAlign w:val="superscript"/>
              </w:rPr>
              <w:t>®</w:t>
            </w:r>
            <w:r w:rsidRPr="00FC25C7">
              <w:rPr>
                <w:rFonts w:ascii="Arial" w:hAnsi="Arial" w:cs="Arial"/>
                <w:i/>
                <w:sz w:val="20"/>
                <w:szCs w:val="20"/>
              </w:rPr>
              <w:t xml:space="preserve"> with </w:t>
            </w:r>
            <w:r w:rsidR="00AF191D" w:rsidRPr="00FC25C7">
              <w:rPr>
                <w:rFonts w:ascii="Arial" w:hAnsi="Arial" w:cs="Arial"/>
                <w:i/>
                <w:sz w:val="20"/>
                <w:szCs w:val="20"/>
              </w:rPr>
              <w:t>PDE</w:t>
            </w:r>
            <w:r w:rsidR="00AF191D" w:rsidRPr="00FC25C7">
              <w:rPr>
                <w:rFonts w:ascii="Arial" w:hAnsi="Arial" w:cs="Arial"/>
                <w:i/>
                <w:sz w:val="20"/>
                <w:szCs w:val="20"/>
              </w:rPr>
              <w:noBreakHyphen/>
              <w:t>5</w:t>
            </w:r>
            <w:r w:rsidRPr="00FC25C7">
              <w:rPr>
                <w:rFonts w:ascii="Arial" w:hAnsi="Arial" w:cs="Arial"/>
                <w:i/>
                <w:sz w:val="20"/>
                <w:szCs w:val="20"/>
              </w:rPr>
              <w:t xml:space="preserve">-inhibitors (such as sildenafil, tadalafil, </w:t>
            </w:r>
            <w:proofErr w:type="spellStart"/>
            <w:r w:rsidRPr="00FC25C7">
              <w:rPr>
                <w:rFonts w:ascii="Arial" w:hAnsi="Arial" w:cs="Arial"/>
                <w:i/>
                <w:sz w:val="20"/>
                <w:szCs w:val="20"/>
              </w:rPr>
              <w:t>vardenafil</w:t>
            </w:r>
            <w:proofErr w:type="spellEnd"/>
            <w:r w:rsidRPr="00FC25C7">
              <w:rPr>
                <w:rFonts w:ascii="Arial" w:hAnsi="Arial" w:cs="Arial"/>
                <w:i/>
                <w:sz w:val="20"/>
                <w:szCs w:val="20"/>
              </w:rPr>
              <w:t xml:space="preserve">) or non-specific PDE inhibitors (such as </w:t>
            </w:r>
            <w:proofErr w:type="spellStart"/>
            <w:r w:rsidRPr="00FC25C7">
              <w:rPr>
                <w:rFonts w:ascii="Arial" w:hAnsi="Arial" w:cs="Arial"/>
                <w:i/>
                <w:sz w:val="20"/>
                <w:szCs w:val="20"/>
              </w:rPr>
              <w:t>dypyridamole</w:t>
            </w:r>
            <w:proofErr w:type="spellEnd"/>
            <w:r w:rsidRPr="00FC25C7">
              <w:rPr>
                <w:rFonts w:ascii="Arial" w:hAnsi="Arial" w:cs="Arial"/>
                <w:i/>
                <w:sz w:val="20"/>
                <w:szCs w:val="20"/>
              </w:rPr>
              <w:t xml:space="preserve"> or theophylline) </w:t>
            </w:r>
            <w:proofErr w:type="gramStart"/>
            <w:r w:rsidRPr="00FC25C7">
              <w:rPr>
                <w:rFonts w:ascii="Arial" w:hAnsi="Arial" w:cs="Arial"/>
                <w:i/>
                <w:sz w:val="20"/>
                <w:szCs w:val="20"/>
              </w:rPr>
              <w:t>is contraindicated</w:t>
            </w:r>
            <w:proofErr w:type="gramEnd"/>
            <w:r w:rsidRPr="00FC25C7">
              <w:rPr>
                <w:rFonts w:ascii="Arial" w:hAnsi="Arial" w:cs="Arial"/>
                <w:i/>
                <w:sz w:val="20"/>
                <w:szCs w:val="20"/>
              </w:rPr>
              <w:t xml:space="preserve"> (see CONTRAINDICATIONS).</w:t>
            </w:r>
          </w:p>
        </w:tc>
      </w:tr>
      <w:tr w:rsidR="00064D19" w:rsidRPr="00FC25C7" w14:paraId="1A8BDB50" w14:textId="77777777" w:rsidTr="00806FA1">
        <w:trPr>
          <w:cantSplit/>
        </w:trPr>
        <w:tc>
          <w:tcPr>
            <w:tcW w:w="473" w:type="pct"/>
            <w:shd w:val="clear" w:color="auto" w:fill="auto"/>
          </w:tcPr>
          <w:p w14:paraId="3F4E9406" w14:textId="77777777" w:rsidR="00064D19" w:rsidRPr="00FC25C7" w:rsidRDefault="00064D19" w:rsidP="00121658">
            <w:pPr>
              <w:spacing w:before="0" w:line="240" w:lineRule="auto"/>
              <w:rPr>
                <w:rFonts w:ascii="Arial" w:hAnsi="Arial" w:cs="Arial"/>
                <w:sz w:val="20"/>
                <w:szCs w:val="20"/>
              </w:rPr>
            </w:pPr>
            <w:r w:rsidRPr="00FC25C7">
              <w:rPr>
                <w:rFonts w:ascii="Arial" w:hAnsi="Arial" w:cs="Arial"/>
                <w:sz w:val="20"/>
                <w:szCs w:val="20"/>
              </w:rPr>
              <w:lastRenderedPageBreak/>
              <w:t>Epoprostenol</w:t>
            </w:r>
          </w:p>
        </w:tc>
        <w:tc>
          <w:tcPr>
            <w:tcW w:w="392" w:type="pct"/>
          </w:tcPr>
          <w:p w14:paraId="44917987" w14:textId="77777777" w:rsidR="00064D19" w:rsidRPr="00FC25C7" w:rsidRDefault="00060C26" w:rsidP="00121658">
            <w:pPr>
              <w:spacing w:before="0" w:line="240" w:lineRule="auto"/>
              <w:rPr>
                <w:rFonts w:ascii="Arial" w:hAnsi="Arial" w:cs="Arial"/>
                <w:sz w:val="20"/>
                <w:szCs w:val="20"/>
              </w:rPr>
            </w:pPr>
            <w:proofErr w:type="spellStart"/>
            <w:r w:rsidRPr="00FC25C7">
              <w:rPr>
                <w:rFonts w:ascii="Arial" w:hAnsi="Arial" w:cs="Arial"/>
                <w:sz w:val="20"/>
                <w:szCs w:val="20"/>
              </w:rPr>
              <w:t>Flolan</w:t>
            </w:r>
            <w:proofErr w:type="spellEnd"/>
            <w:r w:rsidR="00252749" w:rsidRPr="00FC25C7">
              <w:rPr>
                <w:rFonts w:ascii="Arial" w:hAnsi="Arial" w:cs="Arial"/>
                <w:sz w:val="20"/>
                <w:szCs w:val="20"/>
                <w:vertAlign w:val="superscript"/>
              </w:rPr>
              <w:t>®</w:t>
            </w:r>
          </w:p>
        </w:tc>
        <w:tc>
          <w:tcPr>
            <w:tcW w:w="661" w:type="pct"/>
          </w:tcPr>
          <w:p w14:paraId="1BF01799" w14:textId="77777777" w:rsidR="00064D19" w:rsidRPr="00FC25C7" w:rsidRDefault="00064D19" w:rsidP="00121658">
            <w:pPr>
              <w:spacing w:before="0" w:line="240" w:lineRule="auto"/>
              <w:rPr>
                <w:rFonts w:ascii="Arial" w:hAnsi="Arial" w:cs="Arial"/>
                <w:sz w:val="20"/>
                <w:szCs w:val="20"/>
              </w:rPr>
            </w:pPr>
            <w:r w:rsidRPr="00FC25C7">
              <w:rPr>
                <w:rFonts w:ascii="Arial" w:hAnsi="Arial" w:cs="Arial"/>
                <w:sz w:val="20"/>
                <w:szCs w:val="20"/>
              </w:rPr>
              <w:t>3 February 2016</w:t>
            </w:r>
          </w:p>
        </w:tc>
        <w:tc>
          <w:tcPr>
            <w:tcW w:w="3474" w:type="pct"/>
            <w:shd w:val="clear" w:color="auto" w:fill="auto"/>
            <w:vAlign w:val="center"/>
          </w:tcPr>
          <w:p w14:paraId="64C5FD1B" w14:textId="77777777" w:rsidR="00064D19" w:rsidRPr="00FC25C7" w:rsidRDefault="00064D19" w:rsidP="00121658">
            <w:pPr>
              <w:spacing w:before="0" w:after="120" w:line="240" w:lineRule="auto"/>
              <w:rPr>
                <w:rFonts w:ascii="Arial" w:hAnsi="Arial" w:cs="Arial"/>
                <w:i/>
                <w:sz w:val="20"/>
                <w:szCs w:val="20"/>
              </w:rPr>
            </w:pPr>
            <w:r w:rsidRPr="00FC25C7">
              <w:rPr>
                <w:rFonts w:ascii="Arial" w:hAnsi="Arial" w:cs="Arial"/>
                <w:sz w:val="20"/>
                <w:szCs w:val="20"/>
              </w:rPr>
              <w:t xml:space="preserve">The PI contains no recommendations or warnings about use of epoprostenol with other </w:t>
            </w:r>
            <w:r w:rsidR="00F95235" w:rsidRPr="00FC25C7">
              <w:rPr>
                <w:rFonts w:ascii="Arial" w:hAnsi="Arial" w:cs="Arial"/>
                <w:sz w:val="20"/>
                <w:szCs w:val="20"/>
              </w:rPr>
              <w:t>PAH medicines</w:t>
            </w:r>
            <w:r w:rsidRPr="00FC25C7">
              <w:rPr>
                <w:rFonts w:ascii="Arial" w:hAnsi="Arial" w:cs="Arial"/>
                <w:sz w:val="20"/>
                <w:szCs w:val="20"/>
              </w:rPr>
              <w:t xml:space="preserve">. The only potentially relevant statement is in the PRECAUTIONS </w:t>
            </w:r>
            <w:proofErr w:type="gramStart"/>
            <w:r w:rsidRPr="00FC25C7">
              <w:rPr>
                <w:rFonts w:ascii="Arial" w:hAnsi="Arial" w:cs="Arial"/>
                <w:sz w:val="20"/>
                <w:szCs w:val="20"/>
              </w:rPr>
              <w:t xml:space="preserve">that </w:t>
            </w:r>
            <w:r w:rsidRPr="00FC25C7">
              <w:rPr>
                <w:rFonts w:ascii="Arial" w:hAnsi="Arial" w:cs="Arial"/>
                <w:i/>
                <w:sz w:val="20"/>
                <w:szCs w:val="20"/>
              </w:rPr>
              <w:t xml:space="preserve">“The vasodilator effects of </w:t>
            </w:r>
            <w:r w:rsidR="00060C26" w:rsidRPr="00FC25C7">
              <w:rPr>
                <w:rFonts w:ascii="Arial" w:hAnsi="Arial" w:cs="Arial"/>
                <w:i/>
                <w:sz w:val="20"/>
                <w:szCs w:val="20"/>
              </w:rPr>
              <w:t>FLOLAN</w:t>
            </w:r>
            <w:r w:rsidR="00252749" w:rsidRPr="00FC25C7">
              <w:rPr>
                <w:rFonts w:ascii="Arial" w:hAnsi="Arial" w:cs="Arial"/>
                <w:i/>
                <w:sz w:val="20"/>
                <w:szCs w:val="20"/>
                <w:vertAlign w:val="superscript"/>
              </w:rPr>
              <w:t>®</w:t>
            </w:r>
            <w:r w:rsidRPr="00FC25C7">
              <w:rPr>
                <w:rFonts w:ascii="Arial" w:hAnsi="Arial" w:cs="Arial"/>
                <w:i/>
                <w:sz w:val="20"/>
                <w:szCs w:val="20"/>
              </w:rPr>
              <w:t xml:space="preserve"> may augment or be augmented by concomitant use of other vasodilators.”</w:t>
            </w:r>
            <w:proofErr w:type="gramEnd"/>
          </w:p>
        </w:tc>
      </w:tr>
      <w:tr w:rsidR="00064D19" w:rsidRPr="002D2A0A" w14:paraId="103FC4F1" w14:textId="77777777" w:rsidTr="00806FA1">
        <w:trPr>
          <w:cantSplit/>
        </w:trPr>
        <w:tc>
          <w:tcPr>
            <w:tcW w:w="473" w:type="pct"/>
            <w:shd w:val="clear" w:color="auto" w:fill="auto"/>
          </w:tcPr>
          <w:p w14:paraId="02695220" w14:textId="77777777" w:rsidR="00064D19" w:rsidRPr="00FC25C7" w:rsidRDefault="00064D19" w:rsidP="00121658">
            <w:pPr>
              <w:spacing w:before="0" w:line="240" w:lineRule="auto"/>
              <w:rPr>
                <w:rFonts w:ascii="Arial" w:hAnsi="Arial" w:cs="Arial"/>
                <w:sz w:val="20"/>
                <w:szCs w:val="20"/>
              </w:rPr>
            </w:pPr>
            <w:r w:rsidRPr="00FC25C7">
              <w:rPr>
                <w:rFonts w:ascii="Arial" w:hAnsi="Arial" w:cs="Arial"/>
                <w:sz w:val="20"/>
                <w:szCs w:val="20"/>
              </w:rPr>
              <w:t>Iloprost</w:t>
            </w:r>
          </w:p>
        </w:tc>
        <w:tc>
          <w:tcPr>
            <w:tcW w:w="392" w:type="pct"/>
          </w:tcPr>
          <w:p w14:paraId="1D8042BC" w14:textId="77777777" w:rsidR="00064D19" w:rsidRPr="00FC25C7" w:rsidRDefault="00060C26" w:rsidP="00121658">
            <w:pPr>
              <w:spacing w:before="0" w:line="240" w:lineRule="auto"/>
              <w:rPr>
                <w:rFonts w:ascii="Arial" w:hAnsi="Arial" w:cs="Arial"/>
                <w:i/>
                <w:sz w:val="20"/>
                <w:szCs w:val="20"/>
              </w:rPr>
            </w:pPr>
            <w:proofErr w:type="spellStart"/>
            <w:r w:rsidRPr="00FC25C7">
              <w:rPr>
                <w:rFonts w:ascii="Arial" w:hAnsi="Arial" w:cs="Arial"/>
                <w:sz w:val="20"/>
                <w:szCs w:val="20"/>
              </w:rPr>
              <w:t>Ventavis</w:t>
            </w:r>
            <w:proofErr w:type="spellEnd"/>
            <w:r w:rsidR="00252749" w:rsidRPr="00FC25C7">
              <w:rPr>
                <w:rFonts w:ascii="Arial" w:hAnsi="Arial" w:cs="Arial"/>
                <w:sz w:val="20"/>
                <w:szCs w:val="20"/>
                <w:vertAlign w:val="superscript"/>
              </w:rPr>
              <w:t>®</w:t>
            </w:r>
          </w:p>
        </w:tc>
        <w:tc>
          <w:tcPr>
            <w:tcW w:w="661" w:type="pct"/>
          </w:tcPr>
          <w:p w14:paraId="5C8CE71C" w14:textId="77777777" w:rsidR="00064D19" w:rsidRPr="00FC25C7" w:rsidRDefault="00064D19" w:rsidP="00121658">
            <w:pPr>
              <w:spacing w:before="0" w:line="240" w:lineRule="auto"/>
              <w:rPr>
                <w:rFonts w:ascii="Arial" w:hAnsi="Arial" w:cs="Arial"/>
                <w:sz w:val="20"/>
                <w:szCs w:val="20"/>
              </w:rPr>
            </w:pPr>
            <w:r w:rsidRPr="00FC25C7">
              <w:rPr>
                <w:rFonts w:ascii="Arial" w:hAnsi="Arial" w:cs="Arial"/>
                <w:sz w:val="20"/>
                <w:szCs w:val="20"/>
              </w:rPr>
              <w:t>16 June 2017</w:t>
            </w:r>
          </w:p>
        </w:tc>
        <w:tc>
          <w:tcPr>
            <w:tcW w:w="3474" w:type="pct"/>
            <w:shd w:val="clear" w:color="auto" w:fill="auto"/>
            <w:vAlign w:val="center"/>
          </w:tcPr>
          <w:p w14:paraId="248B1296" w14:textId="77777777" w:rsidR="00064D19" w:rsidRPr="00FC25C7" w:rsidRDefault="00064D19" w:rsidP="00121658">
            <w:pPr>
              <w:spacing w:before="0" w:line="240" w:lineRule="auto"/>
              <w:rPr>
                <w:rFonts w:ascii="Arial" w:hAnsi="Arial" w:cs="Arial"/>
                <w:i/>
                <w:sz w:val="20"/>
                <w:szCs w:val="20"/>
              </w:rPr>
            </w:pPr>
            <w:r w:rsidRPr="00FC25C7">
              <w:rPr>
                <w:rFonts w:ascii="Arial" w:hAnsi="Arial" w:cs="Arial"/>
                <w:i/>
                <w:sz w:val="20"/>
                <w:szCs w:val="20"/>
              </w:rPr>
              <w:t>INTERACTIONS WITH OTHER MEDICINES</w:t>
            </w:r>
          </w:p>
          <w:p w14:paraId="0654D02C" w14:textId="77777777" w:rsidR="00064D19" w:rsidRPr="00FC25C7" w:rsidRDefault="00064D19" w:rsidP="00121658">
            <w:pPr>
              <w:spacing w:before="0" w:after="120" w:line="240" w:lineRule="auto"/>
              <w:rPr>
                <w:rFonts w:ascii="Arial" w:hAnsi="Arial" w:cs="Arial"/>
                <w:i/>
                <w:sz w:val="20"/>
                <w:szCs w:val="20"/>
              </w:rPr>
            </w:pPr>
            <w:r w:rsidRPr="00FC25C7">
              <w:rPr>
                <w:rFonts w:ascii="Arial" w:hAnsi="Arial" w:cs="Arial"/>
                <w:i/>
                <w:sz w:val="20"/>
                <w:szCs w:val="20"/>
              </w:rPr>
              <w:t xml:space="preserve">Iloprost may increase the antihypertensive effect of </w:t>
            </w:r>
            <w:proofErr w:type="spellStart"/>
            <w:r w:rsidRPr="00FC25C7">
              <w:rPr>
                <w:rFonts w:ascii="Arial" w:hAnsi="Arial" w:cs="Arial"/>
                <w:i/>
                <w:sz w:val="20"/>
                <w:szCs w:val="20"/>
              </w:rPr>
              <w:t>vasodilating</w:t>
            </w:r>
            <w:proofErr w:type="spellEnd"/>
            <w:r w:rsidRPr="00FC25C7">
              <w:rPr>
                <w:rFonts w:ascii="Arial" w:hAnsi="Arial" w:cs="Arial"/>
                <w:i/>
                <w:sz w:val="20"/>
                <w:szCs w:val="20"/>
              </w:rPr>
              <w:t xml:space="preserve"> and antihypertensive agents. Caution </w:t>
            </w:r>
            <w:proofErr w:type="gramStart"/>
            <w:r w:rsidRPr="00FC25C7">
              <w:rPr>
                <w:rFonts w:ascii="Arial" w:hAnsi="Arial" w:cs="Arial"/>
                <w:i/>
                <w:sz w:val="20"/>
                <w:szCs w:val="20"/>
              </w:rPr>
              <w:t>is recommended</w:t>
            </w:r>
            <w:proofErr w:type="gramEnd"/>
            <w:r w:rsidRPr="00FC25C7">
              <w:rPr>
                <w:rFonts w:ascii="Arial" w:hAnsi="Arial" w:cs="Arial"/>
                <w:i/>
                <w:sz w:val="20"/>
                <w:szCs w:val="20"/>
              </w:rPr>
              <w:t xml:space="preserve"> in case of co-administration of </w:t>
            </w:r>
            <w:r w:rsidR="00060C26" w:rsidRPr="007B459D">
              <w:rPr>
                <w:rFonts w:ascii="Arial" w:hAnsi="Arial" w:cs="Arial"/>
                <w:i/>
                <w:caps/>
                <w:sz w:val="20"/>
                <w:szCs w:val="20"/>
              </w:rPr>
              <w:t>Ventavis</w:t>
            </w:r>
            <w:r w:rsidR="00252749" w:rsidRPr="00FC25C7">
              <w:rPr>
                <w:rFonts w:ascii="Arial" w:hAnsi="Arial" w:cs="Arial"/>
                <w:i/>
                <w:sz w:val="20"/>
                <w:szCs w:val="20"/>
                <w:vertAlign w:val="superscript"/>
              </w:rPr>
              <w:t>®</w:t>
            </w:r>
            <w:r w:rsidRPr="00FC25C7">
              <w:rPr>
                <w:rFonts w:ascii="Arial" w:hAnsi="Arial" w:cs="Arial"/>
                <w:i/>
                <w:sz w:val="20"/>
                <w:szCs w:val="20"/>
              </w:rPr>
              <w:t xml:space="preserve"> with </w:t>
            </w:r>
            <w:proofErr w:type="spellStart"/>
            <w:r w:rsidRPr="00FC25C7">
              <w:rPr>
                <w:rFonts w:ascii="Arial" w:hAnsi="Arial" w:cs="Arial"/>
                <w:i/>
                <w:sz w:val="20"/>
                <w:szCs w:val="20"/>
              </w:rPr>
              <w:t>vasodilating</w:t>
            </w:r>
            <w:proofErr w:type="spellEnd"/>
            <w:r w:rsidRPr="00FC25C7">
              <w:rPr>
                <w:rFonts w:ascii="Arial" w:hAnsi="Arial" w:cs="Arial"/>
                <w:i/>
                <w:sz w:val="20"/>
                <w:szCs w:val="20"/>
              </w:rPr>
              <w:t xml:space="preserve"> or antihypertensive agents as dose adjustment might be required.</w:t>
            </w:r>
          </w:p>
          <w:p w14:paraId="7EC2ECFD" w14:textId="77777777" w:rsidR="00064D19" w:rsidRPr="00FC25C7" w:rsidRDefault="00064D19" w:rsidP="00121658">
            <w:pPr>
              <w:spacing w:before="0" w:line="240" w:lineRule="auto"/>
              <w:rPr>
                <w:rFonts w:ascii="Arial" w:hAnsi="Arial" w:cs="Arial"/>
                <w:i/>
                <w:sz w:val="20"/>
                <w:szCs w:val="20"/>
              </w:rPr>
            </w:pPr>
            <w:r w:rsidRPr="00FC25C7">
              <w:rPr>
                <w:rFonts w:ascii="Arial" w:hAnsi="Arial" w:cs="Arial"/>
                <w:i/>
                <w:sz w:val="20"/>
                <w:szCs w:val="20"/>
              </w:rPr>
              <w:t>DOSAGE AND ADMINISTRATION:</w:t>
            </w:r>
          </w:p>
          <w:p w14:paraId="170AB148" w14:textId="77777777" w:rsidR="00064D19" w:rsidRPr="002D2A0A" w:rsidRDefault="00064D19" w:rsidP="00121658">
            <w:pPr>
              <w:spacing w:before="0" w:after="120" w:line="240" w:lineRule="auto"/>
              <w:rPr>
                <w:rFonts w:ascii="Arial" w:hAnsi="Arial" w:cs="Arial"/>
                <w:i/>
                <w:sz w:val="20"/>
                <w:szCs w:val="20"/>
              </w:rPr>
            </w:pPr>
            <w:r w:rsidRPr="00FC25C7">
              <w:rPr>
                <w:rFonts w:ascii="Arial" w:hAnsi="Arial" w:cs="Arial"/>
                <w:i/>
                <w:sz w:val="20"/>
                <w:szCs w:val="20"/>
              </w:rPr>
              <w:t xml:space="preserve">Incompatibilities – In the absence of compatibility studies, this medicinal product </w:t>
            </w:r>
            <w:proofErr w:type="gramStart"/>
            <w:r w:rsidRPr="00FC25C7">
              <w:rPr>
                <w:rFonts w:ascii="Arial" w:hAnsi="Arial" w:cs="Arial"/>
                <w:i/>
                <w:sz w:val="20"/>
                <w:szCs w:val="20"/>
              </w:rPr>
              <w:t>must not be mixed</w:t>
            </w:r>
            <w:proofErr w:type="gramEnd"/>
            <w:r w:rsidRPr="00FC25C7">
              <w:rPr>
                <w:rFonts w:ascii="Arial" w:hAnsi="Arial" w:cs="Arial"/>
                <w:i/>
                <w:sz w:val="20"/>
                <w:szCs w:val="20"/>
              </w:rPr>
              <w:t xml:space="preserve"> with other medicinal products.</w:t>
            </w:r>
          </w:p>
        </w:tc>
      </w:tr>
    </w:tbl>
    <w:p w14:paraId="79730459" w14:textId="77777777" w:rsidR="00064D19" w:rsidRPr="002D2A0A" w:rsidRDefault="00064D19" w:rsidP="00121658">
      <w:pPr>
        <w:pStyle w:val="Tablenote"/>
        <w:spacing w:after="0"/>
        <w:contextualSpacing w:val="0"/>
        <w:rPr>
          <w:rFonts w:ascii="Arial" w:hAnsi="Arial" w:cs="Arial"/>
        </w:rPr>
      </w:pPr>
      <w:r w:rsidRPr="002D2A0A">
        <w:rPr>
          <w:rFonts w:ascii="Arial" w:hAnsi="Arial" w:cs="Arial"/>
        </w:rPr>
        <w:t>Sourc</w:t>
      </w:r>
      <w:r w:rsidR="00065081" w:rsidRPr="002D2A0A">
        <w:rPr>
          <w:rFonts w:ascii="Arial" w:hAnsi="Arial" w:cs="Arial"/>
        </w:rPr>
        <w:t>e: Relevant product information</w:t>
      </w:r>
    </w:p>
    <w:p w14:paraId="4C7AD061" w14:textId="77777777" w:rsidR="00064D19" w:rsidRPr="002D2A0A" w:rsidRDefault="00064D19" w:rsidP="00121658">
      <w:pPr>
        <w:rPr>
          <w:rFonts w:ascii="Arial" w:eastAsia="Times New Roman" w:hAnsi="Arial" w:cs="Arial"/>
          <w:b/>
          <w:bCs/>
          <w:szCs w:val="18"/>
        </w:rPr>
      </w:pPr>
      <w:r w:rsidRPr="002D2A0A">
        <w:rPr>
          <w:rFonts w:ascii="Arial" w:hAnsi="Arial" w:cs="Arial"/>
        </w:rPr>
        <w:br w:type="page"/>
      </w:r>
    </w:p>
    <w:p w14:paraId="1E98F16E" w14:textId="77777777" w:rsidR="00064D19" w:rsidRPr="002D2A0A" w:rsidRDefault="00F275ED" w:rsidP="002D2A0A">
      <w:pPr>
        <w:pStyle w:val="Caption"/>
        <w:ind w:left="0" w:firstLine="0"/>
        <w:jc w:val="left"/>
        <w:rPr>
          <w:rFonts w:cs="Arial"/>
        </w:rPr>
      </w:pPr>
      <w:bookmarkStart w:id="323" w:name="_Ref508899385"/>
      <w:bookmarkStart w:id="324" w:name="_Toc502867740"/>
      <w:bookmarkStart w:id="325" w:name="_Toc29377267"/>
      <w:r w:rsidRPr="002D2A0A">
        <w:rPr>
          <w:rFonts w:cs="Arial"/>
        </w:rPr>
        <w:lastRenderedPageBreak/>
        <w:t>Table 1.</w:t>
      </w:r>
      <w:r w:rsidR="00505D99">
        <w:rPr>
          <w:rFonts w:cs="Arial"/>
          <w:noProof/>
        </w:rPr>
        <w:t>21</w:t>
      </w:r>
      <w:bookmarkEnd w:id="323"/>
      <w:r w:rsidRPr="002D2A0A">
        <w:rPr>
          <w:rFonts w:cs="Arial"/>
        </w:rPr>
        <w:tab/>
      </w:r>
      <w:r w:rsidR="00064D19" w:rsidRPr="002D2A0A">
        <w:rPr>
          <w:rFonts w:cs="Arial"/>
        </w:rPr>
        <w:t>PAH medicines – paediatric use instructions and warnings</w:t>
      </w:r>
      <w:bookmarkEnd w:id="324"/>
      <w:bookmarkEnd w:id="3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H medicines – paediatric use instructions and warnings"/>
      </w:tblPr>
      <w:tblGrid>
        <w:gridCol w:w="2108"/>
        <w:gridCol w:w="1348"/>
        <w:gridCol w:w="1954"/>
        <w:gridCol w:w="9150"/>
      </w:tblGrid>
      <w:tr w:rsidR="00064D19" w:rsidRPr="002D2A0A" w14:paraId="048C589F" w14:textId="77777777" w:rsidTr="00806FA1">
        <w:trPr>
          <w:tblHeader/>
        </w:trPr>
        <w:tc>
          <w:tcPr>
            <w:tcW w:w="724" w:type="pct"/>
            <w:shd w:val="clear" w:color="auto" w:fill="BFBFBF" w:themeFill="background1" w:themeFillShade="BF"/>
            <w:vAlign w:val="center"/>
          </w:tcPr>
          <w:p w14:paraId="6C72DAC8" w14:textId="77777777" w:rsidR="00064D19" w:rsidRPr="002D2A0A" w:rsidRDefault="00064D19" w:rsidP="00121658">
            <w:pPr>
              <w:spacing w:before="0" w:line="240" w:lineRule="auto"/>
              <w:rPr>
                <w:rFonts w:ascii="Arial" w:hAnsi="Arial" w:cs="Arial"/>
                <w:b/>
                <w:caps/>
                <w:color w:val="000000"/>
                <w:spacing w:val="5"/>
                <w:kern w:val="28"/>
                <w:sz w:val="20"/>
                <w:szCs w:val="20"/>
                <w:lang w:val="en-US"/>
              </w:rPr>
            </w:pPr>
            <w:r w:rsidRPr="002D2A0A">
              <w:rPr>
                <w:rFonts w:ascii="Arial" w:hAnsi="Arial" w:cs="Arial"/>
                <w:b/>
                <w:sz w:val="20"/>
                <w:szCs w:val="20"/>
              </w:rPr>
              <w:t>Medicine</w:t>
            </w:r>
          </w:p>
        </w:tc>
        <w:tc>
          <w:tcPr>
            <w:tcW w:w="463" w:type="pct"/>
            <w:shd w:val="clear" w:color="auto" w:fill="BFBFBF" w:themeFill="background1" w:themeFillShade="BF"/>
            <w:vAlign w:val="center"/>
          </w:tcPr>
          <w:p w14:paraId="0D4011FC" w14:textId="77777777" w:rsidR="00064D19" w:rsidRPr="002D2A0A" w:rsidRDefault="00064D19" w:rsidP="00121658">
            <w:pPr>
              <w:spacing w:before="0" w:line="240" w:lineRule="auto"/>
              <w:rPr>
                <w:rFonts w:ascii="Arial" w:hAnsi="Arial" w:cs="Arial"/>
                <w:b/>
                <w:sz w:val="20"/>
                <w:szCs w:val="20"/>
              </w:rPr>
            </w:pPr>
            <w:r w:rsidRPr="002D2A0A">
              <w:rPr>
                <w:rFonts w:ascii="Arial" w:hAnsi="Arial" w:cs="Arial"/>
                <w:b/>
                <w:sz w:val="20"/>
                <w:szCs w:val="20"/>
              </w:rPr>
              <w:t>Brand</w:t>
            </w:r>
          </w:p>
        </w:tc>
        <w:tc>
          <w:tcPr>
            <w:tcW w:w="671" w:type="pct"/>
            <w:shd w:val="clear" w:color="auto" w:fill="BFBFBF" w:themeFill="background1" w:themeFillShade="BF"/>
            <w:vAlign w:val="center"/>
          </w:tcPr>
          <w:p w14:paraId="6DFEB69A" w14:textId="77777777" w:rsidR="00064D19" w:rsidRPr="002D2A0A" w:rsidRDefault="00064D19" w:rsidP="00121658">
            <w:pPr>
              <w:spacing w:before="0" w:line="240" w:lineRule="auto"/>
              <w:rPr>
                <w:rFonts w:ascii="Arial" w:hAnsi="Arial" w:cs="Arial"/>
                <w:b/>
                <w:sz w:val="20"/>
                <w:szCs w:val="20"/>
              </w:rPr>
            </w:pPr>
            <w:r w:rsidRPr="002D2A0A">
              <w:rPr>
                <w:rFonts w:ascii="Arial" w:hAnsi="Arial" w:cs="Arial"/>
                <w:b/>
                <w:sz w:val="20"/>
                <w:szCs w:val="20"/>
              </w:rPr>
              <w:t>PI Version Date</w:t>
            </w:r>
          </w:p>
        </w:tc>
        <w:tc>
          <w:tcPr>
            <w:tcW w:w="3142" w:type="pct"/>
            <w:shd w:val="clear" w:color="auto" w:fill="BFBFBF" w:themeFill="background1" w:themeFillShade="BF"/>
            <w:vAlign w:val="center"/>
          </w:tcPr>
          <w:p w14:paraId="5FB02BC7" w14:textId="77777777" w:rsidR="00064D19" w:rsidRPr="002D2A0A" w:rsidRDefault="00064D19" w:rsidP="00121658">
            <w:pPr>
              <w:spacing w:before="0" w:line="240" w:lineRule="auto"/>
              <w:rPr>
                <w:rFonts w:ascii="Arial" w:hAnsi="Arial" w:cs="Arial"/>
                <w:b/>
                <w:sz w:val="20"/>
                <w:szCs w:val="20"/>
              </w:rPr>
            </w:pPr>
            <w:r w:rsidRPr="002D2A0A">
              <w:rPr>
                <w:rFonts w:ascii="Arial" w:hAnsi="Arial" w:cs="Arial"/>
                <w:b/>
                <w:sz w:val="20"/>
                <w:szCs w:val="20"/>
              </w:rPr>
              <w:t>Paediatric Use Instructions</w:t>
            </w:r>
          </w:p>
        </w:tc>
      </w:tr>
      <w:tr w:rsidR="00064D19" w:rsidRPr="002D2A0A" w14:paraId="45D31A5E" w14:textId="77777777" w:rsidTr="00806FA1">
        <w:tc>
          <w:tcPr>
            <w:tcW w:w="724" w:type="pct"/>
            <w:shd w:val="clear" w:color="auto" w:fill="auto"/>
            <w:vAlign w:val="center"/>
          </w:tcPr>
          <w:p w14:paraId="173091BF"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Macitentan</w:t>
            </w:r>
          </w:p>
        </w:tc>
        <w:tc>
          <w:tcPr>
            <w:tcW w:w="463" w:type="pct"/>
            <w:vAlign w:val="center"/>
          </w:tcPr>
          <w:p w14:paraId="3D5418E4" w14:textId="77777777" w:rsidR="00064D19" w:rsidRPr="002D2A0A" w:rsidRDefault="00060C26" w:rsidP="00121658">
            <w:pPr>
              <w:spacing w:before="0" w:line="240" w:lineRule="auto"/>
              <w:rPr>
                <w:rFonts w:ascii="Arial" w:hAnsi="Arial" w:cs="Arial"/>
                <w:sz w:val="20"/>
                <w:szCs w:val="20"/>
              </w:rPr>
            </w:pPr>
            <w:proofErr w:type="spellStart"/>
            <w:r w:rsidRPr="002D2A0A">
              <w:rPr>
                <w:rFonts w:ascii="Arial" w:hAnsi="Arial" w:cs="Arial"/>
                <w:sz w:val="20"/>
                <w:szCs w:val="20"/>
              </w:rPr>
              <w:t>Opsumit</w:t>
            </w:r>
            <w:proofErr w:type="spellEnd"/>
            <w:r w:rsidR="00252749" w:rsidRPr="002D2A0A">
              <w:rPr>
                <w:rFonts w:ascii="Arial" w:hAnsi="Arial" w:cs="Arial"/>
                <w:sz w:val="20"/>
                <w:szCs w:val="20"/>
                <w:vertAlign w:val="superscript"/>
              </w:rPr>
              <w:t>®</w:t>
            </w:r>
          </w:p>
        </w:tc>
        <w:tc>
          <w:tcPr>
            <w:tcW w:w="671" w:type="pct"/>
            <w:vAlign w:val="center"/>
          </w:tcPr>
          <w:p w14:paraId="5E4BA7C3"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25 August 2016</w:t>
            </w:r>
          </w:p>
        </w:tc>
        <w:tc>
          <w:tcPr>
            <w:tcW w:w="3142" w:type="pct"/>
            <w:shd w:val="clear" w:color="auto" w:fill="auto"/>
            <w:vAlign w:val="center"/>
          </w:tcPr>
          <w:p w14:paraId="176FC1E1" w14:textId="77777777" w:rsidR="00064D19" w:rsidRPr="002D2A0A" w:rsidRDefault="00064D19" w:rsidP="00121658">
            <w:pPr>
              <w:spacing w:before="0" w:after="240" w:line="240" w:lineRule="auto"/>
              <w:rPr>
                <w:rFonts w:ascii="Arial" w:hAnsi="Arial" w:cs="Arial"/>
                <w:i/>
                <w:sz w:val="20"/>
                <w:szCs w:val="20"/>
              </w:rPr>
            </w:pPr>
            <w:r w:rsidRPr="002D2A0A">
              <w:rPr>
                <w:rFonts w:ascii="Arial" w:hAnsi="Arial" w:cs="Arial"/>
                <w:i/>
                <w:sz w:val="20"/>
                <w:szCs w:val="20"/>
              </w:rPr>
              <w:t xml:space="preserve">PRECAUTIONS: Paediatric population – The safety and efficacy of </w:t>
            </w:r>
            <w:r w:rsidR="00060C26" w:rsidRPr="002D2A0A">
              <w:rPr>
                <w:rFonts w:ascii="Arial" w:hAnsi="Arial" w:cs="Arial"/>
                <w:i/>
                <w:sz w:val="20"/>
                <w:szCs w:val="20"/>
              </w:rPr>
              <w:t>OPSUMIT</w:t>
            </w:r>
            <w:r w:rsidR="00252749" w:rsidRPr="002D2A0A">
              <w:rPr>
                <w:rFonts w:ascii="Arial" w:hAnsi="Arial" w:cs="Arial"/>
                <w:i/>
                <w:sz w:val="20"/>
                <w:szCs w:val="20"/>
                <w:vertAlign w:val="superscript"/>
              </w:rPr>
              <w:t>®</w:t>
            </w:r>
            <w:r w:rsidRPr="002D2A0A">
              <w:rPr>
                <w:rFonts w:ascii="Arial" w:hAnsi="Arial" w:cs="Arial"/>
                <w:i/>
                <w:sz w:val="20"/>
                <w:szCs w:val="20"/>
              </w:rPr>
              <w:t xml:space="preserve"> in children below the age of 12 years </w:t>
            </w:r>
            <w:proofErr w:type="gramStart"/>
            <w:r w:rsidRPr="002D2A0A">
              <w:rPr>
                <w:rFonts w:ascii="Arial" w:hAnsi="Arial" w:cs="Arial"/>
                <w:i/>
                <w:sz w:val="20"/>
                <w:szCs w:val="20"/>
              </w:rPr>
              <w:t>have not yet been established</w:t>
            </w:r>
            <w:proofErr w:type="gramEnd"/>
            <w:r w:rsidRPr="002D2A0A">
              <w:rPr>
                <w:rFonts w:ascii="Arial" w:hAnsi="Arial" w:cs="Arial"/>
                <w:i/>
                <w:sz w:val="20"/>
                <w:szCs w:val="20"/>
              </w:rPr>
              <w:t>. There is no data available on the effects of macitentan on growth and development in paediatric patients. There is limited clinical experience in paediatric patien</w:t>
            </w:r>
            <w:r w:rsidR="00007DB7" w:rsidRPr="002D2A0A">
              <w:rPr>
                <w:rFonts w:ascii="Arial" w:hAnsi="Arial" w:cs="Arial"/>
                <w:i/>
                <w:sz w:val="20"/>
                <w:szCs w:val="20"/>
              </w:rPr>
              <w:t>ts aged 12 and above.</w:t>
            </w:r>
          </w:p>
          <w:p w14:paraId="356D86A4"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 xml:space="preserve">DOSAGE AND ADMINISTRATION: Dosage adjustment in paediatric population – There is limited clinical experience in paediatric patients aged 12 and above therefore caution is advised; the recommended dose is 10 mg once daily in patients aged 12 and above and with body weight &gt; 40kg. The safety and efficacy of </w:t>
            </w:r>
            <w:r w:rsidR="00060C26" w:rsidRPr="002D2A0A">
              <w:rPr>
                <w:rFonts w:ascii="Arial" w:hAnsi="Arial" w:cs="Arial"/>
                <w:i/>
                <w:sz w:val="20"/>
                <w:szCs w:val="20"/>
              </w:rPr>
              <w:t>OPSUMIT</w:t>
            </w:r>
            <w:r w:rsidR="00252749" w:rsidRPr="002D2A0A">
              <w:rPr>
                <w:rFonts w:ascii="Arial" w:hAnsi="Arial" w:cs="Arial"/>
                <w:i/>
                <w:sz w:val="20"/>
                <w:szCs w:val="20"/>
                <w:vertAlign w:val="superscript"/>
              </w:rPr>
              <w:t>®</w:t>
            </w:r>
            <w:r w:rsidRPr="002D2A0A">
              <w:rPr>
                <w:rFonts w:ascii="Arial" w:hAnsi="Arial" w:cs="Arial"/>
                <w:i/>
                <w:sz w:val="20"/>
                <w:szCs w:val="20"/>
              </w:rPr>
              <w:t xml:space="preserve"> in children below the age of 12 years</w:t>
            </w:r>
            <w:r w:rsidR="00007DB7" w:rsidRPr="002D2A0A">
              <w:rPr>
                <w:rFonts w:ascii="Arial" w:hAnsi="Arial" w:cs="Arial"/>
                <w:i/>
                <w:sz w:val="20"/>
                <w:szCs w:val="20"/>
              </w:rPr>
              <w:t xml:space="preserve"> </w:t>
            </w:r>
            <w:proofErr w:type="gramStart"/>
            <w:r w:rsidR="00007DB7" w:rsidRPr="002D2A0A">
              <w:rPr>
                <w:rFonts w:ascii="Arial" w:hAnsi="Arial" w:cs="Arial"/>
                <w:i/>
                <w:sz w:val="20"/>
                <w:szCs w:val="20"/>
              </w:rPr>
              <w:t>have not yet been established</w:t>
            </w:r>
            <w:proofErr w:type="gramEnd"/>
            <w:r w:rsidR="00007DB7" w:rsidRPr="002D2A0A">
              <w:rPr>
                <w:rFonts w:ascii="Arial" w:hAnsi="Arial" w:cs="Arial"/>
                <w:i/>
                <w:sz w:val="20"/>
                <w:szCs w:val="20"/>
              </w:rPr>
              <w:t>.</w:t>
            </w:r>
          </w:p>
        </w:tc>
      </w:tr>
      <w:tr w:rsidR="00064D19" w:rsidRPr="002D2A0A" w14:paraId="44C1FA84" w14:textId="77777777" w:rsidTr="00806FA1">
        <w:tc>
          <w:tcPr>
            <w:tcW w:w="724" w:type="pct"/>
            <w:vAlign w:val="center"/>
          </w:tcPr>
          <w:p w14:paraId="4EA76B5A"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Bosentan</w:t>
            </w:r>
          </w:p>
        </w:tc>
        <w:tc>
          <w:tcPr>
            <w:tcW w:w="463" w:type="pct"/>
            <w:vAlign w:val="center"/>
          </w:tcPr>
          <w:p w14:paraId="07CE486C" w14:textId="77777777" w:rsidR="00064D19" w:rsidRPr="002D2A0A" w:rsidRDefault="00060C26" w:rsidP="00121658">
            <w:pPr>
              <w:spacing w:before="0" w:line="240" w:lineRule="auto"/>
              <w:rPr>
                <w:rFonts w:ascii="Arial" w:hAnsi="Arial" w:cs="Arial"/>
                <w:sz w:val="20"/>
                <w:szCs w:val="20"/>
              </w:rPr>
            </w:pPr>
            <w:proofErr w:type="spellStart"/>
            <w:r w:rsidRPr="002D2A0A">
              <w:rPr>
                <w:rFonts w:ascii="Arial" w:hAnsi="Arial" w:cs="Arial"/>
                <w:sz w:val="20"/>
                <w:szCs w:val="20"/>
              </w:rPr>
              <w:t>Tracleer</w:t>
            </w:r>
            <w:proofErr w:type="spellEnd"/>
            <w:r w:rsidR="00252749" w:rsidRPr="002D2A0A">
              <w:rPr>
                <w:rFonts w:ascii="Arial" w:hAnsi="Arial" w:cs="Arial"/>
                <w:sz w:val="20"/>
                <w:szCs w:val="20"/>
                <w:vertAlign w:val="superscript"/>
              </w:rPr>
              <w:t>®</w:t>
            </w:r>
            <w:r w:rsidR="00064D19" w:rsidRPr="002D2A0A">
              <w:rPr>
                <w:rFonts w:ascii="Arial" w:hAnsi="Arial" w:cs="Arial"/>
                <w:sz w:val="20"/>
                <w:szCs w:val="20"/>
              </w:rPr>
              <w:t xml:space="preserve"> </w:t>
            </w:r>
          </w:p>
        </w:tc>
        <w:tc>
          <w:tcPr>
            <w:tcW w:w="671" w:type="pct"/>
            <w:vAlign w:val="center"/>
          </w:tcPr>
          <w:p w14:paraId="0FBCF9DB"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15 February 2016</w:t>
            </w:r>
          </w:p>
        </w:tc>
        <w:tc>
          <w:tcPr>
            <w:tcW w:w="3142" w:type="pct"/>
            <w:vAlign w:val="center"/>
          </w:tcPr>
          <w:p w14:paraId="5FC9F6E3" w14:textId="75853C91" w:rsidR="00064D19" w:rsidRPr="002D2A0A" w:rsidRDefault="00064D19" w:rsidP="00121658">
            <w:pPr>
              <w:spacing w:before="0" w:after="240" w:line="240" w:lineRule="auto"/>
              <w:rPr>
                <w:rFonts w:ascii="Arial" w:hAnsi="Arial" w:cs="Arial"/>
                <w:i/>
                <w:sz w:val="20"/>
                <w:szCs w:val="20"/>
              </w:rPr>
            </w:pPr>
            <w:r w:rsidRPr="002D2A0A">
              <w:rPr>
                <w:rFonts w:ascii="Arial" w:hAnsi="Arial" w:cs="Arial"/>
                <w:i/>
                <w:sz w:val="20"/>
                <w:szCs w:val="20"/>
              </w:rPr>
              <w:t xml:space="preserve">PRECAUTIONS: Paediatric Use – Various doses of </w:t>
            </w:r>
            <w:r w:rsidR="00060C26" w:rsidRPr="002D2A0A">
              <w:rPr>
                <w:rFonts w:ascii="Arial" w:hAnsi="Arial" w:cs="Arial"/>
                <w:i/>
                <w:sz w:val="20"/>
                <w:szCs w:val="20"/>
              </w:rPr>
              <w:t>TRACLEER</w:t>
            </w:r>
            <w:r w:rsidR="00252749" w:rsidRPr="002D2A0A">
              <w:rPr>
                <w:rFonts w:ascii="Arial" w:hAnsi="Arial" w:cs="Arial"/>
                <w:i/>
                <w:sz w:val="20"/>
                <w:szCs w:val="20"/>
                <w:vertAlign w:val="superscript"/>
              </w:rPr>
              <w:t>®</w:t>
            </w:r>
            <w:r w:rsidRPr="002D2A0A">
              <w:rPr>
                <w:rFonts w:ascii="Arial" w:hAnsi="Arial" w:cs="Arial"/>
                <w:i/>
                <w:sz w:val="20"/>
                <w:szCs w:val="20"/>
              </w:rPr>
              <w:t xml:space="preserve"> </w:t>
            </w:r>
            <w:proofErr w:type="gramStart"/>
            <w:r w:rsidRPr="002D2A0A">
              <w:rPr>
                <w:rFonts w:ascii="Arial" w:hAnsi="Arial" w:cs="Arial"/>
                <w:i/>
                <w:sz w:val="20"/>
                <w:szCs w:val="20"/>
              </w:rPr>
              <w:t>have been assessed in a clinical study in paediatric patients with PPH or PAH related to congenital systemic to pulmonary communications, either as monotherapy or combined with epoprostenol (see CLINICAL TRIALS)</w:t>
            </w:r>
            <w:proofErr w:type="gramEnd"/>
            <w:r w:rsidRPr="002D2A0A">
              <w:rPr>
                <w:rFonts w:ascii="Arial" w:hAnsi="Arial" w:cs="Arial"/>
                <w:i/>
                <w:sz w:val="20"/>
                <w:szCs w:val="20"/>
              </w:rPr>
              <w:t>. The results indicate that the doses used were effective and appropriate in terms of safety and pharmacokinetics (see DOSAGE AND ADMINISTRATION – Dosage Adjustment in Children).</w:t>
            </w:r>
          </w:p>
          <w:p w14:paraId="6211425F" w14:textId="7748F27D"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 xml:space="preserve">DOSAGE AND ADMINISTRATION: Dosage Adjustment in Children – There is limited experience with the use of </w:t>
            </w:r>
            <w:r w:rsidR="00060C26" w:rsidRPr="002D2A0A">
              <w:rPr>
                <w:rFonts w:ascii="Arial" w:hAnsi="Arial" w:cs="Arial"/>
                <w:i/>
                <w:sz w:val="20"/>
                <w:szCs w:val="20"/>
              </w:rPr>
              <w:t>TRACLEER</w:t>
            </w:r>
            <w:r w:rsidR="007B459D">
              <w:rPr>
                <w:rFonts w:ascii="Arial" w:hAnsi="Arial" w:cs="Arial"/>
                <w:i/>
                <w:sz w:val="20"/>
                <w:szCs w:val="20"/>
                <w:vertAlign w:val="superscript"/>
              </w:rPr>
              <w:t>®</w:t>
            </w:r>
            <w:r w:rsidRPr="002D2A0A">
              <w:rPr>
                <w:rFonts w:ascii="Arial" w:hAnsi="Arial" w:cs="Arial"/>
                <w:i/>
                <w:sz w:val="20"/>
                <w:szCs w:val="20"/>
              </w:rPr>
              <w:t xml:space="preserve"> in children based on a pharmacokinetic study conducted in 19 children with PAH (see PHARMACOKINETICS and CLINICAL TRIALS). The pharmacokinetic findings showed that systemic exposure in children with PAH was lower than in adults with PAH. Although the number of patients studied in each dose group was generally insufficient to establish the optimal dosing regimen, the following doses are recommended in children aged 3 years and over: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commended dose of bosentan for children aged 3 years and over"/>
            </w:tblPr>
            <w:tblGrid>
              <w:gridCol w:w="2942"/>
              <w:gridCol w:w="2960"/>
              <w:gridCol w:w="3032"/>
            </w:tblGrid>
            <w:tr w:rsidR="00064D19" w:rsidRPr="002D2A0A" w14:paraId="394E1158" w14:textId="77777777" w:rsidTr="00064D19">
              <w:trPr>
                <w:cnfStyle w:val="100000000000" w:firstRow="1" w:lastRow="0" w:firstColumn="0" w:lastColumn="0" w:oddVBand="0" w:evenVBand="0" w:oddHBand="0" w:evenHBand="0" w:firstRowFirstColumn="0" w:firstRowLastColumn="0" w:lastRowFirstColumn="0" w:lastRowLastColumn="0"/>
              </w:trPr>
              <w:tc>
                <w:tcPr>
                  <w:tcW w:w="3383" w:type="dxa"/>
                </w:tcPr>
                <w:p w14:paraId="4B2C2388" w14:textId="77777777" w:rsidR="00064D19" w:rsidRPr="002D2A0A" w:rsidRDefault="00064D19" w:rsidP="00121658">
                  <w:pPr>
                    <w:spacing w:before="0" w:line="240" w:lineRule="auto"/>
                    <w:rPr>
                      <w:rFonts w:ascii="Arial" w:hAnsi="Arial" w:cs="Arial"/>
                      <w:i/>
                      <w:sz w:val="20"/>
                      <w:szCs w:val="20"/>
                    </w:rPr>
                  </w:pPr>
                </w:p>
              </w:tc>
              <w:tc>
                <w:tcPr>
                  <w:tcW w:w="3383" w:type="dxa"/>
                </w:tcPr>
                <w:p w14:paraId="775BFD42"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Starting dose (First 4 weeks)</w:t>
                  </w:r>
                </w:p>
              </w:tc>
              <w:tc>
                <w:tcPr>
                  <w:tcW w:w="3384" w:type="dxa"/>
                </w:tcPr>
                <w:p w14:paraId="1F0FB98D"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Maintenance dose (Week 5 onwards)</w:t>
                  </w:r>
                </w:p>
              </w:tc>
            </w:tr>
            <w:tr w:rsidR="00064D19" w:rsidRPr="002D2A0A" w14:paraId="4AE7257A" w14:textId="77777777" w:rsidTr="00C978EB">
              <w:tc>
                <w:tcPr>
                  <w:tcW w:w="3383" w:type="dxa"/>
                </w:tcPr>
                <w:p w14:paraId="02FC1C83"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 xml:space="preserve">Body weight 10 to 20 kg </w:t>
                  </w:r>
                </w:p>
              </w:tc>
              <w:tc>
                <w:tcPr>
                  <w:tcW w:w="3383" w:type="dxa"/>
                </w:tcPr>
                <w:p w14:paraId="1CDE8244"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 xml:space="preserve">31.25 mg ONCE daily </w:t>
                  </w:r>
                </w:p>
              </w:tc>
              <w:tc>
                <w:tcPr>
                  <w:tcW w:w="3384" w:type="dxa"/>
                </w:tcPr>
                <w:p w14:paraId="1F3838C8"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31.25 mg twice daily</w:t>
                  </w:r>
                </w:p>
              </w:tc>
            </w:tr>
            <w:tr w:rsidR="00064D19" w:rsidRPr="002D2A0A" w14:paraId="046EBBAA" w14:textId="77777777" w:rsidTr="00C978EB">
              <w:tc>
                <w:tcPr>
                  <w:tcW w:w="3383" w:type="dxa"/>
                </w:tcPr>
                <w:p w14:paraId="2095847A"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 xml:space="preserve">Body weight &gt;20 to 40 kg </w:t>
                  </w:r>
                </w:p>
              </w:tc>
              <w:tc>
                <w:tcPr>
                  <w:tcW w:w="3383" w:type="dxa"/>
                </w:tcPr>
                <w:p w14:paraId="2307F6EB"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 xml:space="preserve">31.25 mg twice daily </w:t>
                  </w:r>
                </w:p>
              </w:tc>
              <w:tc>
                <w:tcPr>
                  <w:tcW w:w="3384" w:type="dxa"/>
                </w:tcPr>
                <w:p w14:paraId="03984A80"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62.5 mg twice daily</w:t>
                  </w:r>
                </w:p>
              </w:tc>
            </w:tr>
            <w:tr w:rsidR="00064D19" w:rsidRPr="002D2A0A" w14:paraId="5C1E81D7" w14:textId="77777777" w:rsidTr="00C978EB">
              <w:tc>
                <w:tcPr>
                  <w:tcW w:w="3383" w:type="dxa"/>
                </w:tcPr>
                <w:p w14:paraId="27220DD9"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 xml:space="preserve">Body weight &gt;40 kg </w:t>
                  </w:r>
                </w:p>
              </w:tc>
              <w:tc>
                <w:tcPr>
                  <w:tcW w:w="3383" w:type="dxa"/>
                </w:tcPr>
                <w:p w14:paraId="607A144C"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62.5 mg twice daily</w:t>
                  </w:r>
                </w:p>
              </w:tc>
              <w:tc>
                <w:tcPr>
                  <w:tcW w:w="3384" w:type="dxa"/>
                </w:tcPr>
                <w:p w14:paraId="466998FA" w14:textId="77777777" w:rsidR="00064D19" w:rsidRPr="002D2A0A" w:rsidRDefault="000A5A60" w:rsidP="00121658">
                  <w:pPr>
                    <w:spacing w:before="0" w:line="240" w:lineRule="auto"/>
                    <w:rPr>
                      <w:rFonts w:ascii="Arial" w:hAnsi="Arial" w:cs="Arial"/>
                      <w:i/>
                      <w:sz w:val="20"/>
                      <w:szCs w:val="20"/>
                    </w:rPr>
                  </w:pPr>
                  <w:r w:rsidRPr="002D2A0A">
                    <w:rPr>
                      <w:rFonts w:ascii="Arial" w:hAnsi="Arial" w:cs="Arial"/>
                      <w:i/>
                      <w:sz w:val="20"/>
                      <w:szCs w:val="20"/>
                    </w:rPr>
                    <w:t>125 mg twice daily</w:t>
                  </w:r>
                </w:p>
              </w:tc>
            </w:tr>
          </w:tbl>
          <w:p w14:paraId="1967F8D6" w14:textId="77777777" w:rsidR="00064D19" w:rsidRPr="002D2A0A" w:rsidRDefault="00064D19" w:rsidP="00121658">
            <w:pPr>
              <w:spacing w:before="0" w:line="240" w:lineRule="auto"/>
              <w:rPr>
                <w:rFonts w:ascii="Arial" w:hAnsi="Arial" w:cs="Arial"/>
                <w:i/>
                <w:sz w:val="20"/>
                <w:szCs w:val="20"/>
              </w:rPr>
            </w:pPr>
          </w:p>
        </w:tc>
      </w:tr>
      <w:tr w:rsidR="00064D19" w:rsidRPr="002D2A0A" w14:paraId="71489F1B" w14:textId="77777777" w:rsidTr="00806FA1">
        <w:tc>
          <w:tcPr>
            <w:tcW w:w="724" w:type="pct"/>
            <w:vAlign w:val="center"/>
          </w:tcPr>
          <w:p w14:paraId="60B46C73"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Ambrisentan</w:t>
            </w:r>
          </w:p>
        </w:tc>
        <w:tc>
          <w:tcPr>
            <w:tcW w:w="463" w:type="pct"/>
            <w:vAlign w:val="center"/>
          </w:tcPr>
          <w:p w14:paraId="04B15119" w14:textId="77777777" w:rsidR="00064D19" w:rsidRPr="002D2A0A" w:rsidRDefault="00777ACB" w:rsidP="00121658">
            <w:pPr>
              <w:spacing w:before="0" w:line="240" w:lineRule="auto"/>
              <w:rPr>
                <w:rFonts w:ascii="Arial" w:hAnsi="Arial" w:cs="Arial"/>
                <w:sz w:val="20"/>
                <w:szCs w:val="20"/>
              </w:rPr>
            </w:pPr>
            <w:proofErr w:type="spellStart"/>
            <w:r w:rsidRPr="002D2A0A">
              <w:rPr>
                <w:rFonts w:ascii="Arial" w:hAnsi="Arial" w:cs="Arial"/>
                <w:sz w:val="20"/>
                <w:szCs w:val="20"/>
              </w:rPr>
              <w:t>Volibris</w:t>
            </w:r>
            <w:proofErr w:type="spellEnd"/>
            <w:r w:rsidR="00252749" w:rsidRPr="002D2A0A">
              <w:rPr>
                <w:rFonts w:ascii="Arial" w:hAnsi="Arial" w:cs="Arial"/>
                <w:sz w:val="20"/>
                <w:szCs w:val="20"/>
              </w:rPr>
              <w:t>®</w:t>
            </w:r>
          </w:p>
        </w:tc>
        <w:tc>
          <w:tcPr>
            <w:tcW w:w="671" w:type="pct"/>
            <w:vAlign w:val="center"/>
          </w:tcPr>
          <w:p w14:paraId="2180CCFA"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16 February 2016</w:t>
            </w:r>
          </w:p>
        </w:tc>
        <w:tc>
          <w:tcPr>
            <w:tcW w:w="3142" w:type="pct"/>
            <w:vAlign w:val="center"/>
          </w:tcPr>
          <w:p w14:paraId="654462B1" w14:textId="77777777" w:rsidR="00064D19" w:rsidRPr="002D2A0A" w:rsidRDefault="00064D19" w:rsidP="00121658">
            <w:pPr>
              <w:spacing w:before="0" w:after="240" w:line="240" w:lineRule="auto"/>
              <w:rPr>
                <w:rFonts w:ascii="Arial" w:hAnsi="Arial" w:cs="Arial"/>
                <w:i/>
                <w:sz w:val="20"/>
                <w:szCs w:val="20"/>
              </w:rPr>
            </w:pPr>
            <w:r w:rsidRPr="002D2A0A">
              <w:rPr>
                <w:rFonts w:ascii="Arial" w:hAnsi="Arial" w:cs="Arial"/>
                <w:i/>
                <w:sz w:val="20"/>
                <w:szCs w:val="20"/>
              </w:rPr>
              <w:t xml:space="preserve">PRECAUTIONS: Children – Ambrisentan </w:t>
            </w:r>
            <w:proofErr w:type="gramStart"/>
            <w:r w:rsidRPr="002D2A0A">
              <w:rPr>
                <w:rFonts w:ascii="Arial" w:hAnsi="Arial" w:cs="Arial"/>
                <w:i/>
                <w:sz w:val="20"/>
                <w:szCs w:val="20"/>
              </w:rPr>
              <w:t>has not been studied</w:t>
            </w:r>
            <w:proofErr w:type="gramEnd"/>
            <w:r w:rsidRPr="002D2A0A">
              <w:rPr>
                <w:rFonts w:ascii="Arial" w:hAnsi="Arial" w:cs="Arial"/>
                <w:i/>
                <w:sz w:val="20"/>
                <w:szCs w:val="20"/>
              </w:rPr>
              <w:t xml:space="preserve"> in children. Refer to Dosage and Administration.</w:t>
            </w:r>
          </w:p>
          <w:p w14:paraId="0B8B1245"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 xml:space="preserve">DOSAGE AND ADMINISTRATION: Children – The safety and efficacy of </w:t>
            </w:r>
            <w:r w:rsidR="00777ACB" w:rsidRPr="002D2A0A">
              <w:rPr>
                <w:rFonts w:ascii="Arial" w:hAnsi="Arial" w:cs="Arial"/>
                <w:i/>
                <w:sz w:val="20"/>
                <w:szCs w:val="20"/>
              </w:rPr>
              <w:t>VOLIBRIS</w:t>
            </w:r>
            <w:r w:rsidR="00252749" w:rsidRPr="002D2A0A">
              <w:rPr>
                <w:rFonts w:ascii="Arial" w:hAnsi="Arial" w:cs="Arial"/>
                <w:i/>
                <w:sz w:val="20"/>
                <w:szCs w:val="20"/>
              </w:rPr>
              <w:t>®</w:t>
            </w:r>
            <w:r w:rsidRPr="002D2A0A">
              <w:rPr>
                <w:rFonts w:ascii="Arial" w:hAnsi="Arial" w:cs="Arial"/>
                <w:i/>
                <w:sz w:val="20"/>
                <w:szCs w:val="20"/>
              </w:rPr>
              <w:t xml:space="preserve"> </w:t>
            </w:r>
            <w:proofErr w:type="gramStart"/>
            <w:r w:rsidRPr="002D2A0A">
              <w:rPr>
                <w:rFonts w:ascii="Arial" w:hAnsi="Arial" w:cs="Arial"/>
                <w:i/>
                <w:sz w:val="20"/>
                <w:szCs w:val="20"/>
              </w:rPr>
              <w:t>have not been established</w:t>
            </w:r>
            <w:proofErr w:type="gramEnd"/>
            <w:r w:rsidRPr="002D2A0A">
              <w:rPr>
                <w:rFonts w:ascii="Arial" w:hAnsi="Arial" w:cs="Arial"/>
                <w:i/>
                <w:sz w:val="20"/>
                <w:szCs w:val="20"/>
              </w:rPr>
              <w:t xml:space="preserve"> in patients less than 18 years of age, and therefore its use in this age group is not re</w:t>
            </w:r>
            <w:r w:rsidR="000A5A60" w:rsidRPr="002D2A0A">
              <w:rPr>
                <w:rFonts w:ascii="Arial" w:hAnsi="Arial" w:cs="Arial"/>
                <w:i/>
                <w:sz w:val="20"/>
                <w:szCs w:val="20"/>
              </w:rPr>
              <w:t>commended.</w:t>
            </w:r>
          </w:p>
        </w:tc>
      </w:tr>
      <w:tr w:rsidR="00064D19" w:rsidRPr="002D2A0A" w14:paraId="75E026F7" w14:textId="77777777" w:rsidTr="00806FA1">
        <w:tc>
          <w:tcPr>
            <w:tcW w:w="724" w:type="pct"/>
            <w:vAlign w:val="center"/>
          </w:tcPr>
          <w:p w14:paraId="0A0CB7F0"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Sildenafil</w:t>
            </w:r>
          </w:p>
        </w:tc>
        <w:tc>
          <w:tcPr>
            <w:tcW w:w="463" w:type="pct"/>
            <w:vAlign w:val="center"/>
          </w:tcPr>
          <w:p w14:paraId="24F91FAC" w14:textId="77777777" w:rsidR="00064D19" w:rsidRPr="002D2A0A" w:rsidRDefault="00060C26" w:rsidP="00121658">
            <w:pPr>
              <w:spacing w:before="0" w:line="240" w:lineRule="auto"/>
              <w:rPr>
                <w:rFonts w:ascii="Arial" w:hAnsi="Arial" w:cs="Arial"/>
                <w:sz w:val="20"/>
                <w:szCs w:val="20"/>
              </w:rPr>
            </w:pPr>
            <w:proofErr w:type="spellStart"/>
            <w:r w:rsidRPr="002D2A0A">
              <w:rPr>
                <w:rFonts w:ascii="Arial" w:hAnsi="Arial" w:cs="Arial"/>
                <w:sz w:val="20"/>
                <w:szCs w:val="20"/>
              </w:rPr>
              <w:t>Revatio</w:t>
            </w:r>
            <w:proofErr w:type="spellEnd"/>
            <w:r w:rsidR="00252749" w:rsidRPr="002D2A0A">
              <w:rPr>
                <w:rFonts w:ascii="Arial" w:hAnsi="Arial" w:cs="Arial"/>
                <w:sz w:val="20"/>
                <w:szCs w:val="20"/>
                <w:vertAlign w:val="superscript"/>
              </w:rPr>
              <w:t>®</w:t>
            </w:r>
          </w:p>
        </w:tc>
        <w:tc>
          <w:tcPr>
            <w:tcW w:w="671" w:type="pct"/>
            <w:vAlign w:val="center"/>
          </w:tcPr>
          <w:p w14:paraId="0440C6C8"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21 December 2015</w:t>
            </w:r>
          </w:p>
        </w:tc>
        <w:tc>
          <w:tcPr>
            <w:tcW w:w="3142" w:type="pct"/>
            <w:vAlign w:val="center"/>
          </w:tcPr>
          <w:p w14:paraId="44168A19" w14:textId="77777777" w:rsidR="00064D19" w:rsidRPr="002D2A0A" w:rsidRDefault="00064D19" w:rsidP="00121658">
            <w:pPr>
              <w:spacing w:before="0" w:after="240" w:line="240" w:lineRule="auto"/>
              <w:rPr>
                <w:rFonts w:ascii="Arial" w:hAnsi="Arial" w:cs="Arial"/>
                <w:i/>
                <w:sz w:val="20"/>
                <w:szCs w:val="20"/>
              </w:rPr>
            </w:pPr>
            <w:r w:rsidRPr="002D2A0A">
              <w:rPr>
                <w:rFonts w:ascii="Arial" w:hAnsi="Arial" w:cs="Arial"/>
                <w:i/>
                <w:sz w:val="20"/>
                <w:szCs w:val="20"/>
              </w:rPr>
              <w:t xml:space="preserve">PRECAUTIONS: Paediatric Use – </w:t>
            </w:r>
            <w:r w:rsidR="00060C26" w:rsidRPr="002D2A0A">
              <w:rPr>
                <w:rFonts w:ascii="Arial" w:hAnsi="Arial" w:cs="Arial"/>
                <w:i/>
                <w:sz w:val="20"/>
                <w:szCs w:val="20"/>
              </w:rPr>
              <w:t>REVATIO</w:t>
            </w:r>
            <w:r w:rsidR="00252749" w:rsidRPr="002D2A0A">
              <w:rPr>
                <w:rFonts w:ascii="Arial" w:hAnsi="Arial" w:cs="Arial"/>
                <w:i/>
                <w:sz w:val="20"/>
                <w:szCs w:val="20"/>
                <w:vertAlign w:val="superscript"/>
              </w:rPr>
              <w:t>®</w:t>
            </w:r>
            <w:r w:rsidRPr="002D2A0A">
              <w:rPr>
                <w:rFonts w:ascii="Arial" w:hAnsi="Arial" w:cs="Arial"/>
                <w:i/>
                <w:sz w:val="20"/>
                <w:szCs w:val="20"/>
              </w:rPr>
              <w:t xml:space="preserve"> </w:t>
            </w:r>
            <w:proofErr w:type="gramStart"/>
            <w:r w:rsidRPr="002D2A0A">
              <w:rPr>
                <w:rFonts w:ascii="Arial" w:hAnsi="Arial" w:cs="Arial"/>
                <w:i/>
                <w:sz w:val="20"/>
                <w:szCs w:val="20"/>
              </w:rPr>
              <w:t>is not indicated</w:t>
            </w:r>
            <w:proofErr w:type="gramEnd"/>
            <w:r w:rsidRPr="002D2A0A">
              <w:rPr>
                <w:rFonts w:ascii="Arial" w:hAnsi="Arial" w:cs="Arial"/>
                <w:i/>
                <w:sz w:val="20"/>
                <w:szCs w:val="20"/>
              </w:rPr>
              <w:t xml:space="preserve"> for use in children under 18 years of age.</w:t>
            </w:r>
          </w:p>
          <w:p w14:paraId="2FBCB7B3"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lastRenderedPageBreak/>
              <w:t xml:space="preserve">DOSAGE AND ADMINISTRATION: Use in Children (&lt;18 Years) – </w:t>
            </w:r>
            <w:r w:rsidR="00060C26" w:rsidRPr="002D2A0A">
              <w:rPr>
                <w:rFonts w:ascii="Arial" w:hAnsi="Arial" w:cs="Arial"/>
                <w:i/>
                <w:sz w:val="20"/>
                <w:szCs w:val="20"/>
              </w:rPr>
              <w:t>REVATIO</w:t>
            </w:r>
            <w:r w:rsidR="00252749" w:rsidRPr="002D2A0A">
              <w:rPr>
                <w:rFonts w:ascii="Arial" w:hAnsi="Arial" w:cs="Arial"/>
                <w:i/>
                <w:sz w:val="20"/>
                <w:szCs w:val="20"/>
                <w:vertAlign w:val="superscript"/>
              </w:rPr>
              <w:t>®</w:t>
            </w:r>
            <w:r w:rsidRPr="002D2A0A">
              <w:rPr>
                <w:rFonts w:ascii="Arial" w:hAnsi="Arial" w:cs="Arial"/>
                <w:i/>
                <w:sz w:val="20"/>
                <w:szCs w:val="20"/>
              </w:rPr>
              <w:t xml:space="preserve"> is not indicated for use in children &lt;18</w:t>
            </w:r>
            <w:r w:rsidR="00007DB7" w:rsidRPr="002D2A0A">
              <w:rPr>
                <w:rFonts w:ascii="Arial" w:hAnsi="Arial" w:cs="Arial"/>
                <w:i/>
                <w:sz w:val="20"/>
                <w:szCs w:val="20"/>
              </w:rPr>
              <w:t xml:space="preserve"> years of age.</w:t>
            </w:r>
          </w:p>
        </w:tc>
      </w:tr>
      <w:tr w:rsidR="00064D19" w:rsidRPr="002D2A0A" w14:paraId="33D9630F" w14:textId="77777777" w:rsidTr="00806FA1">
        <w:tc>
          <w:tcPr>
            <w:tcW w:w="724" w:type="pct"/>
            <w:vAlign w:val="center"/>
          </w:tcPr>
          <w:p w14:paraId="3343C2E0"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lastRenderedPageBreak/>
              <w:t>Tadalafil</w:t>
            </w:r>
          </w:p>
        </w:tc>
        <w:tc>
          <w:tcPr>
            <w:tcW w:w="463" w:type="pct"/>
            <w:vAlign w:val="center"/>
          </w:tcPr>
          <w:p w14:paraId="4997C9A4" w14:textId="77777777" w:rsidR="00064D19" w:rsidRPr="002D2A0A" w:rsidRDefault="00060C26" w:rsidP="00121658">
            <w:pPr>
              <w:spacing w:before="0" w:line="240" w:lineRule="auto"/>
              <w:rPr>
                <w:rFonts w:ascii="Arial" w:hAnsi="Arial" w:cs="Arial"/>
                <w:sz w:val="20"/>
                <w:szCs w:val="20"/>
              </w:rPr>
            </w:pPr>
            <w:proofErr w:type="spellStart"/>
            <w:r w:rsidRPr="002D2A0A">
              <w:rPr>
                <w:rFonts w:ascii="Arial" w:hAnsi="Arial" w:cs="Arial"/>
                <w:sz w:val="20"/>
                <w:szCs w:val="20"/>
              </w:rPr>
              <w:t>Adcirca</w:t>
            </w:r>
            <w:proofErr w:type="spellEnd"/>
            <w:r w:rsidR="00252749" w:rsidRPr="002D2A0A">
              <w:rPr>
                <w:rFonts w:ascii="Arial" w:hAnsi="Arial" w:cs="Arial"/>
                <w:sz w:val="20"/>
                <w:szCs w:val="20"/>
                <w:vertAlign w:val="superscript"/>
              </w:rPr>
              <w:t>®</w:t>
            </w:r>
          </w:p>
        </w:tc>
        <w:tc>
          <w:tcPr>
            <w:tcW w:w="671" w:type="pct"/>
            <w:vAlign w:val="center"/>
          </w:tcPr>
          <w:p w14:paraId="5F1F703E"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18 December 2015</w:t>
            </w:r>
          </w:p>
        </w:tc>
        <w:tc>
          <w:tcPr>
            <w:tcW w:w="3142" w:type="pct"/>
            <w:vAlign w:val="center"/>
          </w:tcPr>
          <w:p w14:paraId="5421E84B"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 xml:space="preserve">DOSAGE AND ADMINISTRATION: Use in children and adolescents – </w:t>
            </w:r>
            <w:r w:rsidR="00060C26" w:rsidRPr="002D2A0A">
              <w:rPr>
                <w:rFonts w:ascii="Arial" w:hAnsi="Arial" w:cs="Arial"/>
                <w:i/>
                <w:sz w:val="20"/>
                <w:szCs w:val="20"/>
              </w:rPr>
              <w:t>ADCIRCA</w:t>
            </w:r>
            <w:r w:rsidR="00252749" w:rsidRPr="002D2A0A">
              <w:rPr>
                <w:rFonts w:ascii="Arial" w:hAnsi="Arial" w:cs="Arial"/>
                <w:i/>
                <w:sz w:val="20"/>
                <w:szCs w:val="20"/>
                <w:vertAlign w:val="superscript"/>
              </w:rPr>
              <w:t>®</w:t>
            </w:r>
            <w:r w:rsidRPr="002D2A0A">
              <w:rPr>
                <w:rFonts w:ascii="Arial" w:hAnsi="Arial" w:cs="Arial"/>
                <w:i/>
                <w:sz w:val="20"/>
                <w:szCs w:val="20"/>
              </w:rPr>
              <w:t xml:space="preserve"> should not be used in individuals below 18 years of age.</w:t>
            </w:r>
          </w:p>
        </w:tc>
      </w:tr>
      <w:tr w:rsidR="00064D19" w:rsidRPr="002D2A0A" w14:paraId="4308F995" w14:textId="77777777" w:rsidTr="00806FA1">
        <w:trPr>
          <w:cantSplit/>
        </w:trPr>
        <w:tc>
          <w:tcPr>
            <w:tcW w:w="724" w:type="pct"/>
            <w:vAlign w:val="center"/>
          </w:tcPr>
          <w:p w14:paraId="35B9F9D0"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 xml:space="preserve">Riociguat </w:t>
            </w:r>
          </w:p>
        </w:tc>
        <w:tc>
          <w:tcPr>
            <w:tcW w:w="463" w:type="pct"/>
            <w:vAlign w:val="center"/>
          </w:tcPr>
          <w:p w14:paraId="3AB15F5A"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 xml:space="preserve">Riociguat </w:t>
            </w:r>
          </w:p>
        </w:tc>
        <w:tc>
          <w:tcPr>
            <w:tcW w:w="671" w:type="pct"/>
          </w:tcPr>
          <w:p w14:paraId="41A3E1C7"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17 March 2017</w:t>
            </w:r>
          </w:p>
        </w:tc>
        <w:tc>
          <w:tcPr>
            <w:tcW w:w="3142" w:type="pct"/>
            <w:vAlign w:val="center"/>
          </w:tcPr>
          <w:p w14:paraId="47196037" w14:textId="77777777" w:rsidR="00064D19" w:rsidRPr="002D2A0A" w:rsidRDefault="00064D19" w:rsidP="00121658">
            <w:pPr>
              <w:spacing w:before="0" w:after="240" w:line="240" w:lineRule="auto"/>
              <w:rPr>
                <w:rFonts w:ascii="Arial" w:hAnsi="Arial" w:cs="Arial"/>
                <w:i/>
                <w:sz w:val="20"/>
                <w:szCs w:val="20"/>
              </w:rPr>
            </w:pPr>
            <w:r w:rsidRPr="002D2A0A">
              <w:rPr>
                <w:rFonts w:ascii="Arial" w:hAnsi="Arial" w:cs="Arial"/>
                <w:i/>
                <w:sz w:val="20"/>
                <w:szCs w:val="20"/>
              </w:rPr>
              <w:t xml:space="preserve">PRECAUTIONS: Paediatric Use – The safety and efficacy of </w:t>
            </w:r>
            <w:r w:rsidR="00060C26" w:rsidRPr="007B459D">
              <w:rPr>
                <w:rFonts w:ascii="Arial" w:hAnsi="Arial" w:cs="Arial"/>
                <w:i/>
                <w:caps/>
                <w:sz w:val="20"/>
                <w:szCs w:val="20"/>
              </w:rPr>
              <w:t>Adempas</w:t>
            </w:r>
            <w:r w:rsidR="00252749" w:rsidRPr="002D2A0A">
              <w:rPr>
                <w:rFonts w:ascii="Arial" w:hAnsi="Arial" w:cs="Arial"/>
                <w:i/>
                <w:sz w:val="20"/>
                <w:szCs w:val="20"/>
                <w:vertAlign w:val="superscript"/>
              </w:rPr>
              <w:t>®</w:t>
            </w:r>
            <w:r w:rsidRPr="002D2A0A">
              <w:rPr>
                <w:rFonts w:ascii="Arial" w:hAnsi="Arial" w:cs="Arial"/>
                <w:i/>
                <w:sz w:val="20"/>
                <w:szCs w:val="20"/>
              </w:rPr>
              <w:t xml:space="preserve"> </w:t>
            </w:r>
            <w:proofErr w:type="gramStart"/>
            <w:r w:rsidRPr="002D2A0A">
              <w:rPr>
                <w:rFonts w:ascii="Arial" w:hAnsi="Arial" w:cs="Arial"/>
                <w:i/>
                <w:sz w:val="20"/>
                <w:szCs w:val="20"/>
              </w:rPr>
              <w:t>have not yet been studied</w:t>
            </w:r>
            <w:proofErr w:type="gramEnd"/>
            <w:r w:rsidRPr="002D2A0A">
              <w:rPr>
                <w:rFonts w:ascii="Arial" w:hAnsi="Arial" w:cs="Arial"/>
                <w:i/>
                <w:sz w:val="20"/>
                <w:szCs w:val="20"/>
              </w:rPr>
              <w:t xml:space="preserve"> in patients below 18 years. No data are available. Therefore, </w:t>
            </w:r>
            <w:r w:rsidR="00060C26" w:rsidRPr="007B459D">
              <w:rPr>
                <w:rFonts w:ascii="Arial" w:hAnsi="Arial" w:cs="Arial"/>
                <w:i/>
                <w:caps/>
                <w:sz w:val="20"/>
                <w:szCs w:val="20"/>
              </w:rPr>
              <w:t>Adempas</w:t>
            </w:r>
            <w:r w:rsidR="00252749" w:rsidRPr="002D2A0A">
              <w:rPr>
                <w:rFonts w:ascii="Arial" w:hAnsi="Arial" w:cs="Arial"/>
                <w:i/>
                <w:sz w:val="20"/>
                <w:szCs w:val="20"/>
                <w:vertAlign w:val="superscript"/>
              </w:rPr>
              <w:t>®</w:t>
            </w:r>
            <w:r w:rsidRPr="002D2A0A">
              <w:rPr>
                <w:rFonts w:ascii="Arial" w:hAnsi="Arial" w:cs="Arial"/>
                <w:i/>
                <w:sz w:val="20"/>
                <w:szCs w:val="20"/>
              </w:rPr>
              <w:t xml:space="preserve"> </w:t>
            </w:r>
            <w:proofErr w:type="gramStart"/>
            <w:r w:rsidRPr="002D2A0A">
              <w:rPr>
                <w:rFonts w:ascii="Arial" w:hAnsi="Arial" w:cs="Arial"/>
                <w:i/>
                <w:sz w:val="20"/>
                <w:szCs w:val="20"/>
              </w:rPr>
              <w:t>is not recommended</w:t>
            </w:r>
            <w:proofErr w:type="gramEnd"/>
            <w:r w:rsidRPr="002D2A0A">
              <w:rPr>
                <w:rFonts w:ascii="Arial" w:hAnsi="Arial" w:cs="Arial"/>
                <w:i/>
                <w:sz w:val="20"/>
                <w:szCs w:val="20"/>
              </w:rPr>
              <w:t xml:space="preserve"> in paediatrics.</w:t>
            </w:r>
          </w:p>
          <w:p w14:paraId="338CFE6A"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 xml:space="preserve">DOSAGE AND ADMINISTRATION: Paediatric Use – The safety and efficacy of </w:t>
            </w:r>
            <w:r w:rsidR="00060C26" w:rsidRPr="007B459D">
              <w:rPr>
                <w:rFonts w:ascii="Arial" w:hAnsi="Arial" w:cs="Arial"/>
                <w:i/>
                <w:caps/>
                <w:sz w:val="20"/>
                <w:szCs w:val="20"/>
              </w:rPr>
              <w:t>Adempas</w:t>
            </w:r>
            <w:r w:rsidR="00252749" w:rsidRPr="002D2A0A">
              <w:rPr>
                <w:rFonts w:ascii="Arial" w:hAnsi="Arial" w:cs="Arial"/>
                <w:i/>
                <w:sz w:val="20"/>
                <w:szCs w:val="20"/>
                <w:vertAlign w:val="superscript"/>
              </w:rPr>
              <w:t>®</w:t>
            </w:r>
            <w:r w:rsidRPr="002D2A0A">
              <w:rPr>
                <w:rFonts w:ascii="Arial" w:hAnsi="Arial" w:cs="Arial"/>
                <w:i/>
                <w:sz w:val="20"/>
                <w:szCs w:val="20"/>
              </w:rPr>
              <w:t xml:space="preserve"> </w:t>
            </w:r>
            <w:proofErr w:type="gramStart"/>
            <w:r w:rsidRPr="002D2A0A">
              <w:rPr>
                <w:rFonts w:ascii="Arial" w:hAnsi="Arial" w:cs="Arial"/>
                <w:i/>
                <w:sz w:val="20"/>
                <w:szCs w:val="20"/>
              </w:rPr>
              <w:t>have not yet been studied</w:t>
            </w:r>
            <w:proofErr w:type="gramEnd"/>
            <w:r w:rsidRPr="002D2A0A">
              <w:rPr>
                <w:rFonts w:ascii="Arial" w:hAnsi="Arial" w:cs="Arial"/>
                <w:i/>
                <w:sz w:val="20"/>
                <w:szCs w:val="20"/>
              </w:rPr>
              <w:t xml:space="preserve"> in patients below 18 years. No data are available. Therefore, </w:t>
            </w:r>
            <w:r w:rsidR="00060C26" w:rsidRPr="007B459D">
              <w:rPr>
                <w:rFonts w:ascii="Arial" w:hAnsi="Arial" w:cs="Arial"/>
                <w:i/>
                <w:caps/>
                <w:sz w:val="20"/>
                <w:szCs w:val="20"/>
              </w:rPr>
              <w:t>Adempas</w:t>
            </w:r>
            <w:r w:rsidR="00252749" w:rsidRPr="002D2A0A">
              <w:rPr>
                <w:rFonts w:ascii="Arial" w:hAnsi="Arial" w:cs="Arial"/>
                <w:i/>
                <w:sz w:val="20"/>
                <w:szCs w:val="20"/>
                <w:vertAlign w:val="superscript"/>
              </w:rPr>
              <w:t>®</w:t>
            </w:r>
            <w:r w:rsidRPr="002D2A0A">
              <w:rPr>
                <w:rFonts w:ascii="Arial" w:hAnsi="Arial" w:cs="Arial"/>
                <w:i/>
                <w:sz w:val="20"/>
                <w:szCs w:val="20"/>
              </w:rPr>
              <w:t xml:space="preserve"> </w:t>
            </w:r>
            <w:proofErr w:type="gramStart"/>
            <w:r w:rsidRPr="002D2A0A">
              <w:rPr>
                <w:rFonts w:ascii="Arial" w:hAnsi="Arial" w:cs="Arial"/>
                <w:i/>
                <w:sz w:val="20"/>
                <w:szCs w:val="20"/>
              </w:rPr>
              <w:t>is not recommended</w:t>
            </w:r>
            <w:proofErr w:type="gramEnd"/>
            <w:r w:rsidRPr="002D2A0A">
              <w:rPr>
                <w:rFonts w:ascii="Arial" w:hAnsi="Arial" w:cs="Arial"/>
                <w:i/>
                <w:sz w:val="20"/>
                <w:szCs w:val="20"/>
              </w:rPr>
              <w:t xml:space="preserve"> </w:t>
            </w:r>
            <w:r w:rsidR="000A5A60" w:rsidRPr="002D2A0A">
              <w:rPr>
                <w:rFonts w:ascii="Arial" w:hAnsi="Arial" w:cs="Arial"/>
                <w:i/>
                <w:sz w:val="20"/>
                <w:szCs w:val="20"/>
              </w:rPr>
              <w:t>for use in paediatric patients.</w:t>
            </w:r>
          </w:p>
        </w:tc>
      </w:tr>
      <w:tr w:rsidR="00064D19" w:rsidRPr="002D2A0A" w14:paraId="6D5DC0DD" w14:textId="77777777" w:rsidTr="00806FA1">
        <w:tc>
          <w:tcPr>
            <w:tcW w:w="724" w:type="pct"/>
            <w:vAlign w:val="center"/>
          </w:tcPr>
          <w:p w14:paraId="4A5B9122"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Iloprost</w:t>
            </w:r>
          </w:p>
        </w:tc>
        <w:tc>
          <w:tcPr>
            <w:tcW w:w="463" w:type="pct"/>
            <w:vAlign w:val="center"/>
          </w:tcPr>
          <w:p w14:paraId="35DBB48C" w14:textId="77777777" w:rsidR="00064D19" w:rsidRPr="002D2A0A" w:rsidRDefault="00060C26" w:rsidP="00121658">
            <w:pPr>
              <w:spacing w:before="0" w:line="240" w:lineRule="auto"/>
              <w:rPr>
                <w:rFonts w:ascii="Arial" w:hAnsi="Arial" w:cs="Arial"/>
                <w:sz w:val="20"/>
                <w:szCs w:val="20"/>
              </w:rPr>
            </w:pPr>
            <w:proofErr w:type="spellStart"/>
            <w:r w:rsidRPr="002D2A0A">
              <w:rPr>
                <w:rFonts w:ascii="Arial" w:hAnsi="Arial" w:cs="Arial"/>
                <w:sz w:val="20"/>
                <w:szCs w:val="20"/>
              </w:rPr>
              <w:t>Ventavis</w:t>
            </w:r>
            <w:proofErr w:type="spellEnd"/>
            <w:r w:rsidR="00252749" w:rsidRPr="002D2A0A">
              <w:rPr>
                <w:rFonts w:ascii="Arial" w:hAnsi="Arial" w:cs="Arial"/>
                <w:sz w:val="20"/>
                <w:szCs w:val="20"/>
                <w:vertAlign w:val="superscript"/>
              </w:rPr>
              <w:t>®</w:t>
            </w:r>
          </w:p>
        </w:tc>
        <w:tc>
          <w:tcPr>
            <w:tcW w:w="671" w:type="pct"/>
            <w:vAlign w:val="center"/>
          </w:tcPr>
          <w:p w14:paraId="48AA279D"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16 June 2017</w:t>
            </w:r>
          </w:p>
        </w:tc>
        <w:tc>
          <w:tcPr>
            <w:tcW w:w="3142" w:type="pct"/>
            <w:vAlign w:val="center"/>
          </w:tcPr>
          <w:p w14:paraId="42BE9A30" w14:textId="77777777" w:rsidR="00064D19" w:rsidRPr="002D2A0A" w:rsidRDefault="00064D19" w:rsidP="00121658">
            <w:pPr>
              <w:spacing w:before="0" w:after="240" w:line="240" w:lineRule="auto"/>
              <w:rPr>
                <w:rFonts w:ascii="Arial" w:hAnsi="Arial" w:cs="Arial"/>
                <w:i/>
                <w:sz w:val="20"/>
                <w:szCs w:val="20"/>
              </w:rPr>
            </w:pPr>
            <w:r w:rsidRPr="002D2A0A">
              <w:rPr>
                <w:rFonts w:ascii="Arial" w:hAnsi="Arial" w:cs="Arial"/>
                <w:i/>
                <w:sz w:val="20"/>
                <w:szCs w:val="20"/>
              </w:rPr>
              <w:t xml:space="preserve">PRECAUTIONS: Paediatric use – The experience in children and adolescents (patients below 18 years of age) is limited. Therefore </w:t>
            </w:r>
            <w:r w:rsidR="00060C26" w:rsidRPr="007B459D">
              <w:rPr>
                <w:rFonts w:ascii="Arial" w:hAnsi="Arial" w:cs="Arial"/>
                <w:i/>
                <w:caps/>
                <w:sz w:val="20"/>
                <w:szCs w:val="20"/>
              </w:rPr>
              <w:t>Ventavis</w:t>
            </w:r>
            <w:r w:rsidR="00252749" w:rsidRPr="002D2A0A">
              <w:rPr>
                <w:rFonts w:ascii="Arial" w:hAnsi="Arial" w:cs="Arial"/>
                <w:i/>
                <w:sz w:val="20"/>
                <w:szCs w:val="20"/>
                <w:vertAlign w:val="superscript"/>
              </w:rPr>
              <w:t>®</w:t>
            </w:r>
            <w:r w:rsidRPr="002D2A0A">
              <w:rPr>
                <w:rFonts w:ascii="Arial" w:hAnsi="Arial" w:cs="Arial"/>
                <w:i/>
                <w:sz w:val="20"/>
                <w:szCs w:val="20"/>
              </w:rPr>
              <w:t xml:space="preserve"> </w:t>
            </w:r>
            <w:proofErr w:type="gramStart"/>
            <w:r w:rsidRPr="002D2A0A">
              <w:rPr>
                <w:rFonts w:ascii="Arial" w:hAnsi="Arial" w:cs="Arial"/>
                <w:i/>
                <w:sz w:val="20"/>
                <w:szCs w:val="20"/>
              </w:rPr>
              <w:t>is not recommended</w:t>
            </w:r>
            <w:proofErr w:type="gramEnd"/>
            <w:r w:rsidRPr="002D2A0A">
              <w:rPr>
                <w:rFonts w:ascii="Arial" w:hAnsi="Arial" w:cs="Arial"/>
                <w:i/>
                <w:sz w:val="20"/>
                <w:szCs w:val="20"/>
              </w:rPr>
              <w:t xml:space="preserve"> for use in this population (see DOSAGE AND ADMINISTRATION).</w:t>
            </w:r>
          </w:p>
          <w:p w14:paraId="252DE959"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 xml:space="preserve">DOSAGE AND ADMINISTRATION: Paediatric patients/ Children and adolescents (below 18 years of age) – The experience in children and adolescents (patients below 18 years of age) is limited. Therefore </w:t>
            </w:r>
            <w:r w:rsidR="00060C26" w:rsidRPr="007B459D">
              <w:rPr>
                <w:rFonts w:ascii="Arial" w:hAnsi="Arial" w:cs="Arial"/>
                <w:i/>
                <w:caps/>
                <w:sz w:val="20"/>
                <w:szCs w:val="20"/>
              </w:rPr>
              <w:t>Ventavis</w:t>
            </w:r>
            <w:r w:rsidR="00252749" w:rsidRPr="002D2A0A">
              <w:rPr>
                <w:rFonts w:ascii="Arial" w:hAnsi="Arial" w:cs="Arial"/>
                <w:i/>
                <w:sz w:val="20"/>
                <w:szCs w:val="20"/>
                <w:vertAlign w:val="superscript"/>
              </w:rPr>
              <w:t>®</w:t>
            </w:r>
            <w:r w:rsidRPr="002D2A0A">
              <w:rPr>
                <w:rFonts w:ascii="Arial" w:hAnsi="Arial" w:cs="Arial"/>
                <w:i/>
                <w:sz w:val="20"/>
                <w:szCs w:val="20"/>
              </w:rPr>
              <w:t xml:space="preserve"> </w:t>
            </w:r>
            <w:proofErr w:type="gramStart"/>
            <w:r w:rsidRPr="002D2A0A">
              <w:rPr>
                <w:rFonts w:ascii="Arial" w:hAnsi="Arial" w:cs="Arial"/>
                <w:i/>
                <w:sz w:val="20"/>
                <w:szCs w:val="20"/>
              </w:rPr>
              <w:t>is not recommended</w:t>
            </w:r>
            <w:proofErr w:type="gramEnd"/>
            <w:r w:rsidRPr="002D2A0A">
              <w:rPr>
                <w:rFonts w:ascii="Arial" w:hAnsi="Arial" w:cs="Arial"/>
                <w:i/>
                <w:sz w:val="20"/>
                <w:szCs w:val="20"/>
              </w:rPr>
              <w:t xml:space="preserve"> for use in thi</w:t>
            </w:r>
            <w:r w:rsidR="000A5A60" w:rsidRPr="002D2A0A">
              <w:rPr>
                <w:rFonts w:ascii="Arial" w:hAnsi="Arial" w:cs="Arial"/>
                <w:i/>
                <w:sz w:val="20"/>
                <w:szCs w:val="20"/>
              </w:rPr>
              <w:t>s population (see PRECAUTIONS).</w:t>
            </w:r>
          </w:p>
        </w:tc>
      </w:tr>
      <w:tr w:rsidR="00064D19" w:rsidRPr="002D2A0A" w14:paraId="22B6070E" w14:textId="77777777" w:rsidTr="00806FA1">
        <w:tc>
          <w:tcPr>
            <w:tcW w:w="724" w:type="pct"/>
            <w:vAlign w:val="center"/>
          </w:tcPr>
          <w:p w14:paraId="40BCCDB4"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Epoprostenol</w:t>
            </w:r>
          </w:p>
        </w:tc>
        <w:tc>
          <w:tcPr>
            <w:tcW w:w="463" w:type="pct"/>
            <w:vAlign w:val="center"/>
          </w:tcPr>
          <w:p w14:paraId="262C5021" w14:textId="77777777" w:rsidR="00064D19" w:rsidRPr="002D2A0A" w:rsidRDefault="00060C26" w:rsidP="00121658">
            <w:pPr>
              <w:spacing w:before="0" w:line="240" w:lineRule="auto"/>
              <w:rPr>
                <w:rFonts w:ascii="Arial" w:hAnsi="Arial" w:cs="Arial"/>
                <w:sz w:val="20"/>
                <w:szCs w:val="20"/>
              </w:rPr>
            </w:pPr>
            <w:proofErr w:type="spellStart"/>
            <w:r w:rsidRPr="002D2A0A">
              <w:rPr>
                <w:rFonts w:ascii="Arial" w:hAnsi="Arial" w:cs="Arial"/>
                <w:sz w:val="20"/>
                <w:szCs w:val="20"/>
              </w:rPr>
              <w:t>Flolan</w:t>
            </w:r>
            <w:proofErr w:type="spellEnd"/>
            <w:r w:rsidR="00252749" w:rsidRPr="002D2A0A">
              <w:rPr>
                <w:rFonts w:ascii="Arial" w:hAnsi="Arial" w:cs="Arial"/>
                <w:sz w:val="20"/>
                <w:szCs w:val="20"/>
                <w:vertAlign w:val="superscript"/>
              </w:rPr>
              <w:t>®</w:t>
            </w:r>
          </w:p>
        </w:tc>
        <w:tc>
          <w:tcPr>
            <w:tcW w:w="671" w:type="pct"/>
            <w:vAlign w:val="center"/>
          </w:tcPr>
          <w:p w14:paraId="0D0ABE62" w14:textId="77777777" w:rsidR="00064D19" w:rsidRPr="002D2A0A" w:rsidRDefault="00064D19" w:rsidP="00121658">
            <w:pPr>
              <w:spacing w:before="0" w:line="240" w:lineRule="auto"/>
              <w:rPr>
                <w:rFonts w:ascii="Arial" w:hAnsi="Arial" w:cs="Arial"/>
                <w:sz w:val="20"/>
                <w:szCs w:val="20"/>
              </w:rPr>
            </w:pPr>
            <w:r w:rsidRPr="002D2A0A">
              <w:rPr>
                <w:rFonts w:ascii="Arial" w:hAnsi="Arial" w:cs="Arial"/>
                <w:sz w:val="20"/>
                <w:szCs w:val="20"/>
              </w:rPr>
              <w:t>3 February 2016</w:t>
            </w:r>
          </w:p>
        </w:tc>
        <w:tc>
          <w:tcPr>
            <w:tcW w:w="3142" w:type="pct"/>
            <w:vAlign w:val="center"/>
          </w:tcPr>
          <w:p w14:paraId="70367883" w14:textId="77777777" w:rsidR="00064D19" w:rsidRPr="002D2A0A" w:rsidRDefault="00064D19" w:rsidP="00121658">
            <w:pPr>
              <w:spacing w:before="0" w:after="240" w:line="240" w:lineRule="auto"/>
              <w:rPr>
                <w:rFonts w:ascii="Arial" w:hAnsi="Arial" w:cs="Arial"/>
                <w:i/>
                <w:sz w:val="20"/>
                <w:szCs w:val="20"/>
              </w:rPr>
            </w:pPr>
            <w:r w:rsidRPr="002D2A0A">
              <w:rPr>
                <w:rFonts w:ascii="Arial" w:hAnsi="Arial" w:cs="Arial"/>
                <w:i/>
                <w:sz w:val="20"/>
                <w:szCs w:val="20"/>
              </w:rPr>
              <w:t xml:space="preserve">PRECAUTIONS: Paediatric Use – There is limited information on the use of </w:t>
            </w:r>
            <w:r w:rsidR="00060C26" w:rsidRPr="002D2A0A">
              <w:rPr>
                <w:rFonts w:ascii="Arial" w:hAnsi="Arial" w:cs="Arial"/>
                <w:i/>
                <w:sz w:val="20"/>
                <w:szCs w:val="20"/>
              </w:rPr>
              <w:t>FLOLAN</w:t>
            </w:r>
            <w:r w:rsidR="00252749" w:rsidRPr="002D2A0A">
              <w:rPr>
                <w:rFonts w:ascii="Arial" w:hAnsi="Arial" w:cs="Arial"/>
                <w:i/>
                <w:sz w:val="20"/>
                <w:szCs w:val="20"/>
                <w:vertAlign w:val="superscript"/>
              </w:rPr>
              <w:t>®</w:t>
            </w:r>
            <w:r w:rsidRPr="002D2A0A">
              <w:rPr>
                <w:rFonts w:ascii="Arial" w:hAnsi="Arial" w:cs="Arial"/>
                <w:i/>
                <w:sz w:val="20"/>
                <w:szCs w:val="20"/>
              </w:rPr>
              <w:t xml:space="preserve"> for PAH in children.</w:t>
            </w:r>
          </w:p>
          <w:p w14:paraId="74BA1B4B" w14:textId="77777777" w:rsidR="00064D19" w:rsidRPr="002D2A0A" w:rsidRDefault="00064D19" w:rsidP="00121658">
            <w:pPr>
              <w:spacing w:before="0" w:line="240" w:lineRule="auto"/>
              <w:rPr>
                <w:rFonts w:ascii="Arial" w:hAnsi="Arial" w:cs="Arial"/>
                <w:i/>
                <w:sz w:val="20"/>
                <w:szCs w:val="20"/>
              </w:rPr>
            </w:pPr>
            <w:r w:rsidRPr="002D2A0A">
              <w:rPr>
                <w:rFonts w:ascii="Arial" w:hAnsi="Arial" w:cs="Arial"/>
                <w:i/>
                <w:sz w:val="20"/>
                <w:szCs w:val="20"/>
              </w:rPr>
              <w:t xml:space="preserve">DOSAGE AND ADMINISTRATION: Children – There is limited information on the use of </w:t>
            </w:r>
            <w:r w:rsidR="00060C26" w:rsidRPr="002D2A0A">
              <w:rPr>
                <w:rFonts w:ascii="Arial" w:hAnsi="Arial" w:cs="Arial"/>
                <w:i/>
                <w:sz w:val="20"/>
                <w:szCs w:val="20"/>
              </w:rPr>
              <w:t>FLOLAN</w:t>
            </w:r>
            <w:r w:rsidR="00252749" w:rsidRPr="002D2A0A">
              <w:rPr>
                <w:rFonts w:ascii="Arial" w:hAnsi="Arial" w:cs="Arial"/>
                <w:i/>
                <w:sz w:val="20"/>
                <w:szCs w:val="20"/>
                <w:vertAlign w:val="superscript"/>
              </w:rPr>
              <w:t>®</w:t>
            </w:r>
            <w:r w:rsidR="000A5A60" w:rsidRPr="002D2A0A">
              <w:rPr>
                <w:rFonts w:ascii="Arial" w:hAnsi="Arial" w:cs="Arial"/>
                <w:i/>
                <w:sz w:val="20"/>
                <w:szCs w:val="20"/>
              </w:rPr>
              <w:t xml:space="preserve"> for PPH* in children.</w:t>
            </w:r>
          </w:p>
        </w:tc>
      </w:tr>
      <w:tr w:rsidR="00064D19" w:rsidRPr="002D2A0A" w14:paraId="04120C95" w14:textId="77777777" w:rsidTr="00806FA1">
        <w:tc>
          <w:tcPr>
            <w:tcW w:w="724" w:type="pct"/>
            <w:vAlign w:val="center"/>
          </w:tcPr>
          <w:p w14:paraId="3C3972D6" w14:textId="77777777" w:rsidR="00064D19" w:rsidRPr="002D2A0A" w:rsidRDefault="00064D19" w:rsidP="00121658">
            <w:pPr>
              <w:spacing w:before="0" w:line="240" w:lineRule="auto"/>
              <w:rPr>
                <w:rFonts w:ascii="Arial" w:hAnsi="Arial" w:cs="Arial"/>
                <w:i/>
                <w:color w:val="808080" w:themeColor="background1" w:themeShade="80"/>
                <w:sz w:val="20"/>
                <w:szCs w:val="20"/>
              </w:rPr>
            </w:pPr>
            <w:r w:rsidRPr="002D2A0A">
              <w:rPr>
                <w:rFonts w:ascii="Arial" w:hAnsi="Arial" w:cs="Arial"/>
                <w:i/>
                <w:color w:val="808080" w:themeColor="background1" w:themeShade="80"/>
                <w:sz w:val="20"/>
                <w:szCs w:val="20"/>
              </w:rPr>
              <w:t>Selexipag</w:t>
            </w:r>
          </w:p>
        </w:tc>
        <w:tc>
          <w:tcPr>
            <w:tcW w:w="463" w:type="pct"/>
            <w:vAlign w:val="center"/>
          </w:tcPr>
          <w:p w14:paraId="02F751EA" w14:textId="77777777" w:rsidR="00064D19" w:rsidRPr="002D2A0A" w:rsidRDefault="00064D19" w:rsidP="00121658">
            <w:pPr>
              <w:spacing w:before="0" w:line="240" w:lineRule="auto"/>
              <w:rPr>
                <w:rFonts w:ascii="Arial" w:hAnsi="Arial" w:cs="Arial"/>
                <w:i/>
                <w:color w:val="808080" w:themeColor="background1" w:themeShade="80"/>
                <w:sz w:val="20"/>
                <w:szCs w:val="20"/>
              </w:rPr>
            </w:pPr>
            <w:r w:rsidRPr="002D2A0A">
              <w:rPr>
                <w:rFonts w:ascii="Arial" w:hAnsi="Arial" w:cs="Arial"/>
                <w:i/>
                <w:color w:val="808080" w:themeColor="background1" w:themeShade="80"/>
                <w:sz w:val="20"/>
                <w:szCs w:val="20"/>
              </w:rPr>
              <w:t>Selexipag</w:t>
            </w:r>
          </w:p>
        </w:tc>
        <w:tc>
          <w:tcPr>
            <w:tcW w:w="671" w:type="pct"/>
            <w:vAlign w:val="center"/>
          </w:tcPr>
          <w:p w14:paraId="650E2D23" w14:textId="77777777" w:rsidR="00064D19" w:rsidRPr="002D2A0A" w:rsidRDefault="00064D19" w:rsidP="00121658">
            <w:pPr>
              <w:spacing w:before="0" w:line="240" w:lineRule="auto"/>
              <w:rPr>
                <w:rFonts w:ascii="Arial" w:hAnsi="Arial" w:cs="Arial"/>
                <w:i/>
                <w:color w:val="808080" w:themeColor="background1" w:themeShade="80"/>
                <w:sz w:val="20"/>
                <w:szCs w:val="20"/>
              </w:rPr>
            </w:pPr>
            <w:r w:rsidRPr="002D2A0A">
              <w:rPr>
                <w:rFonts w:ascii="Arial" w:hAnsi="Arial" w:cs="Arial"/>
                <w:i/>
                <w:color w:val="808080" w:themeColor="background1" w:themeShade="80"/>
                <w:sz w:val="20"/>
                <w:szCs w:val="20"/>
              </w:rPr>
              <w:t>14 July 2016</w:t>
            </w:r>
          </w:p>
        </w:tc>
        <w:tc>
          <w:tcPr>
            <w:tcW w:w="3142" w:type="pct"/>
            <w:vAlign w:val="center"/>
          </w:tcPr>
          <w:p w14:paraId="6BE67B38" w14:textId="77777777" w:rsidR="00064D19" w:rsidRPr="002D2A0A" w:rsidRDefault="00064D19" w:rsidP="00121658">
            <w:pPr>
              <w:pStyle w:val="TableText"/>
              <w:spacing w:before="0" w:after="0"/>
              <w:rPr>
                <w:rFonts w:ascii="Arial" w:hAnsi="Arial"/>
                <w:i/>
                <w:color w:val="808080" w:themeColor="background1" w:themeShade="80"/>
                <w:szCs w:val="20"/>
              </w:rPr>
            </w:pPr>
            <w:r w:rsidRPr="002D2A0A">
              <w:rPr>
                <w:rFonts w:ascii="Arial" w:hAnsi="Arial"/>
                <w:i/>
                <w:color w:val="808080" w:themeColor="background1" w:themeShade="80"/>
                <w:szCs w:val="20"/>
              </w:rPr>
              <w:t>PRECAUTIONS: Paediatric – The safety and efficacy of UPTRAV</w:t>
            </w:r>
            <w:r w:rsidR="00252749" w:rsidRPr="002D2A0A">
              <w:rPr>
                <w:rFonts w:ascii="Arial" w:hAnsi="Arial"/>
                <w:i/>
                <w:color w:val="808080" w:themeColor="background1" w:themeShade="80"/>
                <w:szCs w:val="20"/>
                <w:vertAlign w:val="superscript"/>
              </w:rPr>
              <w:t>®</w:t>
            </w:r>
            <w:r w:rsidRPr="002D2A0A">
              <w:rPr>
                <w:rFonts w:ascii="Arial" w:hAnsi="Arial"/>
                <w:i/>
                <w:color w:val="808080" w:themeColor="background1" w:themeShade="80"/>
                <w:szCs w:val="20"/>
              </w:rPr>
              <w:t>I in children (&lt;18 y</w:t>
            </w:r>
            <w:r w:rsidR="000A5A60" w:rsidRPr="002D2A0A">
              <w:rPr>
                <w:rFonts w:ascii="Arial" w:hAnsi="Arial"/>
                <w:i/>
                <w:color w:val="808080" w:themeColor="background1" w:themeShade="80"/>
                <w:szCs w:val="20"/>
              </w:rPr>
              <w:t>ears) has not been established.</w:t>
            </w:r>
          </w:p>
        </w:tc>
      </w:tr>
    </w:tbl>
    <w:p w14:paraId="43795FB5" w14:textId="77777777" w:rsidR="00064D19" w:rsidRPr="002D2A0A" w:rsidRDefault="00064D19" w:rsidP="00121658">
      <w:pPr>
        <w:pStyle w:val="tabletext1"/>
        <w:keepNext w:val="0"/>
        <w:tabs>
          <w:tab w:val="center" w:pos="6979"/>
        </w:tabs>
        <w:spacing w:before="0" w:after="0"/>
        <w:rPr>
          <w:rFonts w:ascii="Arial" w:hAnsi="Arial"/>
        </w:rPr>
      </w:pPr>
      <w:r w:rsidRPr="002D2A0A">
        <w:rPr>
          <w:rFonts w:ascii="Arial" w:hAnsi="Arial"/>
        </w:rPr>
        <w:t>*PPH = primary pulmonary hypertension is an older term for PAH</w:t>
      </w:r>
    </w:p>
    <w:p w14:paraId="225989B5" w14:textId="77777777" w:rsidR="00064D19" w:rsidRPr="002D2A0A" w:rsidRDefault="00064D19" w:rsidP="00121658">
      <w:pPr>
        <w:pStyle w:val="Tablenote"/>
        <w:spacing w:after="0"/>
        <w:contextualSpacing w:val="0"/>
        <w:rPr>
          <w:rFonts w:ascii="Arial" w:hAnsi="Arial" w:cs="Arial"/>
        </w:rPr>
      </w:pPr>
      <w:r w:rsidRPr="002D2A0A">
        <w:rPr>
          <w:rFonts w:ascii="Arial" w:hAnsi="Arial" w:cs="Arial"/>
        </w:rPr>
        <w:t>Source: Relevant product information</w:t>
      </w:r>
    </w:p>
    <w:p w14:paraId="6004AE42" w14:textId="77777777" w:rsidR="00064D19" w:rsidRPr="002D2A0A" w:rsidRDefault="00064D19" w:rsidP="00121658">
      <w:pPr>
        <w:pStyle w:val="References"/>
        <w:ind w:left="0"/>
        <w:rPr>
          <w:rFonts w:ascii="Arial" w:hAnsi="Arial" w:cs="Arial"/>
        </w:rPr>
      </w:pPr>
    </w:p>
    <w:p w14:paraId="2E9DFB16" w14:textId="77777777" w:rsidR="00CF3FEC" w:rsidRPr="002D2A0A" w:rsidRDefault="00CF3FEC" w:rsidP="00121658">
      <w:pPr>
        <w:pStyle w:val="References"/>
        <w:ind w:left="0"/>
        <w:rPr>
          <w:rFonts w:ascii="Arial" w:hAnsi="Arial" w:cs="Arial"/>
        </w:rPr>
      </w:pPr>
    </w:p>
    <w:p w14:paraId="7DB63E0D" w14:textId="77777777" w:rsidR="00CF3FEC" w:rsidRDefault="00CF3FEC" w:rsidP="00121658">
      <w:pPr>
        <w:spacing w:before="0" w:line="240" w:lineRule="auto"/>
        <w:sectPr w:rsidR="00CF3FEC" w:rsidSect="00064D19">
          <w:headerReference w:type="even" r:id="rId41"/>
          <w:headerReference w:type="default" r:id="rId42"/>
          <w:footerReference w:type="default" r:id="rId43"/>
          <w:headerReference w:type="first" r:id="rId44"/>
          <w:footnotePr>
            <w:numFmt w:val="chicago"/>
          </w:footnotePr>
          <w:pgSz w:w="16838" w:h="11906" w:orient="landscape"/>
          <w:pgMar w:top="1134" w:right="1134" w:bottom="1134" w:left="1134" w:header="709" w:footer="709" w:gutter="0"/>
          <w:cols w:space="708"/>
          <w:docGrid w:linePitch="360"/>
        </w:sectPr>
      </w:pPr>
    </w:p>
    <w:p w14:paraId="5377685D" w14:textId="77777777" w:rsidR="00CF3FEC" w:rsidRDefault="00F319D3" w:rsidP="00121658">
      <w:pPr>
        <w:pStyle w:val="Heading2"/>
        <w:numPr>
          <w:ilvl w:val="0"/>
          <w:numId w:val="0"/>
        </w:numPr>
        <w:jc w:val="left"/>
      </w:pPr>
      <w:bookmarkStart w:id="326" w:name="_Ref508899066"/>
      <w:bookmarkStart w:id="327" w:name="_Ref505517022"/>
      <w:bookmarkStart w:id="328" w:name="_Toc38377519"/>
      <w:bookmarkStart w:id="329" w:name="_Ref505355296"/>
      <w:r>
        <w:lastRenderedPageBreak/>
        <w:t xml:space="preserve">Appendix </w:t>
      </w:r>
      <w:r w:rsidR="005E4483">
        <w:t>1.</w:t>
      </w:r>
      <w:bookmarkEnd w:id="326"/>
      <w:r w:rsidR="005E4483">
        <w:t>C</w:t>
      </w:r>
      <w:r>
        <w:tab/>
      </w:r>
      <w:r w:rsidR="00CF3FEC">
        <w:t>Published treatment and diagnostic algorithms</w:t>
      </w:r>
      <w:bookmarkEnd w:id="327"/>
      <w:bookmarkEnd w:id="328"/>
    </w:p>
    <w:p w14:paraId="26EBAA81" w14:textId="77777777" w:rsidR="00F92A84" w:rsidRDefault="00F92A84" w:rsidP="00121658">
      <w:bookmarkStart w:id="330" w:name="_Toc503047884"/>
      <w:bookmarkStart w:id="331" w:name="_Ref505516913"/>
      <w:bookmarkStart w:id="332" w:name="_Ref503516215"/>
      <w:r w:rsidRPr="00267E63">
        <w:rPr>
          <w:rFonts w:asciiTheme="minorHAnsi" w:hAnsiTheme="minorHAnsi"/>
          <w:noProof/>
          <w:lang w:eastAsia="en-AU"/>
        </w:rPr>
        <w:drawing>
          <wp:inline distT="0" distB="0" distL="0" distR="0" wp14:anchorId="3FC94D6A" wp14:editId="28ABA83C">
            <wp:extent cx="6120130" cy="6705600"/>
            <wp:effectExtent l="0" t="0" r="0" b="0"/>
            <wp:docPr id="3" name="Picture 3" descr="Treatment algorithm for PAH from the ESC/ERS Guideline" title="Treatment algorithm for P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6705600"/>
                    </a:xfrm>
                    <a:prstGeom prst="rect">
                      <a:avLst/>
                    </a:prstGeom>
                    <a:noFill/>
                    <a:ln>
                      <a:noFill/>
                    </a:ln>
                  </pic:spPr>
                </pic:pic>
              </a:graphicData>
            </a:graphic>
          </wp:inline>
        </w:drawing>
      </w:r>
    </w:p>
    <w:p w14:paraId="39F8CDDD" w14:textId="77777777" w:rsidR="00CF3FEC" w:rsidRDefault="00F92A84" w:rsidP="002D2A0A">
      <w:pPr>
        <w:pStyle w:val="Caption"/>
        <w:spacing w:before="120"/>
        <w:ind w:left="0" w:firstLine="0"/>
        <w:jc w:val="left"/>
      </w:pPr>
      <w:bookmarkStart w:id="333" w:name="_Ref508905231"/>
      <w:bookmarkStart w:id="334" w:name="_Toc29377273"/>
      <w:r>
        <w:t>Figure 1.</w:t>
      </w:r>
      <w:r w:rsidR="00505D99">
        <w:rPr>
          <w:noProof/>
        </w:rPr>
        <w:t>2</w:t>
      </w:r>
      <w:r>
        <w:tab/>
      </w:r>
      <w:r w:rsidR="00CF3FEC">
        <w:t>Treatment algorithm for PAH</w:t>
      </w:r>
      <w:bookmarkEnd w:id="330"/>
      <w:r w:rsidR="00CF3FEC">
        <w:t xml:space="preserve"> </w:t>
      </w:r>
      <w:bookmarkEnd w:id="331"/>
      <w:bookmarkEnd w:id="332"/>
      <w:bookmarkEnd w:id="333"/>
      <w:bookmarkEnd w:id="334"/>
      <w:r w:rsidR="008F6AA4">
        <w:t>2015 ESC/ERS Guidelines</w:t>
      </w:r>
    </w:p>
    <w:p w14:paraId="18FE5734" w14:textId="77777777" w:rsidR="00CF3FEC" w:rsidRPr="00CF3FEC" w:rsidRDefault="00CF3FEC" w:rsidP="00121658">
      <w:pPr>
        <w:pStyle w:val="Tablenote"/>
        <w:rPr>
          <w:rFonts w:ascii="Arial Narrow" w:hAnsi="Arial Narrow"/>
        </w:rPr>
      </w:pPr>
      <w:r w:rsidRPr="00CF3FEC">
        <w:rPr>
          <w:rFonts w:ascii="Arial Narrow" w:hAnsi="Arial Narrow"/>
        </w:rPr>
        <w:t>Source</w:t>
      </w:r>
      <w:r>
        <w:rPr>
          <w:rFonts w:ascii="Arial Narrow" w:hAnsi="Arial Narrow"/>
        </w:rPr>
        <w:t xml:space="preserve">: </w:t>
      </w:r>
      <w:r w:rsidR="008F6AA4">
        <w:rPr>
          <w:rFonts w:ascii="Arial Narrow" w:hAnsi="Arial Narrow"/>
        </w:rPr>
        <w:t>2015 ESC/ERS Guidelines</w:t>
      </w:r>
      <w:r w:rsidR="009C556B" w:rsidRPr="00DC475B">
        <w:rPr>
          <w:rFonts w:ascii="Arial Narrow" w:hAnsi="Arial Narrow"/>
          <w:noProof/>
          <w:vertAlign w:val="superscript"/>
        </w:rPr>
        <w:t>8</w:t>
      </w:r>
    </w:p>
    <w:p w14:paraId="7064170A" w14:textId="77777777" w:rsidR="00CF3FEC" w:rsidRDefault="00CF3FEC" w:rsidP="00121658">
      <w:pPr>
        <w:rPr>
          <w:rFonts w:eastAsiaTheme="minorEastAsia"/>
        </w:rPr>
      </w:pPr>
      <w:r>
        <w:rPr>
          <w:rFonts w:eastAsiaTheme="minorEastAsia"/>
        </w:rPr>
        <w:br w:type="page"/>
      </w:r>
    </w:p>
    <w:p w14:paraId="4AD4E0D4" w14:textId="77777777" w:rsidR="00CF3FEC" w:rsidRPr="00CF3FEC" w:rsidRDefault="00CF3FEC" w:rsidP="00121658">
      <w:pPr>
        <w:rPr>
          <w:rFonts w:eastAsiaTheme="minorEastAsia"/>
          <w:sz w:val="4"/>
        </w:rPr>
      </w:pPr>
    </w:p>
    <w:p w14:paraId="63C20B24" w14:textId="77777777" w:rsidR="00F92A84" w:rsidRDefault="00F92A84" w:rsidP="00121658">
      <w:r w:rsidRPr="00590609">
        <w:rPr>
          <w:rFonts w:eastAsiaTheme="minorEastAsia"/>
          <w:noProof/>
          <w:lang w:eastAsia="en-AU"/>
        </w:rPr>
        <w:drawing>
          <wp:inline distT="0" distB="0" distL="0" distR="0" wp14:anchorId="5C61DFA2" wp14:editId="31CD41E3">
            <wp:extent cx="5750169" cy="6123107"/>
            <wp:effectExtent l="0" t="0" r="3175" b="0"/>
            <wp:docPr id="8" name="Picture 8" descr="Treatment algorithm for PAH from McLaughlin et al. (2015)" title="Treatment algorithm for P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4983" t="4517" b="16603"/>
                    <a:stretch/>
                  </pic:blipFill>
                  <pic:spPr bwMode="auto">
                    <a:xfrm>
                      <a:off x="0" y="0"/>
                      <a:ext cx="5751347" cy="6124361"/>
                    </a:xfrm>
                    <a:prstGeom prst="rect">
                      <a:avLst/>
                    </a:prstGeom>
                    <a:noFill/>
                    <a:ln>
                      <a:noFill/>
                    </a:ln>
                    <a:extLst>
                      <a:ext uri="{53640926-AAD7-44D8-BBD7-CCE9431645EC}">
                        <a14:shadowObscured xmlns:a14="http://schemas.microsoft.com/office/drawing/2010/main"/>
                      </a:ext>
                    </a:extLst>
                  </pic:spPr>
                </pic:pic>
              </a:graphicData>
            </a:graphic>
          </wp:inline>
        </w:drawing>
      </w:r>
    </w:p>
    <w:p w14:paraId="26325406" w14:textId="77777777" w:rsidR="00F92A84" w:rsidRDefault="002D6E34" w:rsidP="002D2A0A">
      <w:pPr>
        <w:pStyle w:val="Caption"/>
        <w:ind w:left="0" w:firstLine="0"/>
        <w:jc w:val="left"/>
      </w:pPr>
      <w:bookmarkStart w:id="335" w:name="_Ref508905521"/>
      <w:bookmarkStart w:id="336" w:name="_Ref505516921"/>
      <w:bookmarkStart w:id="337" w:name="_Ref503516416"/>
      <w:bookmarkStart w:id="338" w:name="_Toc29377274"/>
      <w:r>
        <w:t>Figure 1.</w:t>
      </w:r>
      <w:r w:rsidR="00505D99">
        <w:rPr>
          <w:noProof/>
        </w:rPr>
        <w:t>3</w:t>
      </w:r>
      <w:bookmarkEnd w:id="335"/>
      <w:r>
        <w:tab/>
      </w:r>
      <w:r w:rsidR="00F92A84">
        <w:t xml:space="preserve">Treatment algorithm from </w:t>
      </w:r>
      <w:r w:rsidR="00F92A84" w:rsidRPr="00411B13">
        <w:t xml:space="preserve">McLaughlin </w:t>
      </w:r>
      <w:r w:rsidR="00F92A84" w:rsidRPr="00083004">
        <w:t>et al</w:t>
      </w:r>
      <w:r w:rsidR="00F92A84" w:rsidRPr="00411B13">
        <w:t xml:space="preserve"> (2015)</w:t>
      </w:r>
      <w:bookmarkEnd w:id="336"/>
      <w:bookmarkEnd w:id="337"/>
      <w:bookmarkEnd w:id="338"/>
    </w:p>
    <w:p w14:paraId="73CE2BE4" w14:textId="77777777" w:rsidR="00CF3FEC" w:rsidRPr="00CF3FEC" w:rsidRDefault="00CF3FEC" w:rsidP="00121658">
      <w:pPr>
        <w:pStyle w:val="tabletext1"/>
        <w:keepNext w:val="0"/>
        <w:rPr>
          <w:rFonts w:ascii="Arial Narrow" w:hAnsi="Arial Narrow"/>
        </w:rPr>
      </w:pPr>
      <w:r w:rsidRPr="00CF3FEC">
        <w:rPr>
          <w:rFonts w:ascii="Arial Narrow" w:hAnsi="Arial Narrow"/>
        </w:rPr>
        <w:t xml:space="preserve">Source: McLaughlin </w:t>
      </w:r>
      <w:r w:rsidRPr="00CF3FEC">
        <w:rPr>
          <w:rFonts w:ascii="Arial Narrow" w:hAnsi="Arial Narrow"/>
          <w:i/>
        </w:rPr>
        <w:t xml:space="preserve">et al </w:t>
      </w:r>
      <w:r w:rsidRPr="00CF3FEC">
        <w:rPr>
          <w:rFonts w:ascii="Arial Narrow" w:hAnsi="Arial Narrow"/>
        </w:rPr>
        <w:t>2015</w:t>
      </w:r>
      <w:r w:rsidR="009C556B" w:rsidRPr="009C556B">
        <w:rPr>
          <w:rFonts w:ascii="Arial Narrow" w:hAnsi="Arial Narrow"/>
          <w:noProof/>
          <w:vertAlign w:val="superscript"/>
        </w:rPr>
        <w:t>29</w:t>
      </w:r>
    </w:p>
    <w:p w14:paraId="4776AF22" w14:textId="77777777" w:rsidR="00CF3FEC" w:rsidRDefault="00CF3FEC" w:rsidP="00121658">
      <w:pPr>
        <w:rPr>
          <w:rFonts w:eastAsiaTheme="minorEastAsia"/>
        </w:rPr>
      </w:pPr>
      <w:r>
        <w:rPr>
          <w:rFonts w:eastAsiaTheme="minorEastAsia"/>
        </w:rPr>
        <w:br w:type="page"/>
      </w:r>
    </w:p>
    <w:p w14:paraId="2F297502" w14:textId="77777777" w:rsidR="002D6E34" w:rsidRDefault="002D6E34" w:rsidP="00121658">
      <w:bookmarkStart w:id="339" w:name="_Ref503527015"/>
      <w:bookmarkStart w:id="340" w:name="_Ref503527003"/>
      <w:r w:rsidRPr="007657AF">
        <w:rPr>
          <w:rFonts w:eastAsiaTheme="minorEastAsia"/>
          <w:noProof/>
          <w:lang w:eastAsia="en-AU"/>
        </w:rPr>
        <w:lastRenderedPageBreak/>
        <w:drawing>
          <wp:inline distT="0" distB="0" distL="0" distR="0" wp14:anchorId="2A657ADB" wp14:editId="1226F1C9">
            <wp:extent cx="5689172" cy="6548510"/>
            <wp:effectExtent l="0" t="0" r="6985" b="5080"/>
            <wp:docPr id="2" name="Picture 2" descr="Diagnostic algorithm for PAH from the ESC/ERS Guideline" title="Diagnostic algorithm for P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97099" cy="6557635"/>
                    </a:xfrm>
                    <a:prstGeom prst="rect">
                      <a:avLst/>
                    </a:prstGeom>
                    <a:noFill/>
                    <a:ln>
                      <a:noFill/>
                    </a:ln>
                  </pic:spPr>
                </pic:pic>
              </a:graphicData>
            </a:graphic>
          </wp:inline>
        </w:drawing>
      </w:r>
    </w:p>
    <w:p w14:paraId="647A9668" w14:textId="77777777" w:rsidR="00CF3FEC" w:rsidRDefault="002D6E34" w:rsidP="002D2A0A">
      <w:pPr>
        <w:pStyle w:val="Caption"/>
        <w:ind w:left="0" w:firstLine="0"/>
        <w:jc w:val="left"/>
      </w:pPr>
      <w:bookmarkStart w:id="341" w:name="_Ref503527126"/>
      <w:bookmarkStart w:id="342" w:name="_Toc29377275"/>
      <w:bookmarkEnd w:id="339"/>
      <w:r>
        <w:t>Figure 1.</w:t>
      </w:r>
      <w:r w:rsidR="00505D99">
        <w:rPr>
          <w:noProof/>
        </w:rPr>
        <w:t>4</w:t>
      </w:r>
      <w:r>
        <w:tab/>
      </w:r>
      <w:r w:rsidR="00CF3FEC">
        <w:t xml:space="preserve">Diagnostic algorithm for PAH, </w:t>
      </w:r>
      <w:bookmarkEnd w:id="340"/>
      <w:bookmarkEnd w:id="341"/>
      <w:bookmarkEnd w:id="342"/>
      <w:r w:rsidR="008F6AA4">
        <w:t>2015 ESC/ERS Guidelines</w:t>
      </w:r>
    </w:p>
    <w:p w14:paraId="4DE8F4F6" w14:textId="77777777" w:rsidR="00CF3FEC" w:rsidRPr="00CF3FEC" w:rsidRDefault="00CF3FEC" w:rsidP="00121658">
      <w:pPr>
        <w:pStyle w:val="tabletext1"/>
        <w:keepNext w:val="0"/>
        <w:rPr>
          <w:rFonts w:ascii="Arial Narrow" w:hAnsi="Arial Narrow"/>
        </w:rPr>
      </w:pPr>
      <w:r w:rsidRPr="00CF3FEC">
        <w:rPr>
          <w:rFonts w:ascii="Arial Narrow" w:hAnsi="Arial Narrow"/>
        </w:rPr>
        <w:t>Source: ESC/European Guideline</w:t>
      </w:r>
      <w:r w:rsidR="009C556B" w:rsidRPr="00DC475B">
        <w:rPr>
          <w:rFonts w:ascii="Arial Narrow" w:hAnsi="Arial Narrow"/>
          <w:noProof/>
          <w:vertAlign w:val="superscript"/>
        </w:rPr>
        <w:t>8</w:t>
      </w:r>
    </w:p>
    <w:p w14:paraId="7D0A71C2" w14:textId="77777777" w:rsidR="00CF3FEC" w:rsidRDefault="00CF3FEC" w:rsidP="00121658">
      <w:pPr>
        <w:rPr>
          <w:rFonts w:eastAsiaTheme="minorEastAsia"/>
        </w:rPr>
      </w:pPr>
      <w:r>
        <w:rPr>
          <w:rFonts w:eastAsiaTheme="minorEastAsia"/>
        </w:rPr>
        <w:br w:type="page"/>
      </w:r>
    </w:p>
    <w:p w14:paraId="14BB0B00" w14:textId="77777777" w:rsidR="002D6E34" w:rsidRDefault="002D6E34" w:rsidP="00121658">
      <w:bookmarkStart w:id="343" w:name="_Ref503527039"/>
      <w:bookmarkStart w:id="344" w:name="_Ref503527032"/>
      <w:r w:rsidRPr="00A17FE2">
        <w:rPr>
          <w:rFonts w:eastAsiaTheme="minorEastAsia"/>
          <w:noProof/>
          <w:lang w:eastAsia="en-AU"/>
        </w:rPr>
        <w:lastRenderedPageBreak/>
        <w:drawing>
          <wp:inline distT="0" distB="0" distL="0" distR="0" wp14:anchorId="7B1677C5" wp14:editId="27FDB2E9">
            <wp:extent cx="4733779" cy="6840883"/>
            <wp:effectExtent l="0" t="0" r="0" b="0"/>
            <wp:docPr id="4" name="Picture 4" descr="Diagnostic algorithm for PAH from Bossone et al. (2013)" title="Diagnostic algorithm for PA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36787" cy="6845230"/>
                    </a:xfrm>
                    <a:prstGeom prst="rect">
                      <a:avLst/>
                    </a:prstGeom>
                    <a:noFill/>
                    <a:ln>
                      <a:noFill/>
                    </a:ln>
                  </pic:spPr>
                </pic:pic>
              </a:graphicData>
            </a:graphic>
          </wp:inline>
        </w:drawing>
      </w:r>
    </w:p>
    <w:p w14:paraId="66A1CBA6" w14:textId="77777777" w:rsidR="00CF3FEC" w:rsidRDefault="002D6E34" w:rsidP="002D2A0A">
      <w:pPr>
        <w:pStyle w:val="Caption"/>
        <w:ind w:left="0" w:firstLine="0"/>
        <w:jc w:val="left"/>
      </w:pPr>
      <w:bookmarkStart w:id="345" w:name="_Ref503527139"/>
      <w:bookmarkStart w:id="346" w:name="_Toc29377276"/>
      <w:bookmarkEnd w:id="343"/>
      <w:r>
        <w:t>Figure 1.</w:t>
      </w:r>
      <w:r w:rsidR="00505D99">
        <w:rPr>
          <w:noProof/>
        </w:rPr>
        <w:t>5</w:t>
      </w:r>
      <w:r>
        <w:tab/>
      </w:r>
      <w:r w:rsidR="00CF3FEC">
        <w:t>Diagnostic algorithm for PAH</w:t>
      </w:r>
      <w:bookmarkEnd w:id="344"/>
      <w:bookmarkEnd w:id="345"/>
      <w:bookmarkEnd w:id="346"/>
      <w:r w:rsidR="00CF3FEC">
        <w:t xml:space="preserve"> </w:t>
      </w:r>
    </w:p>
    <w:p w14:paraId="680E9889" w14:textId="77777777" w:rsidR="00CF3FEC" w:rsidRDefault="00CF3FEC" w:rsidP="00121658">
      <w:pPr>
        <w:pStyle w:val="Tablenote"/>
        <w:rPr>
          <w:rFonts w:ascii="Arial Narrow" w:hAnsi="Arial Narrow"/>
        </w:rPr>
      </w:pPr>
      <w:r w:rsidRPr="00CF3FEC">
        <w:rPr>
          <w:rFonts w:ascii="Arial Narrow" w:hAnsi="Arial Narrow"/>
        </w:rPr>
        <w:t xml:space="preserve">Source: </w:t>
      </w:r>
      <w:proofErr w:type="spellStart"/>
      <w:r w:rsidRPr="00CF3FEC">
        <w:rPr>
          <w:rFonts w:ascii="Arial Narrow" w:hAnsi="Arial Narrow"/>
        </w:rPr>
        <w:t>Bossone</w:t>
      </w:r>
      <w:proofErr w:type="spellEnd"/>
      <w:r w:rsidRPr="00CF3FEC">
        <w:rPr>
          <w:rFonts w:ascii="Arial Narrow" w:hAnsi="Arial Narrow"/>
        </w:rPr>
        <w:t xml:space="preserve"> </w:t>
      </w:r>
      <w:r w:rsidRPr="00CF3FEC">
        <w:rPr>
          <w:rFonts w:ascii="Arial Narrow" w:hAnsi="Arial Narrow"/>
          <w:i/>
        </w:rPr>
        <w:t xml:space="preserve">et al </w:t>
      </w:r>
      <w:r w:rsidRPr="00CF3FEC">
        <w:rPr>
          <w:rFonts w:ascii="Arial Narrow" w:hAnsi="Arial Narrow"/>
        </w:rPr>
        <w:t>2013</w:t>
      </w:r>
      <w:r w:rsidR="009C556B" w:rsidRPr="009C556B">
        <w:rPr>
          <w:rFonts w:ascii="Arial Narrow" w:hAnsi="Arial Narrow"/>
          <w:noProof/>
          <w:vertAlign w:val="superscript"/>
        </w:rPr>
        <w:t>30</w:t>
      </w:r>
    </w:p>
    <w:p w14:paraId="12FEBBEE" w14:textId="77777777" w:rsidR="00F735D6" w:rsidRPr="00CF3FEC" w:rsidRDefault="00F735D6" w:rsidP="00121658">
      <w:pPr>
        <w:pStyle w:val="Tablenote"/>
        <w:rPr>
          <w:rFonts w:ascii="Arial Narrow" w:hAnsi="Arial Narrow"/>
        </w:rPr>
      </w:pPr>
    </w:p>
    <w:p w14:paraId="517C4C1D" w14:textId="77777777" w:rsidR="00F735D6" w:rsidRDefault="00F735D6" w:rsidP="00121658">
      <w:r>
        <w:br w:type="page"/>
      </w:r>
    </w:p>
    <w:p w14:paraId="2880C649" w14:textId="77777777" w:rsidR="002D6E34" w:rsidRDefault="002D6E34" w:rsidP="00121658">
      <w:bookmarkStart w:id="347" w:name="_Ref503515964"/>
      <w:bookmarkStart w:id="348" w:name="_Ref505516925"/>
      <w:r w:rsidRPr="00434E66">
        <w:rPr>
          <w:rFonts w:eastAsiaTheme="minorEastAsia"/>
          <w:noProof/>
          <w:lang w:eastAsia="en-AU"/>
        </w:rPr>
        <w:lastRenderedPageBreak/>
        <w:drawing>
          <wp:inline distT="0" distB="0" distL="0" distR="0" wp14:anchorId="4AC54F50" wp14:editId="0E809286">
            <wp:extent cx="5731510" cy="3780155"/>
            <wp:effectExtent l="0" t="0" r="2540" b="0"/>
            <wp:docPr id="5" name="Picture 5" descr="Treatment algorithm for Paediatric PAH from World Symposium (Ivy et al., 2013)" title="Treatment algorithm for Paediatric P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9208" cy="3785232"/>
                    </a:xfrm>
                    <a:prstGeom prst="rect">
                      <a:avLst/>
                    </a:prstGeom>
                    <a:noFill/>
                    <a:ln>
                      <a:noFill/>
                    </a:ln>
                  </pic:spPr>
                </pic:pic>
              </a:graphicData>
            </a:graphic>
          </wp:inline>
        </w:drawing>
      </w:r>
    </w:p>
    <w:p w14:paraId="6F439883" w14:textId="77777777" w:rsidR="00F735D6" w:rsidRDefault="002D6E34" w:rsidP="002D2A0A">
      <w:pPr>
        <w:pStyle w:val="Caption"/>
        <w:ind w:left="0" w:firstLine="0"/>
        <w:jc w:val="left"/>
      </w:pPr>
      <w:bookmarkStart w:id="349" w:name="_Ref503516466"/>
      <w:bookmarkStart w:id="350" w:name="_Toc29377277"/>
      <w:bookmarkEnd w:id="347"/>
      <w:r>
        <w:t>Figure 1.</w:t>
      </w:r>
      <w:r w:rsidR="00505D99">
        <w:rPr>
          <w:noProof/>
        </w:rPr>
        <w:t>6</w:t>
      </w:r>
      <w:r>
        <w:tab/>
      </w:r>
      <w:r w:rsidR="00F735D6">
        <w:t>Treatment algorithm for Paediatric PAH (World Symposium)</w:t>
      </w:r>
      <w:bookmarkEnd w:id="348"/>
      <w:bookmarkEnd w:id="349"/>
      <w:bookmarkEnd w:id="350"/>
    </w:p>
    <w:p w14:paraId="0F3ECA0F" w14:textId="77777777" w:rsidR="00F735D6" w:rsidRPr="00CF3FEC" w:rsidRDefault="00F735D6" w:rsidP="00121658">
      <w:pPr>
        <w:pStyle w:val="Tablenote"/>
        <w:rPr>
          <w:rFonts w:ascii="Arial Narrow" w:hAnsi="Arial Narrow"/>
        </w:rPr>
      </w:pPr>
      <w:r w:rsidRPr="00CF3FEC">
        <w:rPr>
          <w:rFonts w:ascii="Arial Narrow" w:hAnsi="Arial Narrow"/>
        </w:rPr>
        <w:t xml:space="preserve">Source: Ivy </w:t>
      </w:r>
      <w:r w:rsidRPr="00CF3FEC">
        <w:rPr>
          <w:rFonts w:ascii="Arial Narrow" w:hAnsi="Arial Narrow"/>
          <w:i/>
        </w:rPr>
        <w:t xml:space="preserve">et al </w:t>
      </w:r>
      <w:r w:rsidRPr="00CF3FEC">
        <w:rPr>
          <w:rFonts w:ascii="Arial Narrow" w:hAnsi="Arial Narrow"/>
        </w:rPr>
        <w:t>2013</w:t>
      </w:r>
      <w:r w:rsidR="009C556B" w:rsidRPr="009C556B">
        <w:rPr>
          <w:rFonts w:ascii="Arial Narrow" w:hAnsi="Arial Narrow"/>
          <w:noProof/>
          <w:vertAlign w:val="superscript"/>
        </w:rPr>
        <w:t>23</w:t>
      </w:r>
    </w:p>
    <w:p w14:paraId="76DA6DA6" w14:textId="77777777" w:rsidR="00CF3FEC" w:rsidRDefault="00CF3FEC" w:rsidP="00121658">
      <w:pPr>
        <w:rPr>
          <w:rFonts w:eastAsiaTheme="minorEastAsia" w:cstheme="majorBidi"/>
          <w:b/>
          <w:bCs/>
          <w:i/>
          <w:sz w:val="28"/>
        </w:rPr>
      </w:pPr>
      <w:r>
        <w:rPr>
          <w:rFonts w:eastAsiaTheme="minorEastAsia"/>
        </w:rPr>
        <w:br w:type="page"/>
      </w:r>
    </w:p>
    <w:p w14:paraId="34AD6F18" w14:textId="77777777" w:rsidR="006B6320" w:rsidRDefault="006B6320" w:rsidP="00121658">
      <w:bookmarkStart w:id="351" w:name="_Ref503485870"/>
      <w:bookmarkStart w:id="352" w:name="_Ref505516950"/>
      <w:r w:rsidRPr="009740A3">
        <w:rPr>
          <w:rFonts w:eastAsiaTheme="minorEastAsia"/>
          <w:noProof/>
          <w:lang w:eastAsia="en-AU"/>
        </w:rPr>
        <w:lastRenderedPageBreak/>
        <w:drawing>
          <wp:inline distT="0" distB="0" distL="0" distR="0" wp14:anchorId="7581C5B7" wp14:editId="0E8AEFAD">
            <wp:extent cx="5723890" cy="3859095"/>
            <wp:effectExtent l="0" t="0" r="0" b="8255"/>
            <wp:docPr id="35" name="Picture 35" descr="Diagnostic algorithm for Paediatric PAH from Abman et al., (2015)" title="Diagnostic algorithm for Paediatric P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11111"/>
                    <a:stretch/>
                  </pic:blipFill>
                  <pic:spPr bwMode="auto">
                    <a:xfrm>
                      <a:off x="0" y="0"/>
                      <a:ext cx="5723890" cy="3859095"/>
                    </a:xfrm>
                    <a:prstGeom prst="rect">
                      <a:avLst/>
                    </a:prstGeom>
                    <a:noFill/>
                    <a:ln>
                      <a:noFill/>
                    </a:ln>
                    <a:extLst>
                      <a:ext uri="{53640926-AAD7-44D8-BBD7-CCE9431645EC}">
                        <a14:shadowObscured xmlns:a14="http://schemas.microsoft.com/office/drawing/2010/main"/>
                      </a:ext>
                    </a:extLst>
                  </pic:spPr>
                </pic:pic>
              </a:graphicData>
            </a:graphic>
          </wp:inline>
        </w:drawing>
      </w:r>
    </w:p>
    <w:p w14:paraId="7C8BB3DF" w14:textId="77777777" w:rsidR="00CF3FEC" w:rsidRDefault="006B6320" w:rsidP="002D2A0A">
      <w:pPr>
        <w:pStyle w:val="Caption"/>
        <w:ind w:left="0" w:firstLine="0"/>
        <w:jc w:val="left"/>
      </w:pPr>
      <w:bookmarkStart w:id="353" w:name="_Ref503516480"/>
      <w:bookmarkStart w:id="354" w:name="_Toc29377278"/>
      <w:bookmarkEnd w:id="351"/>
      <w:r>
        <w:t>Figure 1.</w:t>
      </w:r>
      <w:r w:rsidR="00505D99">
        <w:rPr>
          <w:noProof/>
        </w:rPr>
        <w:t>7</w:t>
      </w:r>
      <w:r>
        <w:tab/>
      </w:r>
      <w:r w:rsidR="00CF3FEC">
        <w:t>Diagnostic algorithm for Paediatric PAH</w:t>
      </w:r>
      <w:bookmarkEnd w:id="352"/>
      <w:bookmarkEnd w:id="353"/>
      <w:bookmarkEnd w:id="354"/>
    </w:p>
    <w:p w14:paraId="16806F25" w14:textId="77777777" w:rsidR="00CF3FEC" w:rsidRPr="00CF3FEC" w:rsidRDefault="00CF3FEC" w:rsidP="00121658">
      <w:pPr>
        <w:pStyle w:val="Tablenote"/>
        <w:rPr>
          <w:rFonts w:ascii="Arial Narrow" w:hAnsi="Arial Narrow"/>
        </w:rPr>
      </w:pPr>
      <w:r w:rsidRPr="00CF3FEC">
        <w:rPr>
          <w:rFonts w:ascii="Arial Narrow" w:hAnsi="Arial Narrow"/>
        </w:rPr>
        <w:t xml:space="preserve">Source: </w:t>
      </w:r>
      <w:proofErr w:type="spellStart"/>
      <w:r w:rsidRPr="00CF3FEC">
        <w:rPr>
          <w:rFonts w:ascii="Arial Narrow" w:hAnsi="Arial Narrow"/>
        </w:rPr>
        <w:t>Abman</w:t>
      </w:r>
      <w:proofErr w:type="spellEnd"/>
      <w:r w:rsidRPr="00CF3FEC">
        <w:rPr>
          <w:rFonts w:ascii="Arial Narrow" w:hAnsi="Arial Narrow"/>
        </w:rPr>
        <w:t xml:space="preserve"> </w:t>
      </w:r>
      <w:r w:rsidRPr="00CF3FEC">
        <w:rPr>
          <w:rFonts w:ascii="Arial Narrow" w:hAnsi="Arial Narrow"/>
          <w:i/>
        </w:rPr>
        <w:t xml:space="preserve">et al </w:t>
      </w:r>
      <w:r w:rsidRPr="00CF3FEC">
        <w:rPr>
          <w:rFonts w:ascii="Arial Narrow" w:hAnsi="Arial Narrow"/>
        </w:rPr>
        <w:t>2015</w:t>
      </w:r>
      <w:r w:rsidR="009C556B" w:rsidRPr="009C556B">
        <w:rPr>
          <w:rFonts w:ascii="Arial Narrow" w:hAnsi="Arial Narrow"/>
          <w:noProof/>
          <w:vertAlign w:val="superscript"/>
        </w:rPr>
        <w:t>22</w:t>
      </w:r>
    </w:p>
    <w:p w14:paraId="58349F1A" w14:textId="77777777" w:rsidR="00CF3FEC" w:rsidRDefault="00CF3FEC" w:rsidP="00121658">
      <w:pPr>
        <w:spacing w:before="0" w:line="240" w:lineRule="auto"/>
      </w:pPr>
    </w:p>
    <w:p w14:paraId="75C89F47" w14:textId="77777777" w:rsidR="00CF3FEC" w:rsidRDefault="00CF3FEC" w:rsidP="00121658">
      <w:pPr>
        <w:spacing w:before="0" w:line="240" w:lineRule="auto"/>
        <w:sectPr w:rsidR="00CF3FEC" w:rsidSect="00CF3FEC">
          <w:footnotePr>
            <w:numFmt w:val="chicago"/>
          </w:footnotePr>
          <w:pgSz w:w="11906" w:h="16838"/>
          <w:pgMar w:top="1134" w:right="1134" w:bottom="1134" w:left="1134" w:header="709" w:footer="709" w:gutter="0"/>
          <w:cols w:space="708"/>
          <w:docGrid w:linePitch="360"/>
        </w:sectPr>
      </w:pPr>
    </w:p>
    <w:p w14:paraId="2C936A25" w14:textId="77777777" w:rsidR="00DA0A26" w:rsidRDefault="00F23464" w:rsidP="00582AF0">
      <w:pPr>
        <w:pStyle w:val="Heading2"/>
        <w:numPr>
          <w:ilvl w:val="0"/>
          <w:numId w:val="0"/>
        </w:numPr>
        <w:spacing w:after="200"/>
        <w:jc w:val="left"/>
      </w:pPr>
      <w:bookmarkStart w:id="355" w:name="_Ref508899627"/>
      <w:bookmarkStart w:id="356" w:name="_Ref505782976"/>
      <w:bookmarkStart w:id="357" w:name="_Toc38377520"/>
      <w:r>
        <w:lastRenderedPageBreak/>
        <w:t xml:space="preserve">Appendix </w:t>
      </w:r>
      <w:r w:rsidR="005E4483">
        <w:t>1.D</w:t>
      </w:r>
      <w:bookmarkEnd w:id="355"/>
      <w:r>
        <w:tab/>
      </w:r>
      <w:r w:rsidR="00DA0A26">
        <w:t>Details of PAH restrictions</w:t>
      </w:r>
      <w:bookmarkEnd w:id="329"/>
      <w:bookmarkEnd w:id="356"/>
      <w:bookmarkEnd w:id="357"/>
    </w:p>
    <w:p w14:paraId="2E5BD0F4" w14:textId="77777777" w:rsidR="00DA0A26" w:rsidRDefault="00F275ED" w:rsidP="00DF4B27">
      <w:pPr>
        <w:pStyle w:val="Caption"/>
        <w:ind w:left="0" w:firstLine="0"/>
        <w:jc w:val="left"/>
      </w:pPr>
      <w:bookmarkStart w:id="358" w:name="_Ref508899778"/>
      <w:bookmarkStart w:id="359" w:name="_Ref502147725"/>
      <w:bookmarkStart w:id="360" w:name="_Toc502867744"/>
      <w:bookmarkStart w:id="361" w:name="_Toc29377268"/>
      <w:r>
        <w:t>Table 1.</w:t>
      </w:r>
      <w:r w:rsidR="00505D99">
        <w:rPr>
          <w:noProof/>
        </w:rPr>
        <w:t>22</w:t>
      </w:r>
      <w:bookmarkEnd w:id="358"/>
      <w:r w:rsidR="000B7685">
        <w:rPr>
          <w:noProof/>
        </w:rPr>
        <w:tab/>
      </w:r>
      <w:r w:rsidR="00DA0A26">
        <w:t>Clinical criteria and prescribing instructions common to all PAH items</w:t>
      </w:r>
      <w:bookmarkEnd w:id="359"/>
      <w:bookmarkEnd w:id="360"/>
      <w:bookmarkEnd w:id="361"/>
    </w:p>
    <w:tbl>
      <w:tblPr>
        <w:tblStyle w:val="TableGrid"/>
        <w:tblW w:w="5000" w:type="pct"/>
        <w:tblLook w:val="04A0" w:firstRow="1" w:lastRow="0" w:firstColumn="1" w:lastColumn="0" w:noHBand="0" w:noVBand="1"/>
        <w:tblCaption w:val="Clinical criteria and prescribing instructions common to all PAH items"/>
      </w:tblPr>
      <w:tblGrid>
        <w:gridCol w:w="7219"/>
        <w:gridCol w:w="7341"/>
      </w:tblGrid>
      <w:tr w:rsidR="00DA0A26" w:rsidRPr="00DF4B27" w14:paraId="342BA395" w14:textId="77777777" w:rsidTr="00027EEF">
        <w:trPr>
          <w:cnfStyle w:val="100000000000" w:firstRow="1" w:lastRow="0" w:firstColumn="0" w:lastColumn="0" w:oddVBand="0" w:evenVBand="0" w:oddHBand="0" w:evenHBand="0" w:firstRowFirstColumn="0" w:firstRowLastColumn="0" w:lastRowFirstColumn="0" w:lastRowLastColumn="0"/>
        </w:trPr>
        <w:tc>
          <w:tcPr>
            <w:tcW w:w="2479" w:type="pct"/>
            <w:shd w:val="clear" w:color="auto" w:fill="BFBFBF" w:themeFill="background1" w:themeFillShade="BF"/>
          </w:tcPr>
          <w:p w14:paraId="136BED5F" w14:textId="77777777" w:rsidR="00DA0A26" w:rsidRPr="00DF4B27" w:rsidRDefault="00DA0A26" w:rsidP="005077A8">
            <w:pPr>
              <w:spacing w:before="40" w:afterLines="40" w:after="96" w:line="240" w:lineRule="auto"/>
              <w:ind w:left="142" w:right="57"/>
              <w:rPr>
                <w:rFonts w:ascii="Arial" w:hAnsi="Arial" w:cs="Arial"/>
                <w:b/>
                <w:sz w:val="20"/>
                <w:szCs w:val="20"/>
              </w:rPr>
            </w:pPr>
            <w:r w:rsidRPr="00DF4B27">
              <w:rPr>
                <w:rFonts w:ascii="Arial" w:hAnsi="Arial" w:cs="Arial"/>
                <w:b/>
                <w:sz w:val="20"/>
                <w:szCs w:val="20"/>
              </w:rPr>
              <w:t>Current PBS Restriction</w:t>
            </w:r>
          </w:p>
        </w:tc>
        <w:tc>
          <w:tcPr>
            <w:tcW w:w="2521" w:type="pct"/>
            <w:shd w:val="clear" w:color="auto" w:fill="BFBFBF" w:themeFill="background1" w:themeFillShade="BF"/>
          </w:tcPr>
          <w:p w14:paraId="2E7E08FD" w14:textId="77777777" w:rsidR="00DA0A26" w:rsidRPr="00DF4B27" w:rsidRDefault="00DA0A26" w:rsidP="005077A8">
            <w:pPr>
              <w:spacing w:before="40" w:afterLines="40" w:after="96" w:line="240" w:lineRule="auto"/>
              <w:ind w:left="142" w:right="57"/>
              <w:rPr>
                <w:rFonts w:ascii="Arial" w:hAnsi="Arial" w:cs="Arial"/>
                <w:b/>
                <w:sz w:val="20"/>
                <w:szCs w:val="20"/>
              </w:rPr>
            </w:pPr>
            <w:r w:rsidRPr="00DF4B27">
              <w:rPr>
                <w:rFonts w:ascii="Arial" w:hAnsi="Arial" w:cs="Arial"/>
                <w:b/>
                <w:sz w:val="20"/>
                <w:szCs w:val="20"/>
              </w:rPr>
              <w:t>Comment</w:t>
            </w:r>
          </w:p>
        </w:tc>
      </w:tr>
      <w:tr w:rsidR="00DA0A26" w:rsidRPr="00DF4B27" w14:paraId="3C83A349" w14:textId="77777777" w:rsidTr="00027EEF">
        <w:tc>
          <w:tcPr>
            <w:tcW w:w="2479" w:type="pct"/>
            <w:tcBorders>
              <w:bottom w:val="nil"/>
            </w:tcBorders>
          </w:tcPr>
          <w:p w14:paraId="092F6486" w14:textId="77777777" w:rsidR="00DA0A26" w:rsidRPr="009B26C0" w:rsidRDefault="00DA0A26" w:rsidP="005077A8">
            <w:pPr>
              <w:spacing w:before="40" w:afterLines="40" w:after="96" w:line="240" w:lineRule="auto"/>
              <w:ind w:left="142" w:right="57"/>
              <w:rPr>
                <w:rFonts w:ascii="Arial" w:hAnsi="Arial" w:cs="Arial"/>
                <w:sz w:val="20"/>
                <w:szCs w:val="20"/>
                <w:u w:val="single"/>
              </w:rPr>
            </w:pPr>
            <w:r w:rsidRPr="009B26C0">
              <w:rPr>
                <w:rFonts w:ascii="Arial" w:hAnsi="Arial" w:cs="Arial"/>
                <w:sz w:val="20"/>
                <w:szCs w:val="20"/>
                <w:u w:val="single"/>
              </w:rPr>
              <w:t>Clinical criterion (‘initial 1’; ‘initial 2’; also ‘subsequent continuing’):</w:t>
            </w:r>
          </w:p>
          <w:p w14:paraId="7A30108A" w14:textId="77777777" w:rsidR="00DA0A26" w:rsidRPr="009B26C0" w:rsidRDefault="00DA0A26" w:rsidP="005077A8">
            <w:pPr>
              <w:spacing w:before="40" w:afterLines="40" w:after="96" w:line="240" w:lineRule="auto"/>
              <w:ind w:left="142" w:right="57"/>
              <w:rPr>
                <w:rFonts w:ascii="Arial" w:hAnsi="Arial" w:cs="Arial"/>
                <w:sz w:val="20"/>
                <w:szCs w:val="20"/>
              </w:rPr>
            </w:pPr>
            <w:r w:rsidRPr="009B26C0">
              <w:rPr>
                <w:rFonts w:ascii="Arial" w:hAnsi="Arial" w:cs="Arial"/>
                <w:sz w:val="20"/>
                <w:szCs w:val="20"/>
              </w:rPr>
              <w:t>Patient must have been assessed by a physician at a designated hospital</w:t>
            </w:r>
          </w:p>
          <w:p w14:paraId="20F77040" w14:textId="77777777" w:rsidR="00DA0A26" w:rsidRPr="009B26C0" w:rsidRDefault="00DA0A26" w:rsidP="005077A8">
            <w:pPr>
              <w:spacing w:before="40" w:afterLines="40" w:after="96" w:line="240" w:lineRule="auto"/>
              <w:ind w:left="142" w:right="57"/>
              <w:rPr>
                <w:rFonts w:ascii="Arial" w:hAnsi="Arial" w:cs="Arial"/>
                <w:sz w:val="20"/>
                <w:szCs w:val="20"/>
              </w:rPr>
            </w:pPr>
          </w:p>
          <w:p w14:paraId="4F9A134D" w14:textId="77777777" w:rsidR="00DA0A26" w:rsidRPr="009B26C0" w:rsidRDefault="00DA0A26" w:rsidP="005077A8">
            <w:pPr>
              <w:spacing w:before="40" w:afterLines="40" w:after="96" w:line="240" w:lineRule="auto"/>
              <w:ind w:left="142" w:right="57"/>
              <w:rPr>
                <w:rFonts w:ascii="Arial" w:hAnsi="Arial" w:cs="Arial"/>
                <w:sz w:val="20"/>
                <w:szCs w:val="20"/>
                <w:u w:val="single"/>
              </w:rPr>
            </w:pPr>
            <w:r w:rsidRPr="009B26C0">
              <w:rPr>
                <w:rFonts w:ascii="Arial" w:hAnsi="Arial" w:cs="Arial"/>
                <w:sz w:val="20"/>
                <w:szCs w:val="20"/>
                <w:u w:val="single"/>
              </w:rPr>
              <w:t>Clinical criterion (‘first continuing’):</w:t>
            </w:r>
          </w:p>
          <w:p w14:paraId="64E358D2" w14:textId="77777777" w:rsidR="00DA0A26" w:rsidRPr="009B26C0" w:rsidRDefault="00DA0A26" w:rsidP="005077A8">
            <w:pPr>
              <w:spacing w:before="40" w:afterLines="40" w:after="96" w:line="240" w:lineRule="auto"/>
              <w:ind w:left="142" w:right="57"/>
              <w:rPr>
                <w:rFonts w:ascii="Arial" w:hAnsi="Arial" w:cs="Arial"/>
                <w:sz w:val="20"/>
                <w:szCs w:val="20"/>
              </w:rPr>
            </w:pPr>
            <w:r w:rsidRPr="009B26C0">
              <w:rPr>
                <w:rFonts w:ascii="Arial" w:hAnsi="Arial" w:cs="Arial"/>
                <w:sz w:val="20"/>
                <w:szCs w:val="20"/>
              </w:rPr>
              <w:t>Patient must have been assessed by a physician from a designated hospital to have achieved a response to the PBS-subsidised initial course of treatment</w:t>
            </w:r>
          </w:p>
        </w:tc>
        <w:tc>
          <w:tcPr>
            <w:tcW w:w="2521" w:type="pct"/>
            <w:tcBorders>
              <w:bottom w:val="nil"/>
            </w:tcBorders>
          </w:tcPr>
          <w:p w14:paraId="00D3670E" w14:textId="77777777" w:rsidR="00DA0A26" w:rsidRPr="009B26C0" w:rsidRDefault="00DA0A26" w:rsidP="005077A8">
            <w:pPr>
              <w:spacing w:before="40" w:afterLines="40" w:after="96" w:line="240" w:lineRule="auto"/>
              <w:ind w:left="142" w:right="57"/>
              <w:rPr>
                <w:rFonts w:ascii="Arial" w:hAnsi="Arial" w:cs="Arial"/>
                <w:sz w:val="20"/>
                <w:szCs w:val="20"/>
              </w:rPr>
            </w:pPr>
            <w:r w:rsidRPr="009B26C0">
              <w:rPr>
                <w:rFonts w:ascii="Arial" w:hAnsi="Arial" w:cs="Arial"/>
                <w:sz w:val="20"/>
                <w:szCs w:val="20"/>
              </w:rPr>
              <w:t>Unlike some other s100 HSD complex authority required drugs, the prescriber specialties are not explicit. However, given s100 HSD items are ‘hospital only’ listings, this excludes general practitioners</w:t>
            </w:r>
            <w:r w:rsidR="00C6734D" w:rsidRPr="009B26C0">
              <w:rPr>
                <w:rFonts w:ascii="Arial" w:hAnsi="Arial" w:cs="Arial"/>
                <w:sz w:val="20"/>
                <w:szCs w:val="20"/>
              </w:rPr>
              <w:t xml:space="preserve">. </w:t>
            </w:r>
            <w:r w:rsidRPr="009B26C0">
              <w:rPr>
                <w:rFonts w:ascii="Arial" w:hAnsi="Arial" w:cs="Arial"/>
                <w:sz w:val="20"/>
                <w:szCs w:val="20"/>
              </w:rPr>
              <w:t xml:space="preserve">It </w:t>
            </w:r>
            <w:proofErr w:type="gramStart"/>
            <w:r w:rsidRPr="009B26C0">
              <w:rPr>
                <w:rFonts w:ascii="Arial" w:hAnsi="Arial" w:cs="Arial"/>
                <w:sz w:val="20"/>
                <w:szCs w:val="20"/>
              </w:rPr>
              <w:t>is expected</w:t>
            </w:r>
            <w:proofErr w:type="gramEnd"/>
            <w:r w:rsidRPr="009B26C0">
              <w:rPr>
                <w:rFonts w:ascii="Arial" w:hAnsi="Arial" w:cs="Arial"/>
                <w:sz w:val="20"/>
                <w:szCs w:val="20"/>
              </w:rPr>
              <w:t xml:space="preserve"> that respiratory physicians, cardiologists, some rheumatologists and a small number of paediatricians with expertise in heart conditions would need to be able to prescribe </w:t>
            </w:r>
            <w:r w:rsidR="00F95235" w:rsidRPr="009B26C0">
              <w:rPr>
                <w:rFonts w:ascii="Arial" w:hAnsi="Arial" w:cs="Arial"/>
                <w:sz w:val="20"/>
                <w:szCs w:val="20"/>
              </w:rPr>
              <w:t>PAH medicines</w:t>
            </w:r>
            <w:r w:rsidR="00C6734D" w:rsidRPr="009B26C0">
              <w:rPr>
                <w:rFonts w:ascii="Arial" w:hAnsi="Arial" w:cs="Arial"/>
                <w:sz w:val="20"/>
                <w:szCs w:val="20"/>
              </w:rPr>
              <w:t xml:space="preserve">. </w:t>
            </w:r>
          </w:p>
          <w:p w14:paraId="492533BD" w14:textId="77777777" w:rsidR="00DA0A26" w:rsidRPr="009B26C0" w:rsidRDefault="00EB3968" w:rsidP="005077A8">
            <w:pPr>
              <w:spacing w:before="40" w:afterLines="40" w:after="96" w:line="240" w:lineRule="auto"/>
              <w:ind w:left="142" w:right="57"/>
              <w:rPr>
                <w:rFonts w:ascii="Arial" w:hAnsi="Arial" w:cs="Arial"/>
                <w:sz w:val="20"/>
                <w:szCs w:val="20"/>
              </w:rPr>
            </w:pPr>
            <w:r w:rsidRPr="009B26C0">
              <w:rPr>
                <w:rFonts w:ascii="Arial" w:hAnsi="Arial" w:cs="Arial"/>
                <w:sz w:val="20"/>
                <w:szCs w:val="20"/>
              </w:rPr>
              <w:t>A comparison of these centres against guideline criteria for numbers of PAH patients per year was not possible as these data were not available</w:t>
            </w:r>
            <w:r w:rsidR="003C17FA" w:rsidRPr="009B26C0">
              <w:rPr>
                <w:rFonts w:ascii="Arial" w:hAnsi="Arial" w:cs="Arial"/>
                <w:sz w:val="20"/>
                <w:szCs w:val="20"/>
              </w:rPr>
              <w:t xml:space="preserve">. </w:t>
            </w:r>
          </w:p>
          <w:p w14:paraId="333EC795" w14:textId="77777777" w:rsidR="00DA0A26" w:rsidRPr="009B26C0" w:rsidRDefault="00DA0A26" w:rsidP="005077A8">
            <w:pPr>
              <w:spacing w:before="40" w:afterLines="40" w:after="96" w:line="240" w:lineRule="auto"/>
              <w:ind w:left="142" w:right="57"/>
              <w:rPr>
                <w:rFonts w:ascii="Arial" w:hAnsi="Arial" w:cs="Arial"/>
                <w:sz w:val="20"/>
                <w:szCs w:val="20"/>
              </w:rPr>
            </w:pPr>
            <w:r w:rsidRPr="009B26C0">
              <w:rPr>
                <w:rFonts w:ascii="Arial" w:hAnsi="Arial" w:cs="Arial"/>
                <w:sz w:val="20"/>
                <w:szCs w:val="20"/>
              </w:rPr>
              <w:t xml:space="preserve">Although not a clinical criterion for ‘initial </w:t>
            </w:r>
            <w:proofErr w:type="gramStart"/>
            <w:r w:rsidRPr="009B26C0">
              <w:rPr>
                <w:rFonts w:ascii="Arial" w:hAnsi="Arial" w:cs="Arial"/>
                <w:sz w:val="20"/>
                <w:szCs w:val="20"/>
              </w:rPr>
              <w:t>3’;</w:t>
            </w:r>
            <w:proofErr w:type="gramEnd"/>
            <w:r w:rsidRPr="009B26C0">
              <w:rPr>
                <w:rFonts w:ascii="Arial" w:hAnsi="Arial" w:cs="Arial"/>
                <w:sz w:val="20"/>
                <w:szCs w:val="20"/>
              </w:rPr>
              <w:t xml:space="preserve"> the definition of response required to previous therapy includes an assessment by a physician at a designated hospital.</w:t>
            </w:r>
          </w:p>
          <w:p w14:paraId="0A7B6FFB" w14:textId="77777777" w:rsidR="00DA0A26" w:rsidRPr="009B26C0" w:rsidRDefault="00DA0A26" w:rsidP="005077A8">
            <w:pPr>
              <w:spacing w:before="40" w:afterLines="40" w:after="96" w:line="240" w:lineRule="auto"/>
              <w:ind w:left="142" w:right="57"/>
              <w:rPr>
                <w:rFonts w:ascii="Arial" w:hAnsi="Arial" w:cs="Arial"/>
                <w:sz w:val="20"/>
                <w:szCs w:val="20"/>
              </w:rPr>
            </w:pPr>
            <w:r w:rsidRPr="009B26C0">
              <w:rPr>
                <w:rFonts w:ascii="Arial" w:hAnsi="Arial" w:cs="Arial"/>
                <w:sz w:val="20"/>
                <w:szCs w:val="20"/>
              </w:rPr>
              <w:t>(Appears in all restrictions except balance of supply)</w:t>
            </w:r>
          </w:p>
        </w:tc>
      </w:tr>
      <w:tr w:rsidR="00DA0A26" w:rsidRPr="00DF4B27" w14:paraId="4B4945EE" w14:textId="77777777" w:rsidTr="00027EEF">
        <w:tc>
          <w:tcPr>
            <w:tcW w:w="2479" w:type="pct"/>
            <w:tcBorders>
              <w:top w:val="nil"/>
              <w:bottom w:val="single" w:sz="4" w:space="0" w:color="auto"/>
            </w:tcBorders>
          </w:tcPr>
          <w:p w14:paraId="211BFCB7" w14:textId="77777777" w:rsidR="00DA0A26" w:rsidRPr="009B26C0" w:rsidRDefault="00DA0A26" w:rsidP="005077A8">
            <w:pPr>
              <w:spacing w:before="40" w:afterLines="40" w:after="96" w:line="240" w:lineRule="auto"/>
              <w:ind w:left="142" w:right="57"/>
              <w:rPr>
                <w:rFonts w:ascii="Arial" w:hAnsi="Arial" w:cs="Arial"/>
                <w:sz w:val="20"/>
                <w:szCs w:val="20"/>
                <w:u w:val="single"/>
              </w:rPr>
            </w:pPr>
            <w:r w:rsidRPr="009B26C0">
              <w:rPr>
                <w:rFonts w:ascii="Arial" w:hAnsi="Arial" w:cs="Arial"/>
                <w:sz w:val="20"/>
                <w:szCs w:val="20"/>
                <w:u w:val="single"/>
              </w:rPr>
              <w:t>Note:</w:t>
            </w:r>
          </w:p>
          <w:p w14:paraId="49BAC01D" w14:textId="77777777" w:rsidR="00DA0A26" w:rsidRPr="009B26C0" w:rsidRDefault="00DA0A26" w:rsidP="005077A8">
            <w:pPr>
              <w:spacing w:before="40" w:afterLines="40" w:after="96" w:line="240" w:lineRule="auto"/>
              <w:ind w:left="142" w:right="57"/>
              <w:rPr>
                <w:rFonts w:ascii="Arial" w:hAnsi="Arial" w:cs="Arial"/>
                <w:sz w:val="20"/>
                <w:szCs w:val="20"/>
              </w:rPr>
            </w:pPr>
            <w:r w:rsidRPr="009B26C0">
              <w:rPr>
                <w:rFonts w:ascii="Arial" w:hAnsi="Arial" w:cs="Arial"/>
                <w:sz w:val="20"/>
                <w:szCs w:val="20"/>
              </w:rPr>
              <w:t xml:space="preserve">Refer to the Department of Human Services website at www.humanservices.gov.au for a list of designated hospitals. </w:t>
            </w:r>
          </w:p>
        </w:tc>
        <w:tc>
          <w:tcPr>
            <w:tcW w:w="2521" w:type="pct"/>
            <w:tcBorders>
              <w:top w:val="nil"/>
              <w:bottom w:val="single" w:sz="4" w:space="0" w:color="auto"/>
            </w:tcBorders>
          </w:tcPr>
          <w:p w14:paraId="1C68E4E4" w14:textId="77777777" w:rsidR="00DA0A26" w:rsidRPr="009B26C0" w:rsidRDefault="00DA0A26" w:rsidP="005077A8">
            <w:pPr>
              <w:spacing w:before="40" w:afterLines="40" w:after="96" w:line="240" w:lineRule="auto"/>
              <w:ind w:left="142" w:right="57"/>
              <w:rPr>
                <w:rFonts w:ascii="Arial" w:hAnsi="Arial" w:cs="Arial"/>
                <w:sz w:val="20"/>
                <w:szCs w:val="20"/>
              </w:rPr>
            </w:pPr>
            <w:r w:rsidRPr="00F4698B">
              <w:rPr>
                <w:rFonts w:ascii="Arial" w:hAnsi="Arial" w:cs="Arial"/>
                <w:sz w:val="20"/>
                <w:szCs w:val="20"/>
              </w:rPr>
              <w:t>https://www.humanservices.gov.au/organisations/health-professionals/enablers/pulmonary-arterial-hypertension-designated-centres</w:t>
            </w:r>
            <w:r w:rsidRPr="009B26C0">
              <w:rPr>
                <w:rFonts w:ascii="Arial" w:hAnsi="Arial" w:cs="Arial"/>
                <w:sz w:val="20"/>
                <w:szCs w:val="20"/>
              </w:rPr>
              <w:t xml:space="preserve"> </w:t>
            </w:r>
          </w:p>
          <w:p w14:paraId="7F21B5D2" w14:textId="77777777" w:rsidR="00DA0A26" w:rsidRPr="009B26C0" w:rsidRDefault="00DA0A26" w:rsidP="005077A8">
            <w:pPr>
              <w:spacing w:before="40" w:afterLines="40" w:after="96" w:line="240" w:lineRule="auto"/>
              <w:ind w:left="142" w:right="57"/>
              <w:rPr>
                <w:rFonts w:ascii="Arial" w:hAnsi="Arial" w:cs="Arial"/>
                <w:sz w:val="20"/>
                <w:szCs w:val="20"/>
              </w:rPr>
            </w:pPr>
            <w:r w:rsidRPr="009B26C0">
              <w:rPr>
                <w:rFonts w:ascii="Arial" w:hAnsi="Arial" w:cs="Arial"/>
                <w:sz w:val="20"/>
                <w:szCs w:val="20"/>
              </w:rPr>
              <w:t>(Appears in all restrictions except balance of supply)</w:t>
            </w:r>
          </w:p>
        </w:tc>
      </w:tr>
      <w:tr w:rsidR="00DA0A26" w:rsidRPr="00DF4B27" w14:paraId="1B95E806" w14:textId="77777777" w:rsidTr="00027EEF">
        <w:tc>
          <w:tcPr>
            <w:tcW w:w="2479" w:type="pct"/>
          </w:tcPr>
          <w:p w14:paraId="550C930D" w14:textId="77777777" w:rsidR="00DA0A26" w:rsidRPr="009B26C0" w:rsidRDefault="00DA0A26" w:rsidP="005077A8">
            <w:pPr>
              <w:spacing w:before="40" w:afterLines="40" w:after="96" w:line="240" w:lineRule="auto"/>
              <w:ind w:left="142" w:right="57"/>
              <w:rPr>
                <w:rFonts w:ascii="Arial" w:hAnsi="Arial" w:cs="Arial"/>
                <w:sz w:val="20"/>
                <w:szCs w:val="20"/>
                <w:u w:val="single"/>
              </w:rPr>
            </w:pPr>
            <w:r w:rsidRPr="009B26C0">
              <w:rPr>
                <w:rFonts w:ascii="Arial" w:hAnsi="Arial" w:cs="Arial"/>
                <w:sz w:val="20"/>
                <w:szCs w:val="20"/>
                <w:u w:val="single"/>
              </w:rPr>
              <w:t>Clinical criterion (all restrictions):</w:t>
            </w:r>
          </w:p>
          <w:p w14:paraId="5E724086" w14:textId="77777777" w:rsidR="00DA0A26" w:rsidRPr="009B26C0" w:rsidRDefault="00DA0A26" w:rsidP="005077A8">
            <w:pPr>
              <w:spacing w:before="40" w:afterLines="40" w:after="96" w:line="240" w:lineRule="auto"/>
              <w:ind w:left="142" w:right="57"/>
              <w:rPr>
                <w:rFonts w:ascii="Arial" w:hAnsi="Arial" w:cs="Arial"/>
                <w:sz w:val="20"/>
                <w:szCs w:val="20"/>
              </w:rPr>
            </w:pPr>
            <w:r w:rsidRPr="009B26C0">
              <w:rPr>
                <w:rFonts w:ascii="Arial" w:hAnsi="Arial" w:cs="Arial"/>
                <w:sz w:val="20"/>
                <w:szCs w:val="20"/>
              </w:rPr>
              <w:t>The treatment must be the sole PBS-subsidised PAH agent for this condition</w:t>
            </w:r>
            <w:r w:rsidR="00582AF0">
              <w:rPr>
                <w:rFonts w:ascii="Arial" w:hAnsi="Arial" w:cs="Arial"/>
                <w:sz w:val="20"/>
                <w:szCs w:val="20"/>
              </w:rPr>
              <w:t>.</w:t>
            </w:r>
          </w:p>
        </w:tc>
        <w:tc>
          <w:tcPr>
            <w:tcW w:w="2521" w:type="pct"/>
          </w:tcPr>
          <w:p w14:paraId="6022369C" w14:textId="77777777" w:rsidR="00DA0A26" w:rsidRPr="009B26C0" w:rsidRDefault="0022783C" w:rsidP="005077A8">
            <w:pPr>
              <w:spacing w:before="40" w:afterLines="40" w:after="96" w:line="240" w:lineRule="auto"/>
              <w:ind w:left="142" w:right="57"/>
              <w:rPr>
                <w:rFonts w:ascii="Arial" w:hAnsi="Arial" w:cs="Arial"/>
                <w:sz w:val="20"/>
                <w:szCs w:val="20"/>
              </w:rPr>
            </w:pPr>
            <w:r w:rsidRPr="009B26C0">
              <w:rPr>
                <w:rFonts w:ascii="Arial" w:hAnsi="Arial" w:cs="Arial"/>
                <w:sz w:val="20"/>
                <w:szCs w:val="20"/>
              </w:rPr>
              <w:t>Discussed in main body.</w:t>
            </w:r>
          </w:p>
        </w:tc>
      </w:tr>
      <w:tr w:rsidR="00DA0A26" w:rsidRPr="00DF4B27" w14:paraId="65B4EC07" w14:textId="77777777" w:rsidTr="00027EEF">
        <w:tc>
          <w:tcPr>
            <w:tcW w:w="2479" w:type="pct"/>
          </w:tcPr>
          <w:p w14:paraId="60F2F07D" w14:textId="77777777" w:rsidR="00DA0A26" w:rsidRPr="009B26C0" w:rsidRDefault="00DA0A26" w:rsidP="00582AF0">
            <w:pPr>
              <w:spacing w:before="40" w:line="240" w:lineRule="auto"/>
              <w:ind w:left="142" w:right="57"/>
              <w:rPr>
                <w:rFonts w:ascii="Arial" w:hAnsi="Arial" w:cs="Arial"/>
                <w:sz w:val="20"/>
                <w:szCs w:val="20"/>
                <w:u w:val="single"/>
              </w:rPr>
            </w:pPr>
            <w:r w:rsidRPr="009B26C0">
              <w:rPr>
                <w:rFonts w:ascii="Arial" w:hAnsi="Arial" w:cs="Arial"/>
                <w:sz w:val="20"/>
                <w:szCs w:val="20"/>
                <w:u w:val="single"/>
              </w:rPr>
              <w:t>Prescribing instruction:</w:t>
            </w:r>
          </w:p>
          <w:p w14:paraId="6300E218" w14:textId="77777777" w:rsidR="00DA0A26" w:rsidRPr="009B26C0" w:rsidRDefault="00DA0A26" w:rsidP="005077A8">
            <w:pPr>
              <w:spacing w:before="40" w:afterLines="40" w:after="96" w:line="240" w:lineRule="auto"/>
              <w:ind w:left="142" w:right="57"/>
              <w:rPr>
                <w:rFonts w:ascii="Arial" w:hAnsi="Arial" w:cs="Arial"/>
                <w:sz w:val="20"/>
                <w:szCs w:val="20"/>
              </w:rPr>
            </w:pPr>
            <w:r w:rsidRPr="009B26C0">
              <w:rPr>
                <w:rFonts w:ascii="Arial" w:hAnsi="Arial" w:cs="Arial"/>
                <w:sz w:val="20"/>
                <w:szCs w:val="20"/>
              </w:rPr>
              <w:t xml:space="preserve">The term 'PAH agents' refers to bosentan monohydrate, iloprost trometamol, epoprostenol sodium, sildenafil citrate, ambrisentan, tadalafil, macitentan, and riociguat. </w:t>
            </w:r>
          </w:p>
        </w:tc>
        <w:tc>
          <w:tcPr>
            <w:tcW w:w="2521" w:type="pct"/>
          </w:tcPr>
          <w:p w14:paraId="33EEA822" w14:textId="77777777" w:rsidR="00DA0A26" w:rsidRPr="009B26C0" w:rsidRDefault="00DA0A26" w:rsidP="005077A8">
            <w:pPr>
              <w:spacing w:before="40" w:afterLines="40" w:after="96" w:line="240" w:lineRule="auto"/>
              <w:ind w:left="142" w:right="57"/>
              <w:rPr>
                <w:rFonts w:ascii="Arial" w:hAnsi="Arial" w:cs="Arial"/>
                <w:sz w:val="20"/>
                <w:szCs w:val="20"/>
              </w:rPr>
            </w:pPr>
            <w:r w:rsidRPr="009B26C0">
              <w:rPr>
                <w:rFonts w:ascii="Arial" w:hAnsi="Arial" w:cs="Arial"/>
                <w:sz w:val="20"/>
                <w:szCs w:val="20"/>
              </w:rPr>
              <w:t xml:space="preserve">This is a list of all drugs listed on the PBS for PAH – this did not include riociguat when it </w:t>
            </w:r>
            <w:proofErr w:type="gramStart"/>
            <w:r w:rsidRPr="009B26C0">
              <w:rPr>
                <w:rFonts w:ascii="Arial" w:hAnsi="Arial" w:cs="Arial"/>
                <w:sz w:val="20"/>
                <w:szCs w:val="20"/>
              </w:rPr>
              <w:t>was only listed</w:t>
            </w:r>
            <w:proofErr w:type="gramEnd"/>
            <w:r w:rsidRPr="009B26C0">
              <w:rPr>
                <w:rFonts w:ascii="Arial" w:hAnsi="Arial" w:cs="Arial"/>
                <w:sz w:val="20"/>
                <w:szCs w:val="20"/>
              </w:rPr>
              <w:t xml:space="preserve"> for chronic thromboembolic pulmonary hypertension (CTEPH)</w:t>
            </w:r>
            <w:r w:rsidR="00C6734D" w:rsidRPr="009B26C0">
              <w:rPr>
                <w:rFonts w:ascii="Arial" w:hAnsi="Arial" w:cs="Arial"/>
                <w:sz w:val="20"/>
                <w:szCs w:val="20"/>
              </w:rPr>
              <w:t xml:space="preserve">. </w:t>
            </w:r>
            <w:r w:rsidRPr="009B26C0">
              <w:rPr>
                <w:rFonts w:ascii="Arial" w:hAnsi="Arial" w:cs="Arial"/>
                <w:sz w:val="20"/>
                <w:szCs w:val="20"/>
              </w:rPr>
              <w:t>(Appears in all restrictions except balance of supply)</w:t>
            </w:r>
            <w:r w:rsidR="00582AF0">
              <w:rPr>
                <w:rFonts w:ascii="Arial" w:hAnsi="Arial" w:cs="Arial"/>
                <w:sz w:val="20"/>
                <w:szCs w:val="20"/>
              </w:rPr>
              <w:t>.</w:t>
            </w:r>
          </w:p>
        </w:tc>
      </w:tr>
      <w:tr w:rsidR="00DA0A26" w:rsidRPr="00DF4B27" w14:paraId="0B9F46F8" w14:textId="77777777" w:rsidTr="00027EEF">
        <w:tc>
          <w:tcPr>
            <w:tcW w:w="2479" w:type="pct"/>
          </w:tcPr>
          <w:p w14:paraId="68CFB3EA" w14:textId="77777777" w:rsidR="00DA0A26" w:rsidRPr="009B26C0" w:rsidRDefault="00DA0A26" w:rsidP="00582AF0">
            <w:pPr>
              <w:spacing w:before="40" w:line="240" w:lineRule="auto"/>
              <w:ind w:left="142" w:right="57"/>
              <w:rPr>
                <w:rFonts w:ascii="Arial" w:hAnsi="Arial" w:cs="Arial"/>
                <w:sz w:val="20"/>
                <w:szCs w:val="20"/>
                <w:u w:val="single"/>
              </w:rPr>
            </w:pPr>
            <w:r w:rsidRPr="009B26C0">
              <w:rPr>
                <w:rFonts w:ascii="Arial" w:hAnsi="Arial" w:cs="Arial"/>
                <w:sz w:val="20"/>
                <w:szCs w:val="20"/>
                <w:u w:val="single"/>
              </w:rPr>
              <w:t>Prescribing Instruction:</w:t>
            </w:r>
          </w:p>
          <w:p w14:paraId="0335FD04" w14:textId="77777777" w:rsidR="00DA0A26" w:rsidRPr="009B26C0" w:rsidRDefault="00DA0A26" w:rsidP="005077A8">
            <w:pPr>
              <w:spacing w:before="40" w:afterLines="40" w:after="96" w:line="240" w:lineRule="auto"/>
              <w:ind w:left="142" w:right="57"/>
              <w:rPr>
                <w:rFonts w:ascii="Arial" w:hAnsi="Arial" w:cs="Arial"/>
                <w:sz w:val="20"/>
                <w:szCs w:val="20"/>
              </w:rPr>
            </w:pPr>
            <w:r w:rsidRPr="009B26C0">
              <w:rPr>
                <w:rFonts w:ascii="Arial" w:hAnsi="Arial" w:cs="Arial"/>
                <w:sz w:val="20"/>
                <w:szCs w:val="20"/>
              </w:rPr>
              <w:t>PAH agents are not PBS-subsidised for patients with pulmonary hypertension secondary to interstitial lung disease associated with connective tissue disease, where the total lung capacity is less than 70% of predicted.</w:t>
            </w:r>
          </w:p>
        </w:tc>
        <w:tc>
          <w:tcPr>
            <w:tcW w:w="2521" w:type="pct"/>
          </w:tcPr>
          <w:p w14:paraId="4938303C" w14:textId="77777777" w:rsidR="00DA0A26" w:rsidRPr="009B26C0" w:rsidRDefault="00EB3968" w:rsidP="005077A8">
            <w:pPr>
              <w:spacing w:before="40" w:afterLines="40" w:after="96" w:line="240" w:lineRule="auto"/>
              <w:ind w:left="142" w:right="57"/>
              <w:rPr>
                <w:rFonts w:ascii="Arial" w:hAnsi="Arial" w:cs="Arial"/>
                <w:sz w:val="20"/>
                <w:szCs w:val="20"/>
              </w:rPr>
            </w:pPr>
            <w:r w:rsidRPr="009B26C0">
              <w:rPr>
                <w:rFonts w:ascii="Arial" w:hAnsi="Arial" w:cs="Arial"/>
                <w:sz w:val="20"/>
                <w:szCs w:val="20"/>
              </w:rPr>
              <w:t>T</w:t>
            </w:r>
            <w:r w:rsidR="00DA0A26" w:rsidRPr="009B26C0">
              <w:rPr>
                <w:rFonts w:ascii="Arial" w:hAnsi="Arial" w:cs="Arial"/>
                <w:sz w:val="20"/>
                <w:szCs w:val="20"/>
              </w:rPr>
              <w:t>his instruction appears in all restricti</w:t>
            </w:r>
            <w:r w:rsidR="00BA09E3" w:rsidRPr="009B26C0">
              <w:rPr>
                <w:rFonts w:ascii="Arial" w:hAnsi="Arial" w:cs="Arial"/>
                <w:sz w:val="20"/>
                <w:szCs w:val="20"/>
              </w:rPr>
              <w:t xml:space="preserve">ons, in all PAH items. </w:t>
            </w:r>
            <w:r w:rsidR="0022783C" w:rsidRPr="009B26C0">
              <w:rPr>
                <w:rFonts w:ascii="Arial" w:hAnsi="Arial" w:cs="Arial"/>
                <w:sz w:val="20"/>
                <w:szCs w:val="20"/>
              </w:rPr>
              <w:t>Discussed in main body</w:t>
            </w:r>
            <w:r w:rsidR="003C17FA" w:rsidRPr="009B26C0">
              <w:rPr>
                <w:rFonts w:ascii="Arial" w:hAnsi="Arial" w:cs="Arial"/>
                <w:sz w:val="20"/>
                <w:szCs w:val="20"/>
              </w:rPr>
              <w:t xml:space="preserve">. </w:t>
            </w:r>
          </w:p>
        </w:tc>
      </w:tr>
    </w:tbl>
    <w:p w14:paraId="7872420D" w14:textId="77777777" w:rsidR="00DA0A26" w:rsidRPr="009B26C0" w:rsidRDefault="00DA0A26" w:rsidP="00E32FE7">
      <w:pPr>
        <w:pStyle w:val="Tablenote"/>
        <w:spacing w:before="40" w:afterLines="40" w:after="96"/>
        <w:rPr>
          <w:rFonts w:ascii="Arial" w:hAnsi="Arial" w:cs="Arial"/>
        </w:rPr>
      </w:pPr>
      <w:r w:rsidRPr="009B26C0">
        <w:rPr>
          <w:rFonts w:ascii="Arial" w:hAnsi="Arial" w:cs="Arial"/>
        </w:rPr>
        <w:t xml:space="preserve">Source: </w:t>
      </w:r>
      <w:r w:rsidRPr="00F4698B">
        <w:rPr>
          <w:rFonts w:ascii="Arial" w:hAnsi="Arial" w:cs="Arial"/>
        </w:rPr>
        <w:t>www.pbs.gov.au</w:t>
      </w:r>
      <w:r w:rsidRPr="009B26C0">
        <w:br w:type="page"/>
      </w:r>
    </w:p>
    <w:p w14:paraId="525CE222" w14:textId="77777777" w:rsidR="00DA0A26" w:rsidRDefault="00F275ED" w:rsidP="00604AFE">
      <w:pPr>
        <w:pStyle w:val="Caption"/>
        <w:ind w:left="0" w:firstLine="0"/>
        <w:jc w:val="left"/>
      </w:pPr>
      <w:bookmarkStart w:id="362" w:name="_Ref508899785"/>
      <w:bookmarkStart w:id="363" w:name="_Ref502147728"/>
      <w:bookmarkStart w:id="364" w:name="_Toc502867745"/>
      <w:bookmarkStart w:id="365" w:name="_Toc29377269"/>
      <w:r>
        <w:lastRenderedPageBreak/>
        <w:t>Table 1.</w:t>
      </w:r>
      <w:r w:rsidR="00505D99">
        <w:rPr>
          <w:noProof/>
        </w:rPr>
        <w:t>23</w:t>
      </w:r>
      <w:bookmarkEnd w:id="362"/>
      <w:r w:rsidR="000B7685">
        <w:tab/>
      </w:r>
      <w:proofErr w:type="gramStart"/>
      <w:r w:rsidR="00DA0A26">
        <w:t>PAH</w:t>
      </w:r>
      <w:proofErr w:type="gramEnd"/>
      <w:r w:rsidR="00DA0A26">
        <w:t xml:space="preserve"> initial trea</w:t>
      </w:r>
      <w:r w:rsidR="00562100">
        <w:t>tment</w:t>
      </w:r>
      <w:r w:rsidR="00DA0A26">
        <w:t>: clinical criteria and prescribing instructions</w:t>
      </w:r>
      <w:bookmarkEnd w:id="363"/>
      <w:bookmarkEnd w:id="364"/>
      <w:bookmarkEnd w:id="365"/>
    </w:p>
    <w:tbl>
      <w:tblPr>
        <w:tblStyle w:val="TableGrid"/>
        <w:tblW w:w="0" w:type="auto"/>
        <w:tblLook w:val="04A0" w:firstRow="1" w:lastRow="0" w:firstColumn="1" w:lastColumn="0" w:noHBand="0" w:noVBand="1"/>
        <w:tblCaption w:val="PAH initial treatment: clinical criteria and prescribing instructions"/>
      </w:tblPr>
      <w:tblGrid>
        <w:gridCol w:w="7932"/>
        <w:gridCol w:w="6628"/>
      </w:tblGrid>
      <w:tr w:rsidR="00DA0A26" w:rsidRPr="00604AFE" w14:paraId="01C750ED" w14:textId="77777777" w:rsidTr="00CD2967">
        <w:trPr>
          <w:cnfStyle w:val="100000000000" w:firstRow="1" w:lastRow="0" w:firstColumn="0" w:lastColumn="0" w:oddVBand="0" w:evenVBand="0" w:oddHBand="0" w:evenHBand="0" w:firstRowFirstColumn="0" w:firstRowLastColumn="0" w:lastRowFirstColumn="0" w:lastRowLastColumn="0"/>
        </w:trPr>
        <w:tc>
          <w:tcPr>
            <w:tcW w:w="7943" w:type="dxa"/>
            <w:shd w:val="clear" w:color="auto" w:fill="BFBFBF" w:themeFill="background1" w:themeFillShade="BF"/>
          </w:tcPr>
          <w:p w14:paraId="505C2477" w14:textId="77777777" w:rsidR="00DA0A26" w:rsidRPr="00604AFE" w:rsidRDefault="00DA0A26" w:rsidP="00604AFE">
            <w:pPr>
              <w:spacing w:beforeLines="40" w:before="96" w:afterLines="40" w:after="96" w:line="240" w:lineRule="auto"/>
              <w:ind w:left="142" w:right="57"/>
              <w:rPr>
                <w:rFonts w:ascii="Arial" w:hAnsi="Arial" w:cs="Arial"/>
                <w:b/>
                <w:sz w:val="20"/>
                <w:szCs w:val="20"/>
              </w:rPr>
            </w:pPr>
            <w:r w:rsidRPr="00604AFE">
              <w:rPr>
                <w:rFonts w:ascii="Arial" w:hAnsi="Arial" w:cs="Arial"/>
                <w:b/>
                <w:sz w:val="20"/>
                <w:szCs w:val="20"/>
              </w:rPr>
              <w:t>Current PBS Restriction</w:t>
            </w:r>
          </w:p>
        </w:tc>
        <w:tc>
          <w:tcPr>
            <w:tcW w:w="6637" w:type="dxa"/>
            <w:shd w:val="clear" w:color="auto" w:fill="BFBFBF" w:themeFill="background1" w:themeFillShade="BF"/>
          </w:tcPr>
          <w:p w14:paraId="79EFDB91" w14:textId="77777777" w:rsidR="00DA0A26" w:rsidRPr="00604AFE" w:rsidRDefault="00DA0A26" w:rsidP="00604AFE">
            <w:pPr>
              <w:spacing w:beforeLines="40" w:before="96" w:afterLines="40" w:after="96" w:line="240" w:lineRule="auto"/>
              <w:ind w:left="142" w:right="57"/>
              <w:rPr>
                <w:rFonts w:ascii="Arial" w:hAnsi="Arial" w:cs="Arial"/>
                <w:b/>
                <w:sz w:val="20"/>
                <w:szCs w:val="20"/>
              </w:rPr>
            </w:pPr>
            <w:r w:rsidRPr="00604AFE">
              <w:rPr>
                <w:rFonts w:ascii="Arial" w:hAnsi="Arial" w:cs="Arial"/>
                <w:b/>
                <w:sz w:val="20"/>
                <w:szCs w:val="20"/>
              </w:rPr>
              <w:t>Comment</w:t>
            </w:r>
          </w:p>
        </w:tc>
      </w:tr>
      <w:tr w:rsidR="00DA0A26" w:rsidRPr="00604AFE" w14:paraId="7D2F0392" w14:textId="77777777" w:rsidTr="00CD2967">
        <w:tc>
          <w:tcPr>
            <w:tcW w:w="7943" w:type="dxa"/>
          </w:tcPr>
          <w:p w14:paraId="56784254"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t>Clinical criterion (‘initial 1’ and ‘initial 2’):</w:t>
            </w:r>
          </w:p>
          <w:p w14:paraId="5E956D21"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Patient must not have received prior PBS-subsidised treatment with a pulmonary arterial hypertension (PAH) agent</w:t>
            </w:r>
          </w:p>
        </w:tc>
        <w:tc>
          <w:tcPr>
            <w:tcW w:w="6637" w:type="dxa"/>
          </w:tcPr>
          <w:p w14:paraId="258868F3"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It is not clear which treatment circumstance is applicable for patients having failed the first PAH agent that need to switch to a different drug</w:t>
            </w:r>
            <w:r w:rsidR="00C6734D" w:rsidRPr="00604AFE">
              <w:rPr>
                <w:rFonts w:ascii="Arial" w:hAnsi="Arial" w:cs="Arial"/>
                <w:sz w:val="20"/>
                <w:szCs w:val="20"/>
              </w:rPr>
              <w:t xml:space="preserve">. </w:t>
            </w:r>
          </w:p>
        </w:tc>
      </w:tr>
      <w:tr w:rsidR="00DA0A26" w:rsidRPr="00604AFE" w14:paraId="30BD5D20" w14:textId="77777777" w:rsidTr="00CD2967">
        <w:tc>
          <w:tcPr>
            <w:tcW w:w="7943" w:type="dxa"/>
          </w:tcPr>
          <w:p w14:paraId="0FA8FB51"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t>Clinical criterion (‘initial 1’ and ‘initial 2’):</w:t>
            </w:r>
          </w:p>
          <w:p w14:paraId="60BE0EE4" w14:textId="77777777" w:rsidR="00DA0A26" w:rsidRPr="00604AFE" w:rsidRDefault="00DA0A26" w:rsidP="00604AFE">
            <w:pPr>
              <w:spacing w:beforeLines="40" w:before="96" w:afterLines="40" w:after="96" w:line="240" w:lineRule="auto"/>
              <w:ind w:left="142" w:right="57"/>
              <w:rPr>
                <w:rFonts w:ascii="Arial" w:hAnsi="Arial" w:cs="Arial"/>
                <w:i/>
                <w:sz w:val="20"/>
                <w:szCs w:val="20"/>
              </w:rPr>
            </w:pPr>
            <w:r w:rsidRPr="00604AFE">
              <w:rPr>
                <w:rFonts w:ascii="Arial" w:hAnsi="Arial" w:cs="Arial"/>
                <w:i/>
                <w:sz w:val="20"/>
                <w:szCs w:val="20"/>
              </w:rPr>
              <w:t>WHO Functional Class + PAH types – this criterion varies between PAH agents and individual restrictions.</w:t>
            </w:r>
          </w:p>
        </w:tc>
        <w:tc>
          <w:tcPr>
            <w:tcW w:w="6637" w:type="dxa"/>
          </w:tcPr>
          <w:p w14:paraId="764E3111"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Terminology should reflect the most r</w:t>
            </w:r>
            <w:r w:rsidR="00BB276C" w:rsidRPr="00604AFE">
              <w:rPr>
                <w:rFonts w:ascii="Arial" w:hAnsi="Arial" w:cs="Arial"/>
                <w:sz w:val="20"/>
                <w:szCs w:val="20"/>
              </w:rPr>
              <w:t>ecent WHO classification – discussed in main text.</w:t>
            </w:r>
          </w:p>
        </w:tc>
      </w:tr>
      <w:tr w:rsidR="00DA0A26" w:rsidRPr="00604AFE" w14:paraId="3D817BB0" w14:textId="77777777" w:rsidTr="00CD2967">
        <w:tc>
          <w:tcPr>
            <w:tcW w:w="7943" w:type="dxa"/>
          </w:tcPr>
          <w:p w14:paraId="6BAA6984" w14:textId="77777777" w:rsidR="00DA0A26" w:rsidRPr="00FC25C7" w:rsidRDefault="00DA0A26" w:rsidP="00604AFE">
            <w:pPr>
              <w:spacing w:beforeLines="40" w:before="96" w:afterLines="40" w:after="96" w:line="240" w:lineRule="auto"/>
              <w:ind w:left="142" w:right="57"/>
              <w:rPr>
                <w:rFonts w:ascii="Arial" w:hAnsi="Arial" w:cs="Arial"/>
                <w:sz w:val="20"/>
                <w:szCs w:val="20"/>
                <w:u w:val="single"/>
              </w:rPr>
            </w:pPr>
            <w:r w:rsidRPr="00FC25C7">
              <w:rPr>
                <w:rFonts w:ascii="Arial" w:hAnsi="Arial" w:cs="Arial"/>
                <w:sz w:val="20"/>
                <w:szCs w:val="20"/>
                <w:u w:val="single"/>
              </w:rPr>
              <w:t>Clinical criterion (‘initial 1’):</w:t>
            </w:r>
          </w:p>
          <w:p w14:paraId="039EE571" w14:textId="77777777" w:rsidR="00DA0A26" w:rsidRPr="00FC25C7" w:rsidRDefault="00DA0A26"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Patient must have a mean right atrial pressure of 8 mmHg or less as measured by right heart catheterisation (RHC); OR</w:t>
            </w:r>
          </w:p>
          <w:p w14:paraId="01D4D687" w14:textId="77777777" w:rsidR="00DA0A26" w:rsidRPr="00FC25C7" w:rsidRDefault="00DA0A26"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Patient must have right ventricular function assessed by echocardiography (ECHO) where a RHC cannot be performed on clinical grounds</w:t>
            </w:r>
          </w:p>
          <w:p w14:paraId="5D36AE8A" w14:textId="77777777" w:rsidR="00DA0A26" w:rsidRPr="00FC25C7" w:rsidRDefault="00DA0A26" w:rsidP="00604AFE">
            <w:pPr>
              <w:spacing w:beforeLines="40" w:before="96" w:afterLines="40" w:after="96" w:line="240" w:lineRule="auto"/>
              <w:ind w:left="142" w:right="57"/>
              <w:rPr>
                <w:rFonts w:ascii="Arial" w:hAnsi="Arial" w:cs="Arial"/>
                <w:sz w:val="20"/>
                <w:szCs w:val="20"/>
                <w:u w:val="single"/>
              </w:rPr>
            </w:pPr>
            <w:r w:rsidRPr="00FC25C7">
              <w:rPr>
                <w:rFonts w:ascii="Arial" w:hAnsi="Arial" w:cs="Arial"/>
                <w:sz w:val="20"/>
                <w:szCs w:val="20"/>
                <w:u w:val="single"/>
              </w:rPr>
              <w:t>Clinical criterion (‘initial 2’):</w:t>
            </w:r>
          </w:p>
          <w:p w14:paraId="15D2D880" w14:textId="77777777" w:rsidR="00DA0A26" w:rsidRPr="00FC25C7" w:rsidRDefault="00DA0A26"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Patient must have WHO Functional Class III [PAH sub-type] and a mean right atrial pressure of greater than 8 mmHg, as measured by right heart catheterisation (RHC); OR</w:t>
            </w:r>
          </w:p>
          <w:p w14:paraId="54C87459" w14:textId="77777777" w:rsidR="00DA0A26" w:rsidRPr="00FC25C7" w:rsidRDefault="00DA0A26"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Patient must have WHO Functional Class III [PAH sub-type] with right ventricular function assessed by echocardiography (ECHO) where a RHC cannot be performed on clinical grounds; OR</w:t>
            </w:r>
          </w:p>
          <w:p w14:paraId="29246FF9" w14:textId="77777777" w:rsidR="00DA0A26" w:rsidRPr="00FC25C7" w:rsidRDefault="00DA0A26"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Patient must have WHO Functional Class IV [PAH sub-type, including</w:t>
            </w:r>
            <w:r w:rsidR="0003499D" w:rsidRPr="00FC25C7">
              <w:rPr>
                <w:rFonts w:ascii="Arial" w:hAnsi="Arial" w:cs="Arial"/>
                <w:sz w:val="20"/>
                <w:szCs w:val="20"/>
              </w:rPr>
              <w:t xml:space="preserve"> PAH-</w:t>
            </w:r>
            <w:r w:rsidRPr="00FC25C7">
              <w:rPr>
                <w:rFonts w:ascii="Arial" w:hAnsi="Arial" w:cs="Arial"/>
                <w:sz w:val="20"/>
                <w:szCs w:val="20"/>
              </w:rPr>
              <w:t>CHD]</w:t>
            </w:r>
          </w:p>
        </w:tc>
        <w:tc>
          <w:tcPr>
            <w:tcW w:w="6637" w:type="dxa"/>
          </w:tcPr>
          <w:p w14:paraId="75E85DAC" w14:textId="77777777" w:rsidR="00DA0A26" w:rsidRPr="00FC25C7" w:rsidRDefault="00BB276C"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Discussed in main text.</w:t>
            </w:r>
          </w:p>
          <w:p w14:paraId="6E5E94DB"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 xml:space="preserve">The ‘initial 1’ and ‘initial 2 criteria distinguish between patients who should first fail vasodilator treatment </w:t>
            </w:r>
            <w:r w:rsidR="00B0148D" w:rsidRPr="00FC25C7">
              <w:rPr>
                <w:rFonts w:ascii="Arial" w:hAnsi="Arial" w:cs="Arial"/>
                <w:sz w:val="20"/>
                <w:szCs w:val="20"/>
              </w:rPr>
              <w:t xml:space="preserve">with CCBs </w:t>
            </w:r>
            <w:r w:rsidRPr="00FC25C7">
              <w:rPr>
                <w:rFonts w:ascii="Arial" w:hAnsi="Arial" w:cs="Arial"/>
                <w:sz w:val="20"/>
                <w:szCs w:val="20"/>
              </w:rPr>
              <w:t>and ‘initial 2’ patients who can commence PAH treatment without a trial. The PAH sub-type varies from one agent to the next</w:t>
            </w:r>
            <w:r w:rsidR="00C6734D" w:rsidRPr="00FC25C7">
              <w:rPr>
                <w:rFonts w:ascii="Arial" w:hAnsi="Arial" w:cs="Arial"/>
                <w:sz w:val="20"/>
                <w:szCs w:val="20"/>
              </w:rPr>
              <w:t>.</w:t>
            </w:r>
            <w:r w:rsidR="00C6734D" w:rsidRPr="00604AFE">
              <w:rPr>
                <w:rFonts w:ascii="Arial" w:hAnsi="Arial" w:cs="Arial"/>
                <w:sz w:val="20"/>
                <w:szCs w:val="20"/>
              </w:rPr>
              <w:t xml:space="preserve"> </w:t>
            </w:r>
          </w:p>
        </w:tc>
      </w:tr>
      <w:tr w:rsidR="00DA0A26" w:rsidRPr="00604AFE" w14:paraId="0FEF8F56" w14:textId="77777777" w:rsidTr="00CD2967">
        <w:tc>
          <w:tcPr>
            <w:tcW w:w="7943" w:type="dxa"/>
          </w:tcPr>
          <w:p w14:paraId="2B72D898"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t>Clinical criteria (initial 2/3 change or recommencement – prostanoids):</w:t>
            </w:r>
          </w:p>
          <w:p w14:paraId="6FEC07E6"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Patient must have [PAH subtypes] and must wish to re-commence PBS-subsidised therapy with this agent after a break in therapy and must have demonstrated a response to their most recent course of PBS-subsidised treatment with this agent; OR</w:t>
            </w:r>
          </w:p>
          <w:p w14:paraId="4CF7E3BC"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Patient must have [PAH subtypes] and must have received prior treatment with a PBS-subsidised PAH agent other than this agent; OR</w:t>
            </w:r>
          </w:p>
          <w:p w14:paraId="5CE893C3"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Patient must have[PAH subtypes] and must have failed to respond to a prior PBS-subsidised PAH agent,</w:t>
            </w:r>
          </w:p>
        </w:tc>
        <w:tc>
          <w:tcPr>
            <w:tcW w:w="6637" w:type="dxa"/>
          </w:tcPr>
          <w:p w14:paraId="61799254"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This wording appears in prostanoid restrictions. Prostanoid restrictions have an additional circumstance for change to a different PAH agent compared to the oral agents, that the patient must have failed prior PBS-subsidised treatment.</w:t>
            </w:r>
            <w:r w:rsidR="00BA09E3" w:rsidRPr="00604AFE">
              <w:rPr>
                <w:rFonts w:ascii="Arial" w:hAnsi="Arial" w:cs="Arial"/>
                <w:sz w:val="20"/>
                <w:szCs w:val="20"/>
              </w:rPr>
              <w:t xml:space="preserve"> </w:t>
            </w:r>
            <w:r w:rsidRPr="00604AFE">
              <w:rPr>
                <w:rFonts w:ascii="Arial" w:hAnsi="Arial" w:cs="Arial"/>
                <w:sz w:val="20"/>
                <w:szCs w:val="20"/>
              </w:rPr>
              <w:t xml:space="preserve">This is intended to reflect the use in second line Class III patients. </w:t>
            </w:r>
          </w:p>
        </w:tc>
      </w:tr>
      <w:tr w:rsidR="00DA0A26" w:rsidRPr="00604AFE" w14:paraId="5EE4A6F1" w14:textId="77777777" w:rsidTr="00CD2967">
        <w:tc>
          <w:tcPr>
            <w:tcW w:w="7943" w:type="dxa"/>
          </w:tcPr>
          <w:p w14:paraId="745AA284"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lastRenderedPageBreak/>
              <w:t>Clinical criteria (initial 2/3 change or recommencement – oral agents):</w:t>
            </w:r>
          </w:p>
          <w:p w14:paraId="54199EB5"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Patient must have [PAH subtypes] and must wish to re-commence PBS-subsidised therapy with this agent after a break in therapy and must have demonstrated a response to their most recent course of PBS-subsidised treatment with this agent; OR</w:t>
            </w:r>
          </w:p>
          <w:p w14:paraId="75EA7039"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Patient must have [PAH subtypes] and whose most recent course of PBS-subsidised treatment was with a PAH agent other than this agent,</w:t>
            </w:r>
          </w:p>
        </w:tc>
        <w:tc>
          <w:tcPr>
            <w:tcW w:w="6637" w:type="dxa"/>
          </w:tcPr>
          <w:p w14:paraId="3DE03F2E"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This wording appears in oral </w:t>
            </w:r>
            <w:proofErr w:type="gramStart"/>
            <w:r w:rsidRPr="00604AFE">
              <w:rPr>
                <w:rFonts w:ascii="Arial" w:hAnsi="Arial" w:cs="Arial"/>
                <w:sz w:val="20"/>
                <w:szCs w:val="20"/>
              </w:rPr>
              <w:t>agents</w:t>
            </w:r>
            <w:proofErr w:type="gramEnd"/>
            <w:r w:rsidRPr="00604AFE">
              <w:rPr>
                <w:rFonts w:ascii="Arial" w:hAnsi="Arial" w:cs="Arial"/>
                <w:sz w:val="20"/>
                <w:szCs w:val="20"/>
              </w:rPr>
              <w:t xml:space="preserve"> restrictions – no reference to treatment failure with prior PBS-subsidised agent (which is used in prostanoid restrictions to specify second line treatment for Class III patients)</w:t>
            </w:r>
            <w:r w:rsidR="00C6734D" w:rsidRPr="00604AFE">
              <w:rPr>
                <w:rFonts w:ascii="Arial" w:hAnsi="Arial" w:cs="Arial"/>
                <w:sz w:val="20"/>
                <w:szCs w:val="20"/>
              </w:rPr>
              <w:t xml:space="preserve">. </w:t>
            </w:r>
          </w:p>
        </w:tc>
      </w:tr>
      <w:tr w:rsidR="00DA0A26" w:rsidRPr="00FC25C7" w14:paraId="1541E1E2" w14:textId="77777777" w:rsidTr="00CD2967">
        <w:tc>
          <w:tcPr>
            <w:tcW w:w="7943" w:type="dxa"/>
            <w:tcBorders>
              <w:bottom w:val="single" w:sz="4" w:space="0" w:color="auto"/>
            </w:tcBorders>
          </w:tcPr>
          <w:p w14:paraId="04E56696" w14:textId="77777777" w:rsidR="00DA0A26" w:rsidRPr="00FC25C7" w:rsidRDefault="00DA0A26" w:rsidP="00604AFE">
            <w:pPr>
              <w:spacing w:beforeLines="40" w:before="96" w:afterLines="40" w:after="96" w:line="240" w:lineRule="auto"/>
              <w:ind w:left="142" w:right="57"/>
              <w:rPr>
                <w:rFonts w:ascii="Arial" w:hAnsi="Arial" w:cs="Arial"/>
                <w:sz w:val="20"/>
                <w:szCs w:val="20"/>
                <w:u w:val="single"/>
              </w:rPr>
            </w:pPr>
            <w:r w:rsidRPr="00FC25C7">
              <w:rPr>
                <w:rFonts w:ascii="Arial" w:hAnsi="Arial" w:cs="Arial"/>
                <w:sz w:val="20"/>
                <w:szCs w:val="20"/>
                <w:u w:val="single"/>
              </w:rPr>
              <w:t>Clinical criterion (‘initial 1’):</w:t>
            </w:r>
          </w:p>
          <w:p w14:paraId="6F9D45B5" w14:textId="77777777" w:rsidR="00DA0A26" w:rsidRPr="00FC25C7" w:rsidRDefault="00DA0A26"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 xml:space="preserve">Patient must have failed to respond to 6 or more weeks of appropriate vasodilator treatment </w:t>
            </w:r>
            <w:r w:rsidR="00B0148D" w:rsidRPr="00FC25C7">
              <w:rPr>
                <w:rFonts w:ascii="Arial" w:hAnsi="Arial" w:cs="Arial"/>
                <w:sz w:val="20"/>
                <w:szCs w:val="20"/>
              </w:rPr>
              <w:t>(</w:t>
            </w:r>
            <w:r w:rsidR="003E052A" w:rsidRPr="00080C22">
              <w:rPr>
                <w:rFonts w:ascii="Arial" w:hAnsi="Arial" w:cs="Arial"/>
                <w:i/>
                <w:sz w:val="20"/>
                <w:szCs w:val="20"/>
              </w:rPr>
              <w:t xml:space="preserve">with </w:t>
            </w:r>
            <w:r w:rsidR="00B0148D" w:rsidRPr="00080C22">
              <w:rPr>
                <w:rFonts w:ascii="Arial" w:hAnsi="Arial" w:cs="Arial"/>
                <w:i/>
                <w:sz w:val="20"/>
                <w:szCs w:val="20"/>
              </w:rPr>
              <w:t>CCBs</w:t>
            </w:r>
            <w:r w:rsidR="00B0148D" w:rsidRPr="00FC25C7">
              <w:rPr>
                <w:rFonts w:ascii="Arial" w:hAnsi="Arial" w:cs="Arial"/>
                <w:sz w:val="20"/>
                <w:szCs w:val="20"/>
              </w:rPr>
              <w:t xml:space="preserve">) </w:t>
            </w:r>
            <w:r w:rsidRPr="00FC25C7">
              <w:rPr>
                <w:rFonts w:ascii="Arial" w:hAnsi="Arial" w:cs="Arial"/>
                <w:sz w:val="20"/>
                <w:szCs w:val="20"/>
              </w:rPr>
              <w:t xml:space="preserve">unless intolerance or a contraindication to such treatment exists. </w:t>
            </w:r>
          </w:p>
        </w:tc>
        <w:tc>
          <w:tcPr>
            <w:tcW w:w="6637" w:type="dxa"/>
            <w:tcBorders>
              <w:bottom w:val="single" w:sz="4" w:space="0" w:color="auto"/>
            </w:tcBorders>
          </w:tcPr>
          <w:p w14:paraId="7F8819F3" w14:textId="77777777" w:rsidR="00DA0A26" w:rsidRPr="00FC25C7" w:rsidRDefault="00BB276C"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See main text</w:t>
            </w:r>
            <w:r w:rsidR="003C17FA" w:rsidRPr="00FC25C7">
              <w:rPr>
                <w:rFonts w:ascii="Arial" w:hAnsi="Arial" w:cs="Arial"/>
                <w:sz w:val="20"/>
                <w:szCs w:val="20"/>
              </w:rPr>
              <w:t xml:space="preserve">. </w:t>
            </w:r>
          </w:p>
          <w:p w14:paraId="23588062" w14:textId="77777777" w:rsidR="00DA0A26" w:rsidRPr="00FC25C7" w:rsidRDefault="00DA0A26"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 xml:space="preserve">This is not a criterion for epoprostenol, but applies to iloprost and the oral </w:t>
            </w:r>
            <w:r w:rsidR="00F95235" w:rsidRPr="00FC25C7">
              <w:rPr>
                <w:rFonts w:ascii="Arial" w:hAnsi="Arial" w:cs="Arial"/>
                <w:sz w:val="20"/>
                <w:szCs w:val="20"/>
              </w:rPr>
              <w:t>PAH medicines</w:t>
            </w:r>
            <w:r w:rsidRPr="00FC25C7">
              <w:rPr>
                <w:rFonts w:ascii="Arial" w:hAnsi="Arial" w:cs="Arial"/>
                <w:sz w:val="20"/>
                <w:szCs w:val="20"/>
              </w:rPr>
              <w:t xml:space="preserve">. </w:t>
            </w:r>
          </w:p>
        </w:tc>
      </w:tr>
      <w:tr w:rsidR="00D051F1" w:rsidRPr="00FC25C7" w14:paraId="753D4DE8" w14:textId="77777777" w:rsidTr="00CD2967">
        <w:tc>
          <w:tcPr>
            <w:tcW w:w="7943" w:type="dxa"/>
            <w:tcBorders>
              <w:bottom w:val="nil"/>
            </w:tcBorders>
          </w:tcPr>
          <w:p w14:paraId="1B834A02" w14:textId="77777777" w:rsidR="00D051F1" w:rsidRPr="00FC25C7" w:rsidRDefault="00D051F1" w:rsidP="00604AFE">
            <w:pPr>
              <w:spacing w:beforeLines="40" w:before="96" w:afterLines="40" w:after="96" w:line="240" w:lineRule="auto"/>
              <w:ind w:left="142" w:right="57"/>
              <w:rPr>
                <w:rFonts w:ascii="Arial" w:hAnsi="Arial" w:cs="Arial"/>
                <w:sz w:val="20"/>
                <w:szCs w:val="20"/>
                <w:u w:val="single"/>
              </w:rPr>
            </w:pPr>
            <w:r w:rsidRPr="00FC25C7">
              <w:rPr>
                <w:rFonts w:ascii="Arial" w:hAnsi="Arial" w:cs="Arial"/>
                <w:sz w:val="20"/>
                <w:szCs w:val="20"/>
                <w:u w:val="single"/>
              </w:rPr>
              <w:t>Prescribing instruction (‘initial 1’):</w:t>
            </w:r>
          </w:p>
          <w:p w14:paraId="16BAFD54" w14:textId="77777777" w:rsidR="00D051F1" w:rsidRPr="00FC25C7" w:rsidRDefault="00D051F1"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 xml:space="preserve">Response to prior vasodilator treatment </w:t>
            </w:r>
            <w:r w:rsidR="00B0148D" w:rsidRPr="00FC25C7">
              <w:rPr>
                <w:rFonts w:ascii="Arial" w:hAnsi="Arial" w:cs="Arial"/>
                <w:sz w:val="20"/>
                <w:szCs w:val="20"/>
              </w:rPr>
              <w:t>(</w:t>
            </w:r>
            <w:r w:rsidR="003E052A" w:rsidRPr="00080C22">
              <w:rPr>
                <w:rFonts w:ascii="Arial" w:hAnsi="Arial" w:cs="Arial"/>
                <w:i/>
                <w:sz w:val="20"/>
                <w:szCs w:val="20"/>
              </w:rPr>
              <w:t xml:space="preserve">with </w:t>
            </w:r>
            <w:r w:rsidR="00B0148D" w:rsidRPr="00080C22">
              <w:rPr>
                <w:rFonts w:ascii="Arial" w:hAnsi="Arial" w:cs="Arial"/>
                <w:i/>
                <w:sz w:val="20"/>
                <w:szCs w:val="20"/>
              </w:rPr>
              <w:t>CCBs</w:t>
            </w:r>
            <w:r w:rsidR="00B0148D" w:rsidRPr="00FC25C7">
              <w:rPr>
                <w:rFonts w:ascii="Arial" w:hAnsi="Arial" w:cs="Arial"/>
                <w:sz w:val="20"/>
                <w:szCs w:val="20"/>
              </w:rPr>
              <w:t xml:space="preserve">) </w:t>
            </w:r>
            <w:r w:rsidRPr="00FC25C7">
              <w:rPr>
                <w:rFonts w:ascii="Arial" w:hAnsi="Arial" w:cs="Arial"/>
                <w:sz w:val="20"/>
                <w:szCs w:val="20"/>
              </w:rPr>
              <w:t>is defined as follows:</w:t>
            </w:r>
          </w:p>
          <w:p w14:paraId="1E9547C0" w14:textId="77777777" w:rsidR="00D051F1" w:rsidRPr="00FC25C7" w:rsidRDefault="00D051F1"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 xml:space="preserve">For patients with 2 or more baseline tests, response to treatment </w:t>
            </w:r>
            <w:proofErr w:type="gramStart"/>
            <w:r w:rsidRPr="00FC25C7">
              <w:rPr>
                <w:rFonts w:ascii="Arial" w:hAnsi="Arial" w:cs="Arial"/>
                <w:sz w:val="20"/>
                <w:szCs w:val="20"/>
              </w:rPr>
              <w:t>is defined</w:t>
            </w:r>
            <w:proofErr w:type="gramEnd"/>
            <w:r w:rsidRPr="00FC25C7">
              <w:rPr>
                <w:rFonts w:ascii="Arial" w:hAnsi="Arial" w:cs="Arial"/>
                <w:sz w:val="20"/>
                <w:szCs w:val="20"/>
              </w:rPr>
              <w:t xml:space="preserve"> as 2 or more tests demonstrating stability or improvement of disease, as assessed by a physician from a designated hospital.</w:t>
            </w:r>
          </w:p>
          <w:p w14:paraId="5FEE481F" w14:textId="77777777" w:rsidR="00D051F1" w:rsidRPr="00FC25C7" w:rsidRDefault="00D051F1"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 xml:space="preserve">For patients with a RHC composite assessment alone at baseline, response to treatment </w:t>
            </w:r>
            <w:proofErr w:type="gramStart"/>
            <w:r w:rsidRPr="00FC25C7">
              <w:rPr>
                <w:rFonts w:ascii="Arial" w:hAnsi="Arial" w:cs="Arial"/>
                <w:sz w:val="20"/>
                <w:szCs w:val="20"/>
              </w:rPr>
              <w:t>is defined</w:t>
            </w:r>
            <w:proofErr w:type="gramEnd"/>
            <w:r w:rsidRPr="00FC25C7">
              <w:rPr>
                <w:rFonts w:ascii="Arial" w:hAnsi="Arial" w:cs="Arial"/>
                <w:sz w:val="20"/>
                <w:szCs w:val="20"/>
              </w:rPr>
              <w:t xml:space="preserve"> as a RHC result demonstrating stability or improvement of disease, as assessed by a physician from a designated hospital.</w:t>
            </w:r>
          </w:p>
          <w:p w14:paraId="5351B004" w14:textId="77777777" w:rsidR="00D051F1" w:rsidRPr="00FC25C7" w:rsidRDefault="00D051F1"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 xml:space="preserve">For patients with an ECHO composite assessment alone at baseline, response to treatment </w:t>
            </w:r>
            <w:proofErr w:type="gramStart"/>
            <w:r w:rsidRPr="00FC25C7">
              <w:rPr>
                <w:rFonts w:ascii="Arial" w:hAnsi="Arial" w:cs="Arial"/>
                <w:sz w:val="20"/>
                <w:szCs w:val="20"/>
              </w:rPr>
              <w:t>is defined</w:t>
            </w:r>
            <w:proofErr w:type="gramEnd"/>
            <w:r w:rsidRPr="00FC25C7">
              <w:rPr>
                <w:rFonts w:ascii="Arial" w:hAnsi="Arial" w:cs="Arial"/>
                <w:sz w:val="20"/>
                <w:szCs w:val="20"/>
              </w:rPr>
              <w:t xml:space="preserve"> as an ECHO result demonstrating stability or improvement of disease, as assessed by a physician from a designated hospital.</w:t>
            </w:r>
          </w:p>
        </w:tc>
        <w:tc>
          <w:tcPr>
            <w:tcW w:w="6637" w:type="dxa"/>
            <w:tcBorders>
              <w:bottom w:val="nil"/>
            </w:tcBorders>
          </w:tcPr>
          <w:p w14:paraId="7FDA72B9" w14:textId="77777777" w:rsidR="00D051F1" w:rsidRPr="00FC25C7" w:rsidRDefault="00D051F1"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These are the same tests as required for response to targeted PAH treatment</w:t>
            </w:r>
            <w:r w:rsidR="00BB276C" w:rsidRPr="00FC25C7">
              <w:rPr>
                <w:rFonts w:ascii="Arial" w:hAnsi="Arial" w:cs="Arial"/>
                <w:sz w:val="20"/>
                <w:szCs w:val="20"/>
              </w:rPr>
              <w:t>.</w:t>
            </w:r>
          </w:p>
          <w:p w14:paraId="7A702B46" w14:textId="77777777" w:rsidR="00EB5983" w:rsidRPr="00FC25C7" w:rsidRDefault="00BB276C"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 xml:space="preserve">Discussed in main text. </w:t>
            </w:r>
          </w:p>
          <w:p w14:paraId="3C39173D" w14:textId="77777777" w:rsidR="00D051F1" w:rsidRPr="00FC25C7" w:rsidRDefault="00D051F1" w:rsidP="00604AFE">
            <w:pPr>
              <w:spacing w:beforeLines="40" w:before="96" w:afterLines="40" w:after="96" w:line="240" w:lineRule="auto"/>
              <w:ind w:left="142" w:right="57"/>
              <w:rPr>
                <w:rFonts w:ascii="Arial" w:hAnsi="Arial" w:cs="Arial"/>
                <w:sz w:val="20"/>
                <w:szCs w:val="20"/>
              </w:rPr>
            </w:pPr>
          </w:p>
        </w:tc>
      </w:tr>
      <w:tr w:rsidR="008B6CA8" w:rsidRPr="00604AFE" w14:paraId="00CF5A56" w14:textId="77777777" w:rsidTr="00CD2967">
        <w:tc>
          <w:tcPr>
            <w:tcW w:w="7943" w:type="dxa"/>
            <w:tcBorders>
              <w:top w:val="nil"/>
            </w:tcBorders>
          </w:tcPr>
          <w:p w14:paraId="4BE2B9D0" w14:textId="77777777" w:rsidR="008B6CA8" w:rsidRPr="00FC25C7" w:rsidRDefault="008B6CA8" w:rsidP="00604AFE">
            <w:pPr>
              <w:spacing w:beforeLines="40" w:before="96" w:afterLines="40" w:after="96" w:line="240" w:lineRule="auto"/>
              <w:ind w:left="142" w:right="57"/>
              <w:rPr>
                <w:rFonts w:ascii="Arial" w:hAnsi="Arial" w:cs="Arial"/>
                <w:sz w:val="20"/>
                <w:szCs w:val="20"/>
                <w:u w:val="single"/>
              </w:rPr>
            </w:pPr>
            <w:r w:rsidRPr="00FC25C7">
              <w:rPr>
                <w:rFonts w:ascii="Arial" w:hAnsi="Arial" w:cs="Arial"/>
                <w:sz w:val="20"/>
                <w:szCs w:val="20"/>
              </w:rPr>
              <w:t xml:space="preserve">For patients aged less than 18 years, response to treatment </w:t>
            </w:r>
            <w:proofErr w:type="gramStart"/>
            <w:r w:rsidRPr="00FC25C7">
              <w:rPr>
                <w:rFonts w:ascii="Arial" w:hAnsi="Arial" w:cs="Arial"/>
                <w:sz w:val="20"/>
                <w:szCs w:val="20"/>
              </w:rPr>
              <w:t>is defined</w:t>
            </w:r>
            <w:proofErr w:type="gramEnd"/>
            <w:r w:rsidRPr="00FC25C7">
              <w:rPr>
                <w:rFonts w:ascii="Arial" w:hAnsi="Arial" w:cs="Arial"/>
                <w:sz w:val="20"/>
                <w:szCs w:val="20"/>
              </w:rPr>
              <w:t xml:space="preserve"> as at least one of the baseline tests demonstrating stability or improvement of disease, as assessed by a physician from a designated hospital. </w:t>
            </w:r>
          </w:p>
        </w:tc>
        <w:tc>
          <w:tcPr>
            <w:tcW w:w="6637" w:type="dxa"/>
            <w:tcBorders>
              <w:top w:val="nil"/>
            </w:tcBorders>
          </w:tcPr>
          <w:p w14:paraId="53FF3634" w14:textId="77777777" w:rsidR="008B6CA8" w:rsidRPr="00604AFE" w:rsidRDefault="008B6CA8"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 xml:space="preserve">This appears for all </w:t>
            </w:r>
            <w:r w:rsidR="00F95235" w:rsidRPr="00FC25C7">
              <w:rPr>
                <w:rFonts w:ascii="Arial" w:hAnsi="Arial" w:cs="Arial"/>
                <w:sz w:val="20"/>
                <w:szCs w:val="20"/>
              </w:rPr>
              <w:t>PAH medicines</w:t>
            </w:r>
            <w:r w:rsidRPr="00FC25C7">
              <w:rPr>
                <w:rFonts w:ascii="Arial" w:hAnsi="Arial" w:cs="Arial"/>
                <w:sz w:val="20"/>
                <w:szCs w:val="20"/>
              </w:rPr>
              <w:t xml:space="preserve"> that have a requirement for a trial of vasodilators </w:t>
            </w:r>
            <w:r w:rsidR="00B0148D" w:rsidRPr="00FC25C7">
              <w:rPr>
                <w:rFonts w:ascii="Arial" w:hAnsi="Arial" w:cs="Arial"/>
                <w:sz w:val="20"/>
                <w:szCs w:val="20"/>
              </w:rPr>
              <w:t xml:space="preserve">with CCBs </w:t>
            </w:r>
            <w:r w:rsidRPr="00FC25C7">
              <w:rPr>
                <w:rFonts w:ascii="Arial" w:hAnsi="Arial" w:cs="Arial"/>
                <w:sz w:val="20"/>
                <w:szCs w:val="20"/>
              </w:rPr>
              <w:t>(i.e. all except epoprostenol)</w:t>
            </w:r>
          </w:p>
        </w:tc>
      </w:tr>
      <w:tr w:rsidR="00DA0A26" w:rsidRPr="00604AFE" w14:paraId="023A044A" w14:textId="77777777" w:rsidTr="00CD2967">
        <w:tc>
          <w:tcPr>
            <w:tcW w:w="7943" w:type="dxa"/>
          </w:tcPr>
          <w:p w14:paraId="2DC948DF"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lastRenderedPageBreak/>
              <w:t>Prescribing instructions (‘initial 1’; ‘initial 2’):</w:t>
            </w:r>
          </w:p>
          <w:p w14:paraId="1DFD4C43"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[PAH sub-type] defined as follows: </w:t>
            </w:r>
          </w:p>
          <w:p w14:paraId="19635CA1"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w:t>
            </w:r>
            <w:proofErr w:type="spellStart"/>
            <w:r w:rsidRPr="00604AFE">
              <w:rPr>
                <w:rFonts w:ascii="Arial" w:hAnsi="Arial" w:cs="Arial"/>
                <w:sz w:val="20"/>
                <w:szCs w:val="20"/>
              </w:rPr>
              <w:t>i</w:t>
            </w:r>
            <w:proofErr w:type="spellEnd"/>
            <w:r w:rsidRPr="00604AFE">
              <w:rPr>
                <w:rFonts w:ascii="Arial" w:hAnsi="Arial" w:cs="Arial"/>
                <w:sz w:val="20"/>
                <w:szCs w:val="20"/>
              </w:rPr>
              <w:t xml:space="preserve">) mean pulmonary artery pressure (mPAP) greater than 25 mmHg at rest and pulmonary artery wedge pressure (PAWP) less than 15 mmHg; or </w:t>
            </w:r>
          </w:p>
          <w:p w14:paraId="13E543C0"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(ii) </w:t>
            </w:r>
            <w:proofErr w:type="gramStart"/>
            <w:r w:rsidRPr="00604AFE">
              <w:rPr>
                <w:rFonts w:ascii="Arial" w:hAnsi="Arial" w:cs="Arial"/>
                <w:sz w:val="20"/>
                <w:szCs w:val="20"/>
              </w:rPr>
              <w:t>where</w:t>
            </w:r>
            <w:proofErr w:type="gramEnd"/>
            <w:r w:rsidRPr="00604AFE">
              <w:rPr>
                <w:rFonts w:ascii="Arial" w:hAnsi="Arial" w:cs="Arial"/>
                <w:sz w:val="20"/>
                <w:szCs w:val="20"/>
              </w:rPr>
              <w:t xml:space="preserve"> a right heart catheter (RHC) cannot be performed on clinical grounds, right ventricular systolic pressure (RVSP), assessed by echocardiography (ECHO), greater than 40 mmHg, with normal left ventricular function. </w:t>
            </w:r>
          </w:p>
        </w:tc>
        <w:tc>
          <w:tcPr>
            <w:tcW w:w="6637" w:type="dxa"/>
          </w:tcPr>
          <w:p w14:paraId="5D64E1DF" w14:textId="77777777" w:rsidR="00DA0A26" w:rsidRPr="00604AFE" w:rsidRDefault="00DA0A26" w:rsidP="006314DA">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The same haemodynamic criteria apply regardless of the type of PAH under consideration</w:t>
            </w:r>
            <w:r w:rsidR="00C6734D" w:rsidRPr="00604AFE">
              <w:rPr>
                <w:rFonts w:ascii="Arial" w:hAnsi="Arial" w:cs="Arial"/>
                <w:sz w:val="20"/>
                <w:szCs w:val="20"/>
              </w:rPr>
              <w:t xml:space="preserve">. </w:t>
            </w:r>
            <w:r w:rsidRPr="00604AFE">
              <w:rPr>
                <w:rFonts w:ascii="Arial" w:hAnsi="Arial" w:cs="Arial"/>
                <w:sz w:val="20"/>
                <w:szCs w:val="20"/>
              </w:rPr>
              <w:t xml:space="preserve">The RHC criterion </w:t>
            </w:r>
            <w:proofErr w:type="spellStart"/>
            <w:r w:rsidRPr="00604AFE">
              <w:rPr>
                <w:rFonts w:ascii="Arial" w:hAnsi="Arial" w:cs="Arial"/>
                <w:sz w:val="20"/>
                <w:szCs w:val="20"/>
              </w:rPr>
              <w:t>i</w:t>
            </w:r>
            <w:proofErr w:type="spellEnd"/>
            <w:r w:rsidR="009D5633" w:rsidRPr="00604AFE">
              <w:rPr>
                <w:rFonts w:ascii="Arial" w:hAnsi="Arial" w:cs="Arial"/>
                <w:sz w:val="20"/>
                <w:szCs w:val="20"/>
              </w:rPr>
              <w:t>(</w:t>
            </w:r>
            <w:proofErr w:type="spellStart"/>
            <w:r w:rsidR="009D5633" w:rsidRPr="00604AFE">
              <w:rPr>
                <w:rFonts w:ascii="Arial" w:hAnsi="Arial" w:cs="Arial"/>
                <w:sz w:val="20"/>
                <w:szCs w:val="20"/>
              </w:rPr>
              <w:t>i</w:t>
            </w:r>
            <w:proofErr w:type="spellEnd"/>
            <w:r w:rsidR="009D5633" w:rsidRPr="00604AFE">
              <w:rPr>
                <w:rFonts w:ascii="Arial" w:hAnsi="Arial" w:cs="Arial"/>
                <w:sz w:val="20"/>
                <w:szCs w:val="20"/>
              </w:rPr>
              <w:t xml:space="preserve">) </w:t>
            </w:r>
            <w:r w:rsidRPr="00604AFE">
              <w:rPr>
                <w:rFonts w:ascii="Arial" w:hAnsi="Arial" w:cs="Arial"/>
                <w:sz w:val="20"/>
                <w:szCs w:val="20"/>
              </w:rPr>
              <w:t>s consistent with guidelines but it is unlikely that the echocardiographic criterion</w:t>
            </w:r>
            <w:r w:rsidR="009D5633" w:rsidRPr="00604AFE">
              <w:rPr>
                <w:rFonts w:ascii="Arial" w:hAnsi="Arial" w:cs="Arial"/>
                <w:sz w:val="20"/>
                <w:szCs w:val="20"/>
              </w:rPr>
              <w:t xml:space="preserve"> (ii)</w:t>
            </w:r>
            <w:r w:rsidRPr="00604AFE">
              <w:rPr>
                <w:rFonts w:ascii="Arial" w:hAnsi="Arial" w:cs="Arial"/>
                <w:sz w:val="20"/>
                <w:szCs w:val="20"/>
              </w:rPr>
              <w:t xml:space="preserve"> is current, </w:t>
            </w:r>
            <w:r w:rsidR="00F33A44" w:rsidRPr="00604AFE">
              <w:rPr>
                <w:rFonts w:ascii="Arial" w:hAnsi="Arial" w:cs="Arial"/>
                <w:sz w:val="20"/>
                <w:szCs w:val="20"/>
              </w:rPr>
              <w:t xml:space="preserve">as neither RVSP </w:t>
            </w:r>
            <w:r w:rsidR="00BC7B71" w:rsidRPr="00604AFE">
              <w:rPr>
                <w:rFonts w:ascii="Arial" w:hAnsi="Arial" w:cs="Arial"/>
                <w:sz w:val="20"/>
                <w:szCs w:val="20"/>
              </w:rPr>
              <w:t>nor the similar value PASP</w:t>
            </w:r>
            <w:r w:rsidR="00A2372D" w:rsidRPr="00604AFE">
              <w:rPr>
                <w:rFonts w:ascii="Arial" w:hAnsi="Arial" w:cs="Arial"/>
                <w:sz w:val="20"/>
                <w:szCs w:val="20"/>
              </w:rPr>
              <w:t xml:space="preserve"> are considered diagnostic of PAH</w:t>
            </w:r>
            <w:r w:rsidR="00F33A44" w:rsidRPr="00604AFE">
              <w:rPr>
                <w:rFonts w:ascii="Arial" w:hAnsi="Arial" w:cs="Arial"/>
                <w:sz w:val="20"/>
                <w:szCs w:val="20"/>
              </w:rPr>
              <w:t xml:space="preserve"> </w:t>
            </w:r>
            <w:r w:rsidR="00A2372D" w:rsidRPr="00604AFE">
              <w:rPr>
                <w:rFonts w:ascii="Arial" w:hAnsi="Arial" w:cs="Arial"/>
                <w:sz w:val="20"/>
                <w:szCs w:val="20"/>
              </w:rPr>
              <w:t>nor do they represent</w:t>
            </w:r>
            <w:r w:rsidRPr="00604AFE">
              <w:rPr>
                <w:rFonts w:ascii="Arial" w:hAnsi="Arial" w:cs="Arial"/>
                <w:sz w:val="20"/>
                <w:szCs w:val="20"/>
              </w:rPr>
              <w:t xml:space="preserve"> best practice for identifying diagnostic features of PAH in the absence of RHC</w:t>
            </w:r>
            <w:r w:rsidR="00C6734D" w:rsidRPr="00604AFE">
              <w:rPr>
                <w:rFonts w:ascii="Arial" w:hAnsi="Arial" w:cs="Arial"/>
                <w:sz w:val="20"/>
                <w:szCs w:val="20"/>
              </w:rPr>
              <w:t xml:space="preserve">. </w:t>
            </w:r>
            <w:r w:rsidRPr="00604AFE">
              <w:rPr>
                <w:rFonts w:ascii="Arial" w:hAnsi="Arial" w:cs="Arial"/>
                <w:sz w:val="20"/>
                <w:szCs w:val="20"/>
              </w:rPr>
              <w:t xml:space="preserve">The current guidelines recommend measurement of peak TRV as the key </w:t>
            </w:r>
            <w:proofErr w:type="spellStart"/>
            <w:r w:rsidRPr="00604AFE">
              <w:rPr>
                <w:rFonts w:ascii="Arial" w:hAnsi="Arial" w:cs="Arial"/>
                <w:sz w:val="20"/>
                <w:szCs w:val="20"/>
              </w:rPr>
              <w:t>cardiographic</w:t>
            </w:r>
            <w:proofErr w:type="spellEnd"/>
            <w:r w:rsidRPr="00604AFE">
              <w:rPr>
                <w:rFonts w:ascii="Arial" w:hAnsi="Arial" w:cs="Arial"/>
                <w:sz w:val="20"/>
                <w:szCs w:val="20"/>
              </w:rPr>
              <w:t xml:space="preserve"> variable predictive of PAH</w:t>
            </w:r>
            <w:r w:rsidR="00C6734D" w:rsidRPr="00604AFE">
              <w:rPr>
                <w:rFonts w:ascii="Arial" w:hAnsi="Arial" w:cs="Arial"/>
                <w:sz w:val="20"/>
                <w:szCs w:val="20"/>
              </w:rPr>
              <w:t xml:space="preserve">. </w:t>
            </w:r>
            <w:r w:rsidR="009D5633" w:rsidRPr="00604AFE">
              <w:rPr>
                <w:rFonts w:ascii="Arial" w:hAnsi="Arial" w:cs="Arial"/>
                <w:sz w:val="20"/>
                <w:szCs w:val="20"/>
              </w:rPr>
              <w:t xml:space="preserve">In the absence of measureable TRV, clinical features suggestive of PAH </w:t>
            </w:r>
            <w:proofErr w:type="gramStart"/>
            <w:r w:rsidR="009D5633" w:rsidRPr="00604AFE">
              <w:rPr>
                <w:rFonts w:ascii="Arial" w:hAnsi="Arial" w:cs="Arial"/>
                <w:sz w:val="20"/>
                <w:szCs w:val="20"/>
              </w:rPr>
              <w:t>are given</w:t>
            </w:r>
            <w:proofErr w:type="gramEnd"/>
            <w:r w:rsidR="009D5633" w:rsidRPr="00604AFE">
              <w:rPr>
                <w:rFonts w:ascii="Arial" w:hAnsi="Arial" w:cs="Arial"/>
                <w:sz w:val="20"/>
                <w:szCs w:val="20"/>
              </w:rPr>
              <w:t xml:space="preserve"> in</w:t>
            </w:r>
            <w:r w:rsidR="00870992" w:rsidRPr="00604AFE">
              <w:rPr>
                <w:rFonts w:ascii="Arial" w:hAnsi="Arial" w:cs="Arial"/>
                <w:sz w:val="20"/>
                <w:szCs w:val="20"/>
              </w:rPr>
              <w:t xml:space="preserve"> </w:t>
            </w:r>
            <w:r w:rsidR="00505D99" w:rsidRPr="00505D99">
              <w:rPr>
                <w:rFonts w:ascii="Arial" w:hAnsi="Arial" w:cs="Arial"/>
                <w:sz w:val="20"/>
                <w:szCs w:val="20"/>
              </w:rPr>
              <w:t>Table 1.9</w:t>
            </w:r>
            <w:r w:rsidR="003C17FA" w:rsidRPr="006314DA">
              <w:rPr>
                <w:rFonts w:ascii="Arial" w:hAnsi="Arial" w:cs="Arial"/>
                <w:sz w:val="20"/>
                <w:szCs w:val="20"/>
              </w:rPr>
              <w:t>.</w:t>
            </w:r>
            <w:r w:rsidR="003C17FA" w:rsidRPr="00604AFE">
              <w:rPr>
                <w:rFonts w:ascii="Arial" w:hAnsi="Arial" w:cs="Arial"/>
                <w:i/>
                <w:sz w:val="20"/>
                <w:szCs w:val="20"/>
              </w:rPr>
              <w:t xml:space="preserve"> </w:t>
            </w:r>
          </w:p>
        </w:tc>
      </w:tr>
      <w:tr w:rsidR="00DA0A26" w:rsidRPr="00604AFE" w14:paraId="59AF11AD" w14:textId="77777777" w:rsidTr="00CD2967">
        <w:tc>
          <w:tcPr>
            <w:tcW w:w="7943" w:type="dxa"/>
          </w:tcPr>
          <w:p w14:paraId="06C345A1"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t>Prescribing instructions (‘initial 1’):</w:t>
            </w:r>
          </w:p>
          <w:p w14:paraId="0C52F48E"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Test requirements to establish baseline for initiation of treatment are as follows:</w:t>
            </w:r>
          </w:p>
          <w:p w14:paraId="657CA57F" w14:textId="77777777" w:rsidR="00DA0A26" w:rsidRPr="00604AFE" w:rsidRDefault="00DA0A26" w:rsidP="00807704">
            <w:pPr>
              <w:pStyle w:val="ListParagraph"/>
              <w:numPr>
                <w:ilvl w:val="0"/>
                <w:numId w:val="17"/>
              </w:numPr>
              <w:spacing w:beforeLines="40" w:before="96" w:afterLines="40" w:after="96" w:line="240" w:lineRule="auto"/>
              <w:ind w:left="142" w:right="57"/>
              <w:contextualSpacing w:val="0"/>
              <w:rPr>
                <w:rFonts w:ascii="Arial" w:hAnsi="Arial" w:cs="Arial"/>
                <w:sz w:val="20"/>
                <w:szCs w:val="20"/>
              </w:rPr>
            </w:pPr>
            <w:r w:rsidRPr="00604AFE">
              <w:rPr>
                <w:rFonts w:ascii="Arial" w:hAnsi="Arial" w:cs="Arial"/>
                <w:sz w:val="20"/>
                <w:szCs w:val="20"/>
              </w:rPr>
              <w:t>A right heart catheter (RHC) composite assessment</w:t>
            </w:r>
          </w:p>
          <w:p w14:paraId="79E5D360" w14:textId="77777777" w:rsidR="00DA0A26" w:rsidRPr="00604AFE" w:rsidRDefault="00DA0A26" w:rsidP="00807704">
            <w:pPr>
              <w:pStyle w:val="ListParagraph"/>
              <w:numPr>
                <w:ilvl w:val="0"/>
                <w:numId w:val="17"/>
              </w:numPr>
              <w:spacing w:beforeLines="40" w:before="96" w:afterLines="40" w:after="96" w:line="240" w:lineRule="auto"/>
              <w:ind w:left="142" w:right="57"/>
              <w:contextualSpacing w:val="0"/>
              <w:rPr>
                <w:rFonts w:ascii="Arial" w:hAnsi="Arial" w:cs="Arial"/>
                <w:sz w:val="20"/>
                <w:szCs w:val="20"/>
              </w:rPr>
            </w:pPr>
            <w:r w:rsidRPr="00604AFE">
              <w:rPr>
                <w:rFonts w:ascii="Arial" w:hAnsi="Arial" w:cs="Arial"/>
                <w:sz w:val="20"/>
                <w:szCs w:val="20"/>
              </w:rPr>
              <w:t>An echocardiograph (ECHO) composite assessment,</w:t>
            </w:r>
          </w:p>
          <w:p w14:paraId="00EB05D0" w14:textId="77777777" w:rsidR="00DA0A26" w:rsidRPr="00604AFE" w:rsidRDefault="00DA0A26" w:rsidP="00807704">
            <w:pPr>
              <w:pStyle w:val="ListParagraph"/>
              <w:numPr>
                <w:ilvl w:val="0"/>
                <w:numId w:val="17"/>
              </w:numPr>
              <w:spacing w:beforeLines="40" w:before="96" w:afterLines="40" w:after="96" w:line="240" w:lineRule="auto"/>
              <w:ind w:left="142" w:right="57"/>
              <w:contextualSpacing w:val="0"/>
              <w:rPr>
                <w:rFonts w:ascii="Arial" w:hAnsi="Arial" w:cs="Arial"/>
                <w:sz w:val="20"/>
                <w:szCs w:val="20"/>
              </w:rPr>
            </w:pPr>
            <w:r w:rsidRPr="00604AFE">
              <w:rPr>
                <w:rFonts w:ascii="Arial" w:hAnsi="Arial" w:cs="Arial"/>
                <w:sz w:val="20"/>
                <w:szCs w:val="20"/>
              </w:rPr>
              <w:t>A 6 minute walk test (6MWT)</w:t>
            </w:r>
          </w:p>
        </w:tc>
        <w:tc>
          <w:tcPr>
            <w:tcW w:w="6637" w:type="dxa"/>
          </w:tcPr>
          <w:p w14:paraId="534A9A75" w14:textId="77777777" w:rsidR="007123FC" w:rsidRPr="00604AFE" w:rsidRDefault="007123FC" w:rsidP="00604AFE">
            <w:pPr>
              <w:spacing w:beforeLines="40" w:before="96" w:afterLines="40" w:after="96" w:line="240" w:lineRule="auto"/>
              <w:ind w:left="142" w:right="57"/>
              <w:rPr>
                <w:rFonts w:ascii="Arial" w:hAnsi="Arial" w:cs="Arial"/>
                <w:i/>
                <w:sz w:val="20"/>
                <w:szCs w:val="20"/>
              </w:rPr>
            </w:pPr>
            <w:r w:rsidRPr="00604AFE">
              <w:rPr>
                <w:rFonts w:ascii="Arial" w:hAnsi="Arial" w:cs="Arial"/>
                <w:sz w:val="20"/>
                <w:szCs w:val="20"/>
              </w:rPr>
              <w:t>D</w:t>
            </w:r>
            <w:r w:rsidR="00DA0A26" w:rsidRPr="00604AFE">
              <w:rPr>
                <w:rFonts w:ascii="Arial" w:hAnsi="Arial" w:cs="Arial"/>
                <w:sz w:val="20"/>
                <w:szCs w:val="20"/>
              </w:rPr>
              <w:t>is</w:t>
            </w:r>
            <w:r w:rsidR="003B625D" w:rsidRPr="00604AFE">
              <w:rPr>
                <w:rFonts w:ascii="Arial" w:hAnsi="Arial" w:cs="Arial"/>
                <w:sz w:val="20"/>
                <w:szCs w:val="20"/>
              </w:rPr>
              <w:t>cussed above in main body text.</w:t>
            </w:r>
            <w:r w:rsidR="00011758">
              <w:rPr>
                <w:rFonts w:ascii="Arial" w:hAnsi="Arial" w:cs="Arial"/>
                <w:sz w:val="20"/>
                <w:szCs w:val="20"/>
              </w:rPr>
              <w:t xml:space="preserve"> </w:t>
            </w:r>
          </w:p>
          <w:p w14:paraId="7014668D" w14:textId="77777777" w:rsidR="00DA0A26" w:rsidRPr="00604AFE" w:rsidRDefault="00DA0A26" w:rsidP="00604AFE">
            <w:pPr>
              <w:spacing w:beforeLines="40" w:before="96" w:afterLines="40" w:after="96"/>
              <w:ind w:left="142" w:right="57"/>
              <w:rPr>
                <w:rFonts w:ascii="Arial" w:hAnsi="Arial" w:cs="Arial"/>
                <w:sz w:val="20"/>
                <w:szCs w:val="20"/>
              </w:rPr>
            </w:pPr>
          </w:p>
        </w:tc>
      </w:tr>
      <w:tr w:rsidR="00DA0A26" w:rsidRPr="00604AFE" w14:paraId="73369983" w14:textId="77777777" w:rsidTr="00CD2967">
        <w:trPr>
          <w:cantSplit w:val="0"/>
        </w:trPr>
        <w:tc>
          <w:tcPr>
            <w:tcW w:w="7943" w:type="dxa"/>
          </w:tcPr>
          <w:p w14:paraId="2C460DC3"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t>Prescribing instructions (‘initial 1’; ‘initial 2’):</w:t>
            </w:r>
          </w:p>
          <w:p w14:paraId="168ACB9B"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Where it is not possible to perform all 3 tests above on clinical grounds, the following list outlines the preferred test combination, in descending order, for the purposes of initiation of PBS-subsidised treatment:</w:t>
            </w:r>
          </w:p>
          <w:p w14:paraId="65B1C403"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(1) RHC plus ECHO composite assessments;</w:t>
            </w:r>
          </w:p>
          <w:p w14:paraId="6FB98499"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(2) RHC composite assessment plus 6MWT;</w:t>
            </w:r>
          </w:p>
          <w:p w14:paraId="3B20D5CC"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(3) RHC composite assessment only.</w:t>
            </w:r>
          </w:p>
          <w:p w14:paraId="75B6C275"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In circumstances where a RHC cannot be performed on clinical grounds, applications may be submitted for consideration based on the results of the following test combinations, which are listed in descending order of preference:</w:t>
            </w:r>
          </w:p>
          <w:p w14:paraId="7F4EEA0D"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(1) ECHO composite assessment plus 6MWT;</w:t>
            </w:r>
          </w:p>
          <w:p w14:paraId="1175F621"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(2) ECHO composite assessment only.</w:t>
            </w:r>
          </w:p>
          <w:p w14:paraId="756FF7C6"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Where fewer than 3 tests </w:t>
            </w:r>
            <w:proofErr w:type="gramStart"/>
            <w:r w:rsidRPr="00604AFE">
              <w:rPr>
                <w:rFonts w:ascii="Arial" w:hAnsi="Arial" w:cs="Arial"/>
                <w:sz w:val="20"/>
                <w:szCs w:val="20"/>
              </w:rPr>
              <w:t>are able to</w:t>
            </w:r>
            <w:proofErr w:type="gramEnd"/>
            <w:r w:rsidRPr="00604AFE">
              <w:rPr>
                <w:rFonts w:ascii="Arial" w:hAnsi="Arial" w:cs="Arial"/>
                <w:sz w:val="20"/>
                <w:szCs w:val="20"/>
              </w:rPr>
              <w:t xml:space="preserve"> be performed on clinical grounds, a patient specific reason outlining why the particular test(s) could not be conducted must be provided with the authority application. </w:t>
            </w:r>
          </w:p>
        </w:tc>
        <w:tc>
          <w:tcPr>
            <w:tcW w:w="6637" w:type="dxa"/>
          </w:tcPr>
          <w:p w14:paraId="63815213"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This is not consistent with current guidelines that recommend although RHC is the gold standard for diagnosis, transthoracic echocardiography is the key </w:t>
            </w:r>
            <w:r w:rsidR="002F0F70" w:rsidRPr="00604AFE">
              <w:rPr>
                <w:rFonts w:ascii="Arial" w:hAnsi="Arial" w:cs="Arial"/>
                <w:sz w:val="20"/>
                <w:szCs w:val="20"/>
              </w:rPr>
              <w:t>non-invasive</w:t>
            </w:r>
            <w:r w:rsidRPr="00604AFE">
              <w:rPr>
                <w:rFonts w:ascii="Arial" w:hAnsi="Arial" w:cs="Arial"/>
                <w:sz w:val="20"/>
                <w:szCs w:val="20"/>
              </w:rPr>
              <w:t xml:space="preserve"> test</w:t>
            </w:r>
            <w:r w:rsidR="007123FC" w:rsidRPr="00604AFE">
              <w:rPr>
                <w:rFonts w:ascii="Arial" w:hAnsi="Arial" w:cs="Arial"/>
                <w:sz w:val="20"/>
                <w:szCs w:val="20"/>
              </w:rPr>
              <w:t xml:space="preserve"> that establishes if PAH is likely and thus if RHC is indicated</w:t>
            </w:r>
            <w:r w:rsidR="00C6734D" w:rsidRPr="00604AFE">
              <w:rPr>
                <w:rFonts w:ascii="Arial" w:hAnsi="Arial" w:cs="Arial"/>
                <w:sz w:val="20"/>
                <w:szCs w:val="20"/>
              </w:rPr>
              <w:t xml:space="preserve">. </w:t>
            </w:r>
            <w:r w:rsidRPr="00604AFE">
              <w:rPr>
                <w:rFonts w:ascii="Arial" w:hAnsi="Arial" w:cs="Arial"/>
                <w:sz w:val="20"/>
                <w:szCs w:val="20"/>
              </w:rPr>
              <w:t xml:space="preserve">Both are essential. On the other </w:t>
            </w:r>
            <w:proofErr w:type="gramStart"/>
            <w:r w:rsidRPr="00604AFE">
              <w:rPr>
                <w:rFonts w:ascii="Arial" w:hAnsi="Arial" w:cs="Arial"/>
                <w:sz w:val="20"/>
                <w:szCs w:val="20"/>
              </w:rPr>
              <w:t>hand</w:t>
            </w:r>
            <w:proofErr w:type="gramEnd"/>
            <w:r w:rsidRPr="00604AFE">
              <w:rPr>
                <w:rFonts w:ascii="Arial" w:hAnsi="Arial" w:cs="Arial"/>
                <w:sz w:val="20"/>
                <w:szCs w:val="20"/>
              </w:rPr>
              <w:t xml:space="preserve"> 6MWT is only one of many functional assessments that need to be performed </w:t>
            </w:r>
            <w:r w:rsidR="00EB5983" w:rsidRPr="00604AFE">
              <w:rPr>
                <w:rFonts w:ascii="Arial" w:hAnsi="Arial" w:cs="Arial"/>
                <w:sz w:val="20"/>
                <w:szCs w:val="20"/>
              </w:rPr>
              <w:t xml:space="preserve">at baseline </w:t>
            </w:r>
            <w:r w:rsidRPr="00604AFE">
              <w:rPr>
                <w:rFonts w:ascii="Arial" w:hAnsi="Arial" w:cs="Arial"/>
                <w:sz w:val="20"/>
                <w:szCs w:val="20"/>
              </w:rPr>
              <w:t>but are not essential for diagnosis. Further discussion</w:t>
            </w:r>
            <w:r w:rsidR="007123FC" w:rsidRPr="00604AFE">
              <w:rPr>
                <w:rFonts w:ascii="Arial" w:hAnsi="Arial" w:cs="Arial"/>
                <w:sz w:val="20"/>
                <w:szCs w:val="20"/>
              </w:rPr>
              <w:t xml:space="preserve"> is</w:t>
            </w:r>
            <w:r w:rsidRPr="00604AFE">
              <w:rPr>
                <w:rFonts w:ascii="Arial" w:hAnsi="Arial" w:cs="Arial"/>
                <w:sz w:val="20"/>
                <w:szCs w:val="20"/>
              </w:rPr>
              <w:t xml:space="preserve"> above in main body text. </w:t>
            </w:r>
          </w:p>
        </w:tc>
      </w:tr>
      <w:tr w:rsidR="00DA0A26" w:rsidRPr="00604AFE" w14:paraId="3090794B" w14:textId="77777777" w:rsidTr="00CD2967">
        <w:tc>
          <w:tcPr>
            <w:tcW w:w="7943" w:type="dxa"/>
            <w:tcBorders>
              <w:bottom w:val="single" w:sz="4" w:space="0" w:color="auto"/>
            </w:tcBorders>
          </w:tcPr>
          <w:p w14:paraId="10AC250A" w14:textId="77777777" w:rsidR="00DA0A26" w:rsidRPr="00FC25C7" w:rsidRDefault="00DA0A26" w:rsidP="00604AFE">
            <w:pPr>
              <w:spacing w:beforeLines="40" w:before="96" w:afterLines="40" w:after="96" w:line="240" w:lineRule="auto"/>
              <w:ind w:left="142" w:right="57"/>
              <w:rPr>
                <w:rFonts w:ascii="Arial" w:hAnsi="Arial" w:cs="Arial"/>
                <w:sz w:val="20"/>
                <w:szCs w:val="20"/>
                <w:u w:val="single"/>
              </w:rPr>
            </w:pPr>
            <w:r w:rsidRPr="00FC25C7">
              <w:rPr>
                <w:rFonts w:ascii="Arial" w:hAnsi="Arial" w:cs="Arial"/>
                <w:sz w:val="20"/>
                <w:szCs w:val="20"/>
                <w:u w:val="single"/>
              </w:rPr>
              <w:lastRenderedPageBreak/>
              <w:t>Prescribing instructions (‘initial 1’):</w:t>
            </w:r>
          </w:p>
          <w:p w14:paraId="37159A38" w14:textId="77777777" w:rsidR="00DA0A26" w:rsidRPr="00FC25C7" w:rsidRDefault="00DA0A26" w:rsidP="000D2508">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Details of prior vasodilator treatment</w:t>
            </w:r>
            <w:r w:rsidR="00B0148D" w:rsidRPr="00FC25C7">
              <w:rPr>
                <w:rFonts w:ascii="Arial" w:hAnsi="Arial" w:cs="Arial"/>
                <w:sz w:val="20"/>
                <w:szCs w:val="20"/>
              </w:rPr>
              <w:t xml:space="preserve"> (</w:t>
            </w:r>
            <w:r w:rsidR="003E052A" w:rsidRPr="00080C22">
              <w:rPr>
                <w:rFonts w:ascii="Arial" w:hAnsi="Arial" w:cs="Arial"/>
                <w:i/>
                <w:sz w:val="20"/>
                <w:szCs w:val="20"/>
              </w:rPr>
              <w:t xml:space="preserve">with </w:t>
            </w:r>
            <w:r w:rsidR="00B0148D" w:rsidRPr="00080C22">
              <w:rPr>
                <w:rFonts w:ascii="Arial" w:hAnsi="Arial" w:cs="Arial"/>
                <w:i/>
                <w:sz w:val="20"/>
                <w:szCs w:val="20"/>
              </w:rPr>
              <w:t>CCBs</w:t>
            </w:r>
            <w:r w:rsidR="00B0148D" w:rsidRPr="00FC25C7">
              <w:rPr>
                <w:rFonts w:ascii="Arial" w:hAnsi="Arial" w:cs="Arial"/>
                <w:sz w:val="20"/>
                <w:szCs w:val="20"/>
              </w:rPr>
              <w:t>)</w:t>
            </w:r>
            <w:r w:rsidRPr="00FC25C7">
              <w:rPr>
                <w:rFonts w:ascii="Arial" w:hAnsi="Arial" w:cs="Arial"/>
                <w:sz w:val="20"/>
                <w:szCs w:val="20"/>
              </w:rPr>
              <w:t xml:space="preserve">, including the dose and duration of treatment, must be provided at the time of application. Where the patient has an adverse event to a vasodilator </w:t>
            </w:r>
            <w:r w:rsidR="00B0148D" w:rsidRPr="00FC25C7">
              <w:rPr>
                <w:rFonts w:ascii="Arial" w:hAnsi="Arial" w:cs="Arial"/>
                <w:sz w:val="20"/>
                <w:szCs w:val="20"/>
              </w:rPr>
              <w:t>(</w:t>
            </w:r>
            <w:r w:rsidR="003E052A" w:rsidRPr="00080C22">
              <w:rPr>
                <w:rFonts w:ascii="Arial" w:hAnsi="Arial" w:cs="Arial"/>
                <w:i/>
                <w:sz w:val="20"/>
                <w:szCs w:val="20"/>
              </w:rPr>
              <w:t>with</w:t>
            </w:r>
            <w:r w:rsidR="003E052A" w:rsidRPr="00FC25C7">
              <w:rPr>
                <w:rFonts w:ascii="Arial" w:hAnsi="Arial" w:cs="Arial"/>
                <w:i/>
                <w:sz w:val="20"/>
                <w:szCs w:val="20"/>
              </w:rPr>
              <w:t xml:space="preserve"> a</w:t>
            </w:r>
            <w:r w:rsidR="003E052A" w:rsidRPr="00080C22">
              <w:rPr>
                <w:rFonts w:ascii="Arial" w:hAnsi="Arial" w:cs="Arial"/>
                <w:i/>
                <w:sz w:val="20"/>
                <w:szCs w:val="20"/>
              </w:rPr>
              <w:t xml:space="preserve"> </w:t>
            </w:r>
            <w:r w:rsidR="00B0148D" w:rsidRPr="00080C22">
              <w:rPr>
                <w:rFonts w:ascii="Arial" w:hAnsi="Arial" w:cs="Arial"/>
                <w:i/>
                <w:sz w:val="20"/>
                <w:szCs w:val="20"/>
              </w:rPr>
              <w:t>CCB</w:t>
            </w:r>
            <w:r w:rsidR="00B0148D" w:rsidRPr="00FC25C7">
              <w:rPr>
                <w:rFonts w:ascii="Arial" w:hAnsi="Arial" w:cs="Arial"/>
                <w:sz w:val="20"/>
                <w:szCs w:val="20"/>
              </w:rPr>
              <w:t xml:space="preserve">) </w:t>
            </w:r>
            <w:r w:rsidRPr="00FC25C7">
              <w:rPr>
                <w:rFonts w:ascii="Arial" w:hAnsi="Arial" w:cs="Arial"/>
                <w:sz w:val="20"/>
                <w:szCs w:val="20"/>
              </w:rPr>
              <w:t xml:space="preserve">or where vasodilator treatment </w:t>
            </w:r>
            <w:r w:rsidR="00B0148D" w:rsidRPr="00FC25C7">
              <w:rPr>
                <w:rFonts w:ascii="Arial" w:hAnsi="Arial" w:cs="Arial"/>
                <w:sz w:val="20"/>
                <w:szCs w:val="20"/>
              </w:rPr>
              <w:t>(</w:t>
            </w:r>
            <w:r w:rsidR="003E052A" w:rsidRPr="00080C22">
              <w:rPr>
                <w:rFonts w:ascii="Arial" w:hAnsi="Arial" w:cs="Arial"/>
                <w:i/>
                <w:sz w:val="20"/>
                <w:szCs w:val="20"/>
              </w:rPr>
              <w:t xml:space="preserve">with </w:t>
            </w:r>
            <w:r w:rsidR="00B0148D" w:rsidRPr="00080C22">
              <w:rPr>
                <w:rFonts w:ascii="Arial" w:hAnsi="Arial" w:cs="Arial"/>
                <w:i/>
                <w:sz w:val="20"/>
                <w:szCs w:val="20"/>
              </w:rPr>
              <w:t>CCB</w:t>
            </w:r>
            <w:r w:rsidR="003E052A" w:rsidRPr="00080C22">
              <w:rPr>
                <w:rFonts w:ascii="Arial" w:hAnsi="Arial" w:cs="Arial"/>
                <w:i/>
                <w:sz w:val="20"/>
                <w:szCs w:val="20"/>
              </w:rPr>
              <w:t>s</w:t>
            </w:r>
            <w:r w:rsidR="00B0148D" w:rsidRPr="00FC25C7">
              <w:rPr>
                <w:rFonts w:ascii="Arial" w:hAnsi="Arial" w:cs="Arial"/>
                <w:sz w:val="20"/>
                <w:szCs w:val="20"/>
              </w:rPr>
              <w:t xml:space="preserve">) </w:t>
            </w:r>
            <w:r w:rsidRPr="00FC25C7">
              <w:rPr>
                <w:rFonts w:ascii="Arial" w:hAnsi="Arial" w:cs="Arial"/>
                <w:sz w:val="20"/>
                <w:szCs w:val="20"/>
              </w:rPr>
              <w:t xml:space="preserve">is contraindicated, details of the nature of the adverse event or contraindication according to the Therapeutic Goods Administration (TGA) approved Product Information </w:t>
            </w:r>
            <w:proofErr w:type="gramStart"/>
            <w:r w:rsidRPr="00FC25C7">
              <w:rPr>
                <w:rFonts w:ascii="Arial" w:hAnsi="Arial" w:cs="Arial"/>
                <w:sz w:val="20"/>
                <w:szCs w:val="20"/>
              </w:rPr>
              <w:t>must also be provided</w:t>
            </w:r>
            <w:proofErr w:type="gramEnd"/>
            <w:r w:rsidRPr="00FC25C7">
              <w:rPr>
                <w:rFonts w:ascii="Arial" w:hAnsi="Arial" w:cs="Arial"/>
                <w:sz w:val="20"/>
                <w:szCs w:val="20"/>
              </w:rPr>
              <w:t xml:space="preserve"> with the application. </w:t>
            </w:r>
          </w:p>
        </w:tc>
        <w:tc>
          <w:tcPr>
            <w:tcW w:w="6637" w:type="dxa"/>
            <w:tcBorders>
              <w:bottom w:val="single" w:sz="4" w:space="0" w:color="auto"/>
            </w:tcBorders>
          </w:tcPr>
          <w:p w14:paraId="52CA28EA" w14:textId="77777777" w:rsidR="00DA0A26" w:rsidRPr="00604AFE" w:rsidRDefault="001F4168" w:rsidP="00604AFE">
            <w:pPr>
              <w:spacing w:beforeLines="40" w:before="96" w:afterLines="40" w:after="96" w:line="240" w:lineRule="auto"/>
              <w:ind w:left="142" w:right="57"/>
              <w:rPr>
                <w:rFonts w:ascii="Arial" w:hAnsi="Arial" w:cs="Arial"/>
                <w:sz w:val="20"/>
                <w:szCs w:val="20"/>
              </w:rPr>
            </w:pPr>
            <w:r w:rsidRPr="00FC25C7">
              <w:rPr>
                <w:rFonts w:ascii="Arial" w:hAnsi="Arial" w:cs="Arial"/>
                <w:sz w:val="20"/>
                <w:szCs w:val="20"/>
              </w:rPr>
              <w:t>Discussed in main body</w:t>
            </w:r>
            <w:r w:rsidR="003C17FA" w:rsidRPr="00FC25C7">
              <w:rPr>
                <w:rFonts w:ascii="Arial" w:hAnsi="Arial" w:cs="Arial"/>
                <w:sz w:val="20"/>
                <w:szCs w:val="20"/>
              </w:rPr>
              <w:t>.</w:t>
            </w:r>
            <w:r w:rsidR="003C17FA" w:rsidRPr="00604AFE">
              <w:rPr>
                <w:rFonts w:ascii="Arial" w:hAnsi="Arial" w:cs="Arial"/>
                <w:sz w:val="20"/>
                <w:szCs w:val="20"/>
              </w:rPr>
              <w:t xml:space="preserve"> </w:t>
            </w:r>
          </w:p>
        </w:tc>
      </w:tr>
      <w:tr w:rsidR="00DA0A26" w:rsidRPr="00604AFE" w14:paraId="3D704983" w14:textId="77777777" w:rsidTr="00CD2967">
        <w:trPr>
          <w:cantSplit w:val="0"/>
        </w:trPr>
        <w:tc>
          <w:tcPr>
            <w:tcW w:w="7943" w:type="dxa"/>
          </w:tcPr>
          <w:p w14:paraId="3189F562"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t>Prescribing Instruction (‘initial 1’; ‘initial 2’’; ‘initial 3’):</w:t>
            </w:r>
          </w:p>
          <w:p w14:paraId="149780DA"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Approvals for the first authority prescription will be limited to 1 month of therapy with the 62.5◦mg strength tablet, with the quantity approved based on the dosage recommendations in the Therapeutic Goods Administration (TGA) approved Product Information. No repeats will be authorised for this prescription.</w:t>
            </w:r>
          </w:p>
          <w:p w14:paraId="1336F348"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The second authority prescription </w:t>
            </w:r>
            <w:proofErr w:type="gramStart"/>
            <w:r w:rsidRPr="00604AFE">
              <w:rPr>
                <w:rFonts w:ascii="Arial" w:hAnsi="Arial" w:cs="Arial"/>
                <w:sz w:val="20"/>
                <w:szCs w:val="20"/>
              </w:rPr>
              <w:t>may be written</w:t>
            </w:r>
            <w:proofErr w:type="gramEnd"/>
            <w:r w:rsidRPr="00604AFE">
              <w:rPr>
                <w:rFonts w:ascii="Arial" w:hAnsi="Arial" w:cs="Arial"/>
                <w:sz w:val="20"/>
                <w:szCs w:val="20"/>
              </w:rPr>
              <w:t xml:space="preserve"> for either the 62.5 mg tablet or the 125 mg tablet strengths. Approvals for the second authority prescription will be limited to 1 month of treatment, with the quantity approved based on the dosage recommendations in the TGA-approved Product Information, and a maximum of 4 repeats.</w:t>
            </w:r>
          </w:p>
          <w:p w14:paraId="3E1FBA98" w14:textId="77777777" w:rsidR="00DA0A26" w:rsidRPr="00604AFE" w:rsidRDefault="00DA0A26" w:rsidP="00604AFE">
            <w:pPr>
              <w:keepNext/>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t>Note (‘initial 1’; ‘initial 2’’; ‘initial 3’):</w:t>
            </w:r>
          </w:p>
          <w:p w14:paraId="62461DDA"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Where the 62.5 mg tablet strength is required for the second authority prescription, please contact the Department of Human Services on 1800 700 270 (hours of operation 8 a.m. to 5 p.m. EST Monday to Friday) for further advice. </w:t>
            </w:r>
          </w:p>
          <w:p w14:paraId="36F41CB9"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The approved second authority prescription </w:t>
            </w:r>
            <w:proofErr w:type="gramStart"/>
            <w:r w:rsidRPr="00604AFE">
              <w:rPr>
                <w:rFonts w:ascii="Arial" w:hAnsi="Arial" w:cs="Arial"/>
                <w:sz w:val="20"/>
                <w:szCs w:val="20"/>
              </w:rPr>
              <w:t>will be returned</w:t>
            </w:r>
            <w:proofErr w:type="gramEnd"/>
            <w:r w:rsidRPr="00604AFE">
              <w:rPr>
                <w:rFonts w:ascii="Arial" w:hAnsi="Arial" w:cs="Arial"/>
                <w:sz w:val="20"/>
                <w:szCs w:val="20"/>
              </w:rPr>
              <w:t xml:space="preserve"> to the prescriber by the Department of Human Services two weeks after the date of the approval of the first authority prescription, to allow for the uninterrupted completion of the six months initial treatment course. The Department of Human Services will contact prescribers prior to dispatch of the second authority prescription to confirm the tablet stre</w:t>
            </w:r>
            <w:r w:rsidR="000A5A60" w:rsidRPr="00604AFE">
              <w:rPr>
                <w:rFonts w:ascii="Arial" w:hAnsi="Arial" w:cs="Arial"/>
                <w:sz w:val="20"/>
                <w:szCs w:val="20"/>
              </w:rPr>
              <w:t xml:space="preserve">ngth required for the patient. </w:t>
            </w:r>
          </w:p>
        </w:tc>
        <w:tc>
          <w:tcPr>
            <w:tcW w:w="6637" w:type="dxa"/>
          </w:tcPr>
          <w:p w14:paraId="4DFEA798"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Bosentan only, relates to initial and maintenance dosing phases.</w:t>
            </w:r>
          </w:p>
        </w:tc>
      </w:tr>
      <w:tr w:rsidR="00DA0A26" w:rsidRPr="00604AFE" w14:paraId="079FD567" w14:textId="77777777" w:rsidTr="00CD2967">
        <w:tc>
          <w:tcPr>
            <w:tcW w:w="7943" w:type="dxa"/>
          </w:tcPr>
          <w:p w14:paraId="17C0F185"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t>Prescribing Instruction:</w:t>
            </w:r>
          </w:p>
          <w:p w14:paraId="5FFE475E"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The assessment of the patient's response to the initial </w:t>
            </w:r>
            <w:proofErr w:type="gramStart"/>
            <w:r w:rsidRPr="00604AFE">
              <w:rPr>
                <w:rFonts w:ascii="Arial" w:hAnsi="Arial" w:cs="Arial"/>
                <w:sz w:val="20"/>
                <w:szCs w:val="20"/>
              </w:rPr>
              <w:t>6 month</w:t>
            </w:r>
            <w:proofErr w:type="gramEnd"/>
            <w:r w:rsidRPr="00604AFE">
              <w:rPr>
                <w:rFonts w:ascii="Arial" w:hAnsi="Arial" w:cs="Arial"/>
                <w:sz w:val="20"/>
                <w:szCs w:val="20"/>
              </w:rPr>
              <w:t xml:space="preserve"> course of treatment should be made following the preceding 5 months of treatment, in order to allow sufficient time for</w:t>
            </w:r>
            <w:r w:rsidR="000A5A60" w:rsidRPr="00604AFE">
              <w:rPr>
                <w:rFonts w:ascii="Arial" w:hAnsi="Arial" w:cs="Arial"/>
                <w:sz w:val="20"/>
                <w:szCs w:val="20"/>
              </w:rPr>
              <w:t xml:space="preserve"> a response to be demonstrated.</w:t>
            </w:r>
          </w:p>
        </w:tc>
        <w:tc>
          <w:tcPr>
            <w:tcW w:w="6637" w:type="dxa"/>
          </w:tcPr>
          <w:p w14:paraId="3904C900"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See comments regarding timing of monitoring and follow-up assessments in main body text. </w:t>
            </w:r>
          </w:p>
        </w:tc>
      </w:tr>
      <w:tr w:rsidR="00DA0A26" w:rsidRPr="00604AFE" w14:paraId="57B7BCBB" w14:textId="77777777" w:rsidTr="00CD2967">
        <w:tc>
          <w:tcPr>
            <w:tcW w:w="7943" w:type="dxa"/>
          </w:tcPr>
          <w:p w14:paraId="19CA8013"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lastRenderedPageBreak/>
              <w:t>Prescribing instruction (‘initial 1’; ‘initial 2’; ‘initial 3’; ‘first continuing’):</w:t>
            </w:r>
          </w:p>
          <w:p w14:paraId="08A02076"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Patients who fail to demonstrate a response to PBS-subsidised treatment with this agent at the time where an assessment is required must cease PBS-subsidised therapy with this agent. </w:t>
            </w:r>
          </w:p>
        </w:tc>
        <w:tc>
          <w:tcPr>
            <w:tcW w:w="6637" w:type="dxa"/>
          </w:tcPr>
          <w:p w14:paraId="020A1441" w14:textId="77777777" w:rsidR="00DA0A26" w:rsidRPr="00604AFE" w:rsidRDefault="00CD2967"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See main text</w:t>
            </w:r>
            <w:r w:rsidR="003C17FA" w:rsidRPr="00604AFE">
              <w:rPr>
                <w:rFonts w:ascii="Arial" w:hAnsi="Arial" w:cs="Arial"/>
                <w:sz w:val="20"/>
                <w:szCs w:val="20"/>
              </w:rPr>
              <w:t xml:space="preserve">. </w:t>
            </w:r>
          </w:p>
        </w:tc>
      </w:tr>
      <w:tr w:rsidR="00DA0A26" w:rsidRPr="00604AFE" w14:paraId="66003D87" w14:textId="77777777" w:rsidTr="00CD2967">
        <w:tc>
          <w:tcPr>
            <w:tcW w:w="7943" w:type="dxa"/>
          </w:tcPr>
          <w:p w14:paraId="3ED037D7"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t>Prescribing instruction (‘initial 3’):</w:t>
            </w:r>
          </w:p>
          <w:p w14:paraId="54FAFEC8"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Swapping between PAH agents: Patients can access PAH agents through the PBS according to the relevant restrictions. Once these patients are approved initial treatment with 1 of these 8 drugs, they may swap between PAH agents at any time without having to re-qualify for treatment with the alternate agent. This means that patients may commence treatment with the alternate agent, subject to that agent's </w:t>
            </w:r>
            <w:proofErr w:type="gramStart"/>
            <w:r w:rsidRPr="00604AFE">
              <w:rPr>
                <w:rFonts w:ascii="Arial" w:hAnsi="Arial" w:cs="Arial"/>
                <w:sz w:val="20"/>
                <w:szCs w:val="20"/>
              </w:rPr>
              <w:t>restriction,</w:t>
            </w:r>
            <w:proofErr w:type="gramEnd"/>
            <w:r w:rsidRPr="00604AFE">
              <w:rPr>
                <w:rFonts w:ascii="Arial" w:hAnsi="Arial" w:cs="Arial"/>
                <w:sz w:val="20"/>
                <w:szCs w:val="20"/>
              </w:rPr>
              <w:t xml:space="preserve"> irrespective of the severity of their disease at the time the application to swap therapy is submitted. It also means that no new baseline measurements will be necessary. New baselines </w:t>
            </w:r>
            <w:proofErr w:type="gramStart"/>
            <w:r w:rsidRPr="00604AFE">
              <w:rPr>
                <w:rFonts w:ascii="Arial" w:hAnsi="Arial" w:cs="Arial"/>
                <w:sz w:val="20"/>
                <w:szCs w:val="20"/>
              </w:rPr>
              <w:t>may be submitted</w:t>
            </w:r>
            <w:proofErr w:type="gramEnd"/>
            <w:r w:rsidRPr="00604AFE">
              <w:rPr>
                <w:rFonts w:ascii="Arial" w:hAnsi="Arial" w:cs="Arial"/>
                <w:sz w:val="20"/>
                <w:szCs w:val="20"/>
              </w:rPr>
              <w:t xml:space="preserve"> where the patient has failed to respond to their current treatment. Eligible patients may only swap between PAH agents if they have not failed prior PBS-subsidised treatment with that agent.</w:t>
            </w:r>
            <w:r w:rsidRPr="00604AFE">
              <w:rPr>
                <w:rFonts w:ascii="Arial" w:hAnsi="Arial" w:cs="Arial"/>
                <w:b/>
                <w:sz w:val="20"/>
                <w:szCs w:val="20"/>
              </w:rPr>
              <w:t xml:space="preserve"> </w:t>
            </w:r>
            <w:r w:rsidRPr="00604AFE">
              <w:rPr>
                <w:rFonts w:ascii="Arial" w:hAnsi="Arial" w:cs="Arial"/>
                <w:sz w:val="20"/>
                <w:szCs w:val="20"/>
              </w:rPr>
              <w:t xml:space="preserve">For eligible patients, applications to swap between the 8 PAH agents </w:t>
            </w:r>
            <w:proofErr w:type="gramStart"/>
            <w:r w:rsidRPr="00604AFE">
              <w:rPr>
                <w:rFonts w:ascii="Arial" w:hAnsi="Arial" w:cs="Arial"/>
                <w:sz w:val="20"/>
                <w:szCs w:val="20"/>
              </w:rPr>
              <w:t>must be made</w:t>
            </w:r>
            <w:proofErr w:type="gramEnd"/>
            <w:r w:rsidRPr="00604AFE">
              <w:rPr>
                <w:rFonts w:ascii="Arial" w:hAnsi="Arial" w:cs="Arial"/>
                <w:sz w:val="20"/>
                <w:szCs w:val="20"/>
              </w:rPr>
              <w:t xml:space="preserve"> under the relevant initial treatment restriction. Patients </w:t>
            </w:r>
            <w:proofErr w:type="gramStart"/>
            <w:r w:rsidRPr="00604AFE">
              <w:rPr>
                <w:rFonts w:ascii="Arial" w:hAnsi="Arial" w:cs="Arial"/>
                <w:sz w:val="20"/>
                <w:szCs w:val="20"/>
              </w:rPr>
              <w:t>should be assessed</w:t>
            </w:r>
            <w:proofErr w:type="gramEnd"/>
            <w:r w:rsidRPr="00604AFE">
              <w:rPr>
                <w:rFonts w:ascii="Arial" w:hAnsi="Arial" w:cs="Arial"/>
                <w:sz w:val="20"/>
                <w:szCs w:val="20"/>
              </w:rPr>
              <w:t xml:space="preserve"> for response to the treatment they are ceasing at the time the application to swap therapy is being made. Patients who fail to demonstrate a response or for whom no assessment results </w:t>
            </w:r>
            <w:proofErr w:type="gramStart"/>
            <w:r w:rsidRPr="00604AFE">
              <w:rPr>
                <w:rFonts w:ascii="Arial" w:hAnsi="Arial" w:cs="Arial"/>
                <w:sz w:val="20"/>
                <w:szCs w:val="20"/>
              </w:rPr>
              <w:t>are submitted</w:t>
            </w:r>
            <w:proofErr w:type="gramEnd"/>
            <w:r w:rsidRPr="00604AFE">
              <w:rPr>
                <w:rFonts w:ascii="Arial" w:hAnsi="Arial" w:cs="Arial"/>
                <w:sz w:val="20"/>
                <w:szCs w:val="20"/>
              </w:rPr>
              <w:t xml:space="preserve"> with the application to swap therapy may not re-commence PBS-subsidised treatment with the drug they are ceasing.</w:t>
            </w:r>
          </w:p>
          <w:p w14:paraId="3C0D2A07"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t>Note:</w:t>
            </w:r>
          </w:p>
          <w:p w14:paraId="6012338B"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Applications for patients who wish to swap to an alternate PAH agent </w:t>
            </w:r>
            <w:proofErr w:type="gramStart"/>
            <w:r w:rsidRPr="00604AFE">
              <w:rPr>
                <w:rFonts w:ascii="Arial" w:hAnsi="Arial" w:cs="Arial"/>
                <w:sz w:val="20"/>
                <w:szCs w:val="20"/>
              </w:rPr>
              <w:t>should be accompanied</w:t>
            </w:r>
            <w:proofErr w:type="gramEnd"/>
            <w:r w:rsidRPr="00604AFE">
              <w:rPr>
                <w:rFonts w:ascii="Arial" w:hAnsi="Arial" w:cs="Arial"/>
                <w:sz w:val="20"/>
                <w:szCs w:val="20"/>
              </w:rPr>
              <w:t xml:space="preserve"> by the previously approved authority prescription, or remaining repeats, for the treatment the patient is ceasing. </w:t>
            </w:r>
          </w:p>
        </w:tc>
        <w:tc>
          <w:tcPr>
            <w:tcW w:w="6637" w:type="dxa"/>
          </w:tcPr>
          <w:p w14:paraId="35505601"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Swapping </w:t>
            </w:r>
            <w:proofErr w:type="gramStart"/>
            <w:r w:rsidRPr="00604AFE">
              <w:rPr>
                <w:rFonts w:ascii="Arial" w:hAnsi="Arial" w:cs="Arial"/>
                <w:sz w:val="20"/>
                <w:szCs w:val="20"/>
              </w:rPr>
              <w:t>is intended</w:t>
            </w:r>
            <w:proofErr w:type="gramEnd"/>
            <w:r w:rsidRPr="00604AFE">
              <w:rPr>
                <w:rFonts w:ascii="Arial" w:hAnsi="Arial" w:cs="Arial"/>
                <w:sz w:val="20"/>
                <w:szCs w:val="20"/>
              </w:rPr>
              <w:t xml:space="preserve"> for patients who have taken a break from treatment but were responding, or whose previous PAH treatment was with a different agent.</w:t>
            </w:r>
            <w:r w:rsidR="00BB276C" w:rsidRPr="00604AFE">
              <w:rPr>
                <w:rFonts w:ascii="Arial" w:hAnsi="Arial" w:cs="Arial"/>
                <w:sz w:val="20"/>
                <w:szCs w:val="20"/>
              </w:rPr>
              <w:t xml:space="preserve"> The guidelines reviewed contain essentially no recommendations on switching</w:t>
            </w:r>
            <w:r w:rsidR="003C17FA" w:rsidRPr="00604AFE">
              <w:rPr>
                <w:rFonts w:ascii="Arial" w:hAnsi="Arial" w:cs="Arial"/>
                <w:sz w:val="20"/>
                <w:szCs w:val="20"/>
              </w:rPr>
              <w:t xml:space="preserve">. </w:t>
            </w:r>
          </w:p>
        </w:tc>
      </w:tr>
      <w:tr w:rsidR="00DA0A26" w:rsidRPr="00604AFE" w14:paraId="41AC99EF" w14:textId="77777777" w:rsidTr="00CD2967">
        <w:tc>
          <w:tcPr>
            <w:tcW w:w="7943" w:type="dxa"/>
          </w:tcPr>
          <w:p w14:paraId="324543BA"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t>Clinical criterion (‘Initial 4’ – Grandfathered patients)</w:t>
            </w:r>
          </w:p>
          <w:p w14:paraId="26440EB0"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Patient must have previously received treatment with this drug for this condition prior to 1 February 2017</w:t>
            </w:r>
          </w:p>
          <w:p w14:paraId="1BF440CB"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t>Clinical criterion (‘Initial 4’ – Grandfathered patients)</w:t>
            </w:r>
          </w:p>
          <w:p w14:paraId="046670D5"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Patient must be receiving treatment with this drug at the time of application</w:t>
            </w:r>
          </w:p>
        </w:tc>
        <w:tc>
          <w:tcPr>
            <w:tcW w:w="6637" w:type="dxa"/>
          </w:tcPr>
          <w:p w14:paraId="690360FC"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Grandfathered access for patients otherwise identical to ‘initial 1’. Not considered in this review. </w:t>
            </w:r>
          </w:p>
        </w:tc>
      </w:tr>
      <w:tr w:rsidR="00DA0A26" w:rsidRPr="00604AFE" w14:paraId="71DCB1C2" w14:textId="77777777" w:rsidTr="00CD2967">
        <w:tc>
          <w:tcPr>
            <w:tcW w:w="7943" w:type="dxa"/>
          </w:tcPr>
          <w:p w14:paraId="159A3F5E"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lastRenderedPageBreak/>
              <w:t>Clinical criterion (‘Initial 5’ – Grandfathered patients)</w:t>
            </w:r>
          </w:p>
          <w:p w14:paraId="597DAEF2"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Patient must have previously received treatment with this drug for this condition prior to 1 February 2017</w:t>
            </w:r>
          </w:p>
          <w:p w14:paraId="45AD63CA" w14:textId="77777777" w:rsidR="00DA0A26" w:rsidRPr="00604AFE" w:rsidRDefault="00DA0A26" w:rsidP="00604AFE">
            <w:pPr>
              <w:spacing w:beforeLines="40" w:before="96" w:afterLines="40" w:after="96" w:line="240" w:lineRule="auto"/>
              <w:ind w:left="142" w:right="57"/>
              <w:rPr>
                <w:rFonts w:ascii="Arial" w:hAnsi="Arial" w:cs="Arial"/>
                <w:sz w:val="20"/>
                <w:szCs w:val="20"/>
                <w:u w:val="single"/>
              </w:rPr>
            </w:pPr>
            <w:r w:rsidRPr="00604AFE">
              <w:rPr>
                <w:rFonts w:ascii="Arial" w:hAnsi="Arial" w:cs="Arial"/>
                <w:sz w:val="20"/>
                <w:szCs w:val="20"/>
                <w:u w:val="single"/>
              </w:rPr>
              <w:t>Clinical criterion (‘Initial 5’ – Grandfathered patients)</w:t>
            </w:r>
          </w:p>
          <w:p w14:paraId="27DA091C"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Patient must be receiving treatment with this drug at the time of application</w:t>
            </w:r>
          </w:p>
        </w:tc>
        <w:tc>
          <w:tcPr>
            <w:tcW w:w="6637" w:type="dxa"/>
          </w:tcPr>
          <w:p w14:paraId="729C5102" w14:textId="77777777" w:rsidR="00DA0A26" w:rsidRPr="00604AFE" w:rsidRDefault="00DA0A26" w:rsidP="00604AFE">
            <w:pPr>
              <w:spacing w:beforeLines="40" w:before="96" w:afterLines="40" w:after="96" w:line="240" w:lineRule="auto"/>
              <w:ind w:left="142" w:right="57"/>
              <w:rPr>
                <w:rFonts w:ascii="Arial" w:hAnsi="Arial" w:cs="Arial"/>
                <w:sz w:val="20"/>
                <w:szCs w:val="20"/>
              </w:rPr>
            </w:pPr>
            <w:r w:rsidRPr="00604AFE">
              <w:rPr>
                <w:rFonts w:ascii="Arial" w:hAnsi="Arial" w:cs="Arial"/>
                <w:sz w:val="20"/>
                <w:szCs w:val="20"/>
              </w:rPr>
              <w:t xml:space="preserve">Grandfathered access for patients otherwise identical to ‘initial 2’. Not considered in this review. </w:t>
            </w:r>
          </w:p>
        </w:tc>
      </w:tr>
    </w:tbl>
    <w:p w14:paraId="3A9C5F61" w14:textId="77777777" w:rsidR="00DA0A26" w:rsidRPr="00604AFE" w:rsidRDefault="00DA0A26" w:rsidP="00604AFE">
      <w:pPr>
        <w:pStyle w:val="Tablenote"/>
        <w:ind w:left="142"/>
        <w:rPr>
          <w:rFonts w:ascii="Arial" w:hAnsi="Arial" w:cs="Arial"/>
        </w:rPr>
      </w:pPr>
      <w:r w:rsidRPr="00604AFE">
        <w:rPr>
          <w:rFonts w:ascii="Arial" w:hAnsi="Arial" w:cs="Arial"/>
        </w:rPr>
        <w:t xml:space="preserve">Source: </w:t>
      </w:r>
      <w:r w:rsidRPr="00F4698B">
        <w:rPr>
          <w:rFonts w:ascii="Arial" w:hAnsi="Arial" w:cs="Arial"/>
        </w:rPr>
        <w:t>www.pbs.gov.au</w:t>
      </w:r>
    </w:p>
    <w:p w14:paraId="1C03E87A" w14:textId="77777777" w:rsidR="00DA0A26" w:rsidRDefault="00DA0A26" w:rsidP="00121658">
      <w:r>
        <w:br w:type="page"/>
      </w:r>
    </w:p>
    <w:p w14:paraId="5CFA5ACC" w14:textId="77777777" w:rsidR="00DA0A26" w:rsidRDefault="00F275ED" w:rsidP="00604AFE">
      <w:pPr>
        <w:pStyle w:val="Caption"/>
        <w:ind w:left="0" w:firstLine="0"/>
        <w:jc w:val="left"/>
      </w:pPr>
      <w:bookmarkStart w:id="366" w:name="_Ref508899791"/>
      <w:bookmarkStart w:id="367" w:name="_Ref502147731"/>
      <w:bookmarkStart w:id="368" w:name="_Toc502867746"/>
      <w:bookmarkStart w:id="369" w:name="_Toc29377270"/>
      <w:r>
        <w:lastRenderedPageBreak/>
        <w:t>Table 1.</w:t>
      </w:r>
      <w:r w:rsidR="00505D99">
        <w:rPr>
          <w:noProof/>
        </w:rPr>
        <w:t>24</w:t>
      </w:r>
      <w:bookmarkEnd w:id="366"/>
      <w:r w:rsidR="000B7685">
        <w:tab/>
      </w:r>
      <w:r w:rsidR="00562100">
        <w:t>PAH continuing treatment</w:t>
      </w:r>
      <w:r w:rsidR="00DA0A26">
        <w:t>: clinical criteria and prescribing instructions</w:t>
      </w:r>
      <w:bookmarkEnd w:id="367"/>
      <w:bookmarkEnd w:id="368"/>
      <w:bookmarkEnd w:id="369"/>
    </w:p>
    <w:tbl>
      <w:tblPr>
        <w:tblStyle w:val="TableGrid"/>
        <w:tblW w:w="5000" w:type="pct"/>
        <w:tblLook w:val="04A0" w:firstRow="1" w:lastRow="0" w:firstColumn="1" w:lastColumn="0" w:noHBand="0" w:noVBand="1"/>
        <w:tblCaption w:val="PAH continuing treatment: clinical criteria and prescribing instructions"/>
      </w:tblPr>
      <w:tblGrid>
        <w:gridCol w:w="7691"/>
        <w:gridCol w:w="6869"/>
      </w:tblGrid>
      <w:tr w:rsidR="00DA0A26" w:rsidRPr="00604AFE" w14:paraId="11B01CD6" w14:textId="77777777" w:rsidTr="00027EEF">
        <w:trPr>
          <w:cnfStyle w:val="100000000000" w:firstRow="1" w:lastRow="0" w:firstColumn="0" w:lastColumn="0" w:oddVBand="0" w:evenVBand="0" w:oddHBand="0" w:evenHBand="0" w:firstRowFirstColumn="0" w:firstRowLastColumn="0" w:lastRowFirstColumn="0" w:lastRowLastColumn="0"/>
        </w:trPr>
        <w:tc>
          <w:tcPr>
            <w:tcW w:w="2641" w:type="pct"/>
            <w:shd w:val="clear" w:color="auto" w:fill="BFBFBF" w:themeFill="background1" w:themeFillShade="BF"/>
          </w:tcPr>
          <w:p w14:paraId="0B7A3315" w14:textId="77777777" w:rsidR="00DA0A26" w:rsidRPr="00604AFE" w:rsidRDefault="00DA0A26" w:rsidP="00604AFE">
            <w:pPr>
              <w:spacing w:beforeLines="40" w:before="96" w:afterLines="40" w:after="96" w:line="240" w:lineRule="auto"/>
              <w:ind w:left="147" w:right="57"/>
              <w:rPr>
                <w:rFonts w:ascii="Arial" w:hAnsi="Arial" w:cs="Arial"/>
                <w:b/>
                <w:sz w:val="20"/>
                <w:szCs w:val="20"/>
              </w:rPr>
            </w:pPr>
            <w:r w:rsidRPr="00604AFE">
              <w:rPr>
                <w:rFonts w:ascii="Arial" w:hAnsi="Arial" w:cs="Arial"/>
                <w:b/>
                <w:sz w:val="20"/>
                <w:szCs w:val="20"/>
              </w:rPr>
              <w:t>Current PBS Restriction</w:t>
            </w:r>
          </w:p>
        </w:tc>
        <w:tc>
          <w:tcPr>
            <w:tcW w:w="2359" w:type="pct"/>
            <w:shd w:val="clear" w:color="auto" w:fill="BFBFBF" w:themeFill="background1" w:themeFillShade="BF"/>
          </w:tcPr>
          <w:p w14:paraId="6A06607A" w14:textId="77777777" w:rsidR="00DA0A26" w:rsidRPr="00604AFE" w:rsidRDefault="00DA0A26" w:rsidP="00604AFE">
            <w:pPr>
              <w:spacing w:beforeLines="40" w:before="96" w:afterLines="40" w:after="96" w:line="240" w:lineRule="auto"/>
              <w:ind w:left="147" w:right="57"/>
              <w:rPr>
                <w:rFonts w:ascii="Arial" w:hAnsi="Arial" w:cs="Arial"/>
                <w:b/>
                <w:sz w:val="20"/>
                <w:szCs w:val="20"/>
              </w:rPr>
            </w:pPr>
            <w:r w:rsidRPr="00604AFE">
              <w:rPr>
                <w:rFonts w:ascii="Arial" w:hAnsi="Arial" w:cs="Arial"/>
                <w:b/>
                <w:sz w:val="20"/>
                <w:szCs w:val="20"/>
              </w:rPr>
              <w:t>Comment</w:t>
            </w:r>
          </w:p>
        </w:tc>
      </w:tr>
      <w:tr w:rsidR="00DA0A26" w:rsidRPr="00604AFE" w14:paraId="139DE44A" w14:textId="77777777" w:rsidTr="00027EEF">
        <w:tc>
          <w:tcPr>
            <w:tcW w:w="2641" w:type="pct"/>
          </w:tcPr>
          <w:p w14:paraId="2C4F0287" w14:textId="77777777" w:rsidR="00DA0A26" w:rsidRPr="00604AFE" w:rsidRDefault="00DA0A26" w:rsidP="00604AFE">
            <w:pPr>
              <w:spacing w:beforeLines="40" w:before="96" w:afterLines="40" w:after="96" w:line="240" w:lineRule="auto"/>
              <w:ind w:left="147" w:right="57"/>
              <w:rPr>
                <w:rFonts w:ascii="Arial" w:hAnsi="Arial" w:cs="Arial"/>
                <w:sz w:val="20"/>
                <w:szCs w:val="20"/>
                <w:u w:val="single"/>
              </w:rPr>
            </w:pPr>
            <w:r w:rsidRPr="00604AFE">
              <w:rPr>
                <w:rFonts w:ascii="Arial" w:hAnsi="Arial" w:cs="Arial"/>
                <w:sz w:val="20"/>
                <w:szCs w:val="20"/>
                <w:u w:val="single"/>
              </w:rPr>
              <w:t>Clinical criterion (‘first continuing’):</w:t>
            </w:r>
          </w:p>
          <w:p w14:paraId="6E20C524"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Patient must have received a PBS-subsidised initial course of treatment with this agent for this condition</w:t>
            </w:r>
          </w:p>
          <w:p w14:paraId="7A37D695" w14:textId="77777777" w:rsidR="00DA0A26" w:rsidRPr="00604AFE" w:rsidRDefault="00DA0A26" w:rsidP="00604AFE">
            <w:pPr>
              <w:spacing w:beforeLines="40" w:before="96" w:afterLines="40" w:after="96" w:line="240" w:lineRule="auto"/>
              <w:ind w:left="147" w:right="57"/>
              <w:rPr>
                <w:rFonts w:ascii="Arial" w:hAnsi="Arial" w:cs="Arial"/>
                <w:sz w:val="20"/>
                <w:szCs w:val="20"/>
                <w:u w:val="single"/>
              </w:rPr>
            </w:pPr>
            <w:r w:rsidRPr="00604AFE">
              <w:rPr>
                <w:rFonts w:ascii="Arial" w:hAnsi="Arial" w:cs="Arial"/>
                <w:sz w:val="20"/>
                <w:szCs w:val="20"/>
                <w:u w:val="single"/>
              </w:rPr>
              <w:t>Clinical criterion (‘subsequent continuing’):</w:t>
            </w:r>
          </w:p>
          <w:p w14:paraId="4B301088"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Patient must have received a PBS-subsidised treatment under First Continuing treatment with this agent for this condition; OR</w:t>
            </w:r>
          </w:p>
          <w:p w14:paraId="0DF71BBC"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Patient must have previously received PBS-subsidised treatment under this criteria wit</w:t>
            </w:r>
            <w:r w:rsidR="002075E2" w:rsidRPr="00604AFE">
              <w:rPr>
                <w:rFonts w:ascii="Arial" w:hAnsi="Arial" w:cs="Arial"/>
                <w:sz w:val="20"/>
                <w:szCs w:val="20"/>
              </w:rPr>
              <w:t>h this agent for this condition</w:t>
            </w:r>
          </w:p>
        </w:tc>
        <w:tc>
          <w:tcPr>
            <w:tcW w:w="2359" w:type="pct"/>
          </w:tcPr>
          <w:p w14:paraId="5BEFA51B"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w:t>
            </w:r>
          </w:p>
        </w:tc>
      </w:tr>
      <w:tr w:rsidR="00DA0A26" w:rsidRPr="00604AFE" w14:paraId="7144F31A" w14:textId="77777777" w:rsidTr="00027EEF">
        <w:tc>
          <w:tcPr>
            <w:tcW w:w="2641" w:type="pct"/>
          </w:tcPr>
          <w:p w14:paraId="2B4B9871" w14:textId="77777777" w:rsidR="00DA0A26" w:rsidRPr="00604AFE" w:rsidRDefault="00DA0A26" w:rsidP="00604AFE">
            <w:pPr>
              <w:spacing w:beforeLines="40" w:before="96" w:afterLines="40" w:after="96" w:line="240" w:lineRule="auto"/>
              <w:ind w:left="147" w:right="57"/>
              <w:rPr>
                <w:rFonts w:ascii="Arial" w:hAnsi="Arial" w:cs="Arial"/>
                <w:sz w:val="20"/>
                <w:szCs w:val="20"/>
                <w:u w:val="single"/>
              </w:rPr>
            </w:pPr>
            <w:r w:rsidRPr="00604AFE">
              <w:rPr>
                <w:rFonts w:ascii="Arial" w:hAnsi="Arial" w:cs="Arial"/>
                <w:sz w:val="20"/>
                <w:szCs w:val="20"/>
                <w:u w:val="single"/>
              </w:rPr>
              <w:t>Clinical criterion (‘balance of supply’):</w:t>
            </w:r>
          </w:p>
          <w:p w14:paraId="0E23EB50"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Patient must have received insufficient therapy with this agent under the Initial 1 (new patients) restriction to complete a maximum of six months of treatment; OR</w:t>
            </w:r>
          </w:p>
          <w:p w14:paraId="130721C0"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Patient must have received insufficient therapy with this agent under the Initial 2 (new patients) restriction to complete a maximum of six months of treatment; OR</w:t>
            </w:r>
          </w:p>
          <w:p w14:paraId="13A67362"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Patient must have received insufficient therapy with this agent under the Initial 3 (change or re-commencement of therapy for all patients) restriction to complete a maximum of six months of treatment; OR</w:t>
            </w:r>
          </w:p>
          <w:p w14:paraId="73A525A7" w14:textId="77777777" w:rsidR="00DA0A26" w:rsidRPr="00604AFE" w:rsidRDefault="00DA0A26" w:rsidP="00604AFE">
            <w:pPr>
              <w:spacing w:beforeLines="40" w:before="96" w:afterLines="40" w:after="96" w:line="240" w:lineRule="auto"/>
              <w:ind w:left="147" w:right="57"/>
              <w:rPr>
                <w:rFonts w:ascii="Arial" w:hAnsi="Arial" w:cs="Arial"/>
                <w:sz w:val="20"/>
                <w:szCs w:val="20"/>
                <w:u w:val="single"/>
              </w:rPr>
            </w:pPr>
            <w:r w:rsidRPr="00604AFE">
              <w:rPr>
                <w:rFonts w:ascii="Arial" w:hAnsi="Arial" w:cs="Arial"/>
                <w:sz w:val="20"/>
                <w:szCs w:val="20"/>
              </w:rPr>
              <w:t>Patient must have received insufficient therapy with this agent under the First Continuing treatment restriction to complete a maximum of six months of treatment,</w:t>
            </w:r>
          </w:p>
        </w:tc>
        <w:tc>
          <w:tcPr>
            <w:tcW w:w="2359" w:type="pct"/>
          </w:tcPr>
          <w:p w14:paraId="21A27A92"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As with all PBS items for treatment of chronic conditions, one script should provide one month’s supply with repeats sufficient for a total of 6 months’ treatment in total</w:t>
            </w:r>
            <w:r w:rsidR="00C6734D" w:rsidRPr="00604AFE">
              <w:rPr>
                <w:rFonts w:ascii="Arial" w:hAnsi="Arial" w:cs="Arial"/>
                <w:sz w:val="20"/>
                <w:szCs w:val="20"/>
              </w:rPr>
              <w:t xml:space="preserve">. </w:t>
            </w:r>
          </w:p>
        </w:tc>
      </w:tr>
      <w:tr w:rsidR="00DA0A26" w:rsidRPr="00604AFE" w14:paraId="7AF0A61A" w14:textId="77777777" w:rsidTr="00BB276C">
        <w:tc>
          <w:tcPr>
            <w:tcW w:w="2641" w:type="pct"/>
            <w:tcBorders>
              <w:bottom w:val="single" w:sz="4" w:space="0" w:color="auto"/>
            </w:tcBorders>
          </w:tcPr>
          <w:p w14:paraId="7D2F11E5" w14:textId="77777777" w:rsidR="00DA0A26" w:rsidRPr="00604AFE" w:rsidRDefault="00DA0A26" w:rsidP="00604AFE">
            <w:pPr>
              <w:spacing w:beforeLines="40" w:before="96" w:afterLines="40" w:after="96" w:line="240" w:lineRule="auto"/>
              <w:ind w:left="147" w:right="57"/>
              <w:rPr>
                <w:rFonts w:ascii="Arial" w:hAnsi="Arial" w:cs="Arial"/>
                <w:sz w:val="20"/>
                <w:szCs w:val="20"/>
                <w:u w:val="single"/>
              </w:rPr>
            </w:pPr>
            <w:r w:rsidRPr="00604AFE">
              <w:rPr>
                <w:rFonts w:ascii="Arial" w:hAnsi="Arial" w:cs="Arial"/>
                <w:sz w:val="20"/>
                <w:szCs w:val="20"/>
                <w:u w:val="single"/>
              </w:rPr>
              <w:t>Clinical criterion (‘balance of supply’):</w:t>
            </w:r>
          </w:p>
          <w:p w14:paraId="11CE7C4D"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The treatment must provide no more than the balance of up to six months treatment available under one of the above restrictions.</w:t>
            </w:r>
          </w:p>
        </w:tc>
        <w:tc>
          <w:tcPr>
            <w:tcW w:w="2359" w:type="pct"/>
            <w:tcBorders>
              <w:bottom w:val="single" w:sz="4" w:space="0" w:color="auto"/>
            </w:tcBorders>
          </w:tcPr>
          <w:p w14:paraId="39833E0F"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As with all PBS items for treatment of chronic conditions, one script should provide one month’s supply with repeats sufficient for a total of 6 months’ treatment in total</w:t>
            </w:r>
            <w:r w:rsidR="00C6734D" w:rsidRPr="00604AFE">
              <w:rPr>
                <w:rFonts w:ascii="Arial" w:hAnsi="Arial" w:cs="Arial"/>
                <w:sz w:val="20"/>
                <w:szCs w:val="20"/>
              </w:rPr>
              <w:t xml:space="preserve">. </w:t>
            </w:r>
          </w:p>
        </w:tc>
      </w:tr>
      <w:tr w:rsidR="00DA0A26" w:rsidRPr="00604AFE" w14:paraId="5D9EBE1D" w14:textId="77777777" w:rsidTr="00BB276C">
        <w:tc>
          <w:tcPr>
            <w:tcW w:w="2641" w:type="pct"/>
            <w:tcBorders>
              <w:bottom w:val="single" w:sz="4" w:space="0" w:color="auto"/>
            </w:tcBorders>
          </w:tcPr>
          <w:p w14:paraId="7D213FC8"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u w:val="single"/>
              </w:rPr>
              <w:lastRenderedPageBreak/>
              <w:t>Prescribing instruction (‘first continuing’):</w:t>
            </w:r>
          </w:p>
          <w:p w14:paraId="7F98E419"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Test requirements to establish response to treatment for continuation of treatment are as follows:</w:t>
            </w:r>
          </w:p>
          <w:p w14:paraId="27738A72"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The following list outlines the preferred test combination, in descending order, for the purposes of continuation of PBS-subsidised treatment:</w:t>
            </w:r>
          </w:p>
          <w:p w14:paraId="1692F888"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(1) RHC plus ECHO composite assessments plus 6MWT;</w:t>
            </w:r>
          </w:p>
          <w:p w14:paraId="1F5526F7"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(2) RHC plus ECHO composite assessments;</w:t>
            </w:r>
          </w:p>
          <w:p w14:paraId="20C495FE"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(3) RHC composite assessment plus 6MWT;</w:t>
            </w:r>
          </w:p>
          <w:p w14:paraId="30BAF6F5"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(4) ECHO composite assessment plus 6MWT;</w:t>
            </w:r>
          </w:p>
          <w:p w14:paraId="0FA0EC00"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(5) RHC composite assessment only;</w:t>
            </w:r>
          </w:p>
          <w:p w14:paraId="2B8A6B0E"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(6) ECHO composite assessment only.</w:t>
            </w:r>
          </w:p>
        </w:tc>
        <w:tc>
          <w:tcPr>
            <w:tcW w:w="2359" w:type="pct"/>
            <w:tcBorders>
              <w:bottom w:val="single" w:sz="4" w:space="0" w:color="auto"/>
            </w:tcBorders>
          </w:tcPr>
          <w:p w14:paraId="7839D49F"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 xml:space="preserve">This offers the possibility to skip RHC if ECHO and 6MWT are in hand and if all three tests </w:t>
            </w:r>
            <w:proofErr w:type="gramStart"/>
            <w:r w:rsidRPr="00604AFE">
              <w:rPr>
                <w:rFonts w:ascii="Arial" w:hAnsi="Arial" w:cs="Arial"/>
                <w:sz w:val="20"/>
                <w:szCs w:val="20"/>
              </w:rPr>
              <w:t>were conducted</w:t>
            </w:r>
            <w:proofErr w:type="gramEnd"/>
            <w:r w:rsidRPr="00604AFE">
              <w:rPr>
                <w:rFonts w:ascii="Arial" w:hAnsi="Arial" w:cs="Arial"/>
                <w:sz w:val="20"/>
                <w:szCs w:val="20"/>
              </w:rPr>
              <w:t xml:space="preserve"> at baseline. This </w:t>
            </w:r>
            <w:proofErr w:type="gramStart"/>
            <w:r w:rsidRPr="00604AFE">
              <w:rPr>
                <w:rFonts w:ascii="Arial" w:hAnsi="Arial" w:cs="Arial"/>
                <w:sz w:val="20"/>
                <w:szCs w:val="20"/>
              </w:rPr>
              <w:t>is discussed</w:t>
            </w:r>
            <w:proofErr w:type="gramEnd"/>
            <w:r w:rsidRPr="00604AFE">
              <w:rPr>
                <w:rFonts w:ascii="Arial" w:hAnsi="Arial" w:cs="Arial"/>
                <w:sz w:val="20"/>
                <w:szCs w:val="20"/>
              </w:rPr>
              <w:t xml:space="preserve"> above in the main body text.</w:t>
            </w:r>
          </w:p>
        </w:tc>
      </w:tr>
      <w:tr w:rsidR="00DA0A26" w:rsidRPr="00604AFE" w14:paraId="424A2940" w14:textId="77777777" w:rsidTr="00BB276C">
        <w:tc>
          <w:tcPr>
            <w:tcW w:w="2641" w:type="pct"/>
            <w:tcBorders>
              <w:top w:val="single" w:sz="4" w:space="0" w:color="auto"/>
            </w:tcBorders>
          </w:tcPr>
          <w:p w14:paraId="2DF03D2C"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 xml:space="preserve">The results of the same tests as conducted at baseline should be provided with the written First Continuing treatment application, except for patients who were able to undergo all 3 tests at baseline, and whose subsequent ECHO and 6MWT results demonstrate disease stability or improvement, in which case RHC can be omitted. In all other patients, where the same test(s) conducted at baseline cannot be performed for assessment of response on clinical grounds, a patient specific reason why the test(s) could not be conducted must be provided with the application. </w:t>
            </w:r>
          </w:p>
        </w:tc>
        <w:tc>
          <w:tcPr>
            <w:tcW w:w="2359" w:type="pct"/>
            <w:tcBorders>
              <w:top w:val="single" w:sz="4" w:space="0" w:color="auto"/>
            </w:tcBorders>
          </w:tcPr>
          <w:p w14:paraId="74678444" w14:textId="77777777" w:rsidR="00DA0A26" w:rsidRPr="00604AFE" w:rsidRDefault="00DA0A26" w:rsidP="00604AFE">
            <w:pPr>
              <w:spacing w:beforeLines="40" w:before="96" w:afterLines="40" w:after="96" w:line="240" w:lineRule="auto"/>
              <w:ind w:left="147" w:right="57"/>
              <w:rPr>
                <w:rFonts w:ascii="Arial" w:hAnsi="Arial" w:cs="Arial"/>
                <w:sz w:val="20"/>
                <w:szCs w:val="20"/>
              </w:rPr>
            </w:pPr>
          </w:p>
        </w:tc>
      </w:tr>
      <w:tr w:rsidR="00D051F1" w:rsidRPr="00604AFE" w14:paraId="6A937787" w14:textId="77777777" w:rsidTr="00D051F1">
        <w:tc>
          <w:tcPr>
            <w:tcW w:w="2641" w:type="pct"/>
            <w:tcBorders>
              <w:bottom w:val="nil"/>
            </w:tcBorders>
          </w:tcPr>
          <w:p w14:paraId="321D6287" w14:textId="77777777" w:rsidR="00D051F1" w:rsidRPr="00604AFE" w:rsidRDefault="00D051F1" w:rsidP="00604AFE">
            <w:pPr>
              <w:spacing w:beforeLines="40" w:before="96" w:afterLines="40" w:after="96" w:line="240" w:lineRule="auto"/>
              <w:ind w:left="147" w:right="57"/>
              <w:rPr>
                <w:rFonts w:ascii="Arial" w:hAnsi="Arial" w:cs="Arial"/>
                <w:sz w:val="20"/>
                <w:szCs w:val="20"/>
                <w:u w:val="single"/>
              </w:rPr>
            </w:pPr>
            <w:r w:rsidRPr="00604AFE">
              <w:rPr>
                <w:rFonts w:ascii="Arial" w:hAnsi="Arial" w:cs="Arial"/>
                <w:sz w:val="20"/>
                <w:szCs w:val="20"/>
                <w:u w:val="single"/>
              </w:rPr>
              <w:t>Prescribing instructions (‘initial 2/3 change or recommencement’; ‘first continuing ):</w:t>
            </w:r>
          </w:p>
          <w:p w14:paraId="2C59AC90" w14:textId="77777777" w:rsidR="00D051F1" w:rsidRPr="00604AFE" w:rsidRDefault="00D051F1"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Response to a PAH agent is defined as follows:</w:t>
            </w:r>
          </w:p>
          <w:p w14:paraId="073DC9C9" w14:textId="77777777" w:rsidR="00D051F1" w:rsidRPr="00604AFE" w:rsidRDefault="00D051F1"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 xml:space="preserve">For patients with two or more baseline tests, response to treatment </w:t>
            </w:r>
            <w:proofErr w:type="gramStart"/>
            <w:r w:rsidRPr="00604AFE">
              <w:rPr>
                <w:rFonts w:ascii="Arial" w:hAnsi="Arial" w:cs="Arial"/>
                <w:sz w:val="20"/>
                <w:szCs w:val="20"/>
              </w:rPr>
              <w:t>is defined</w:t>
            </w:r>
            <w:proofErr w:type="gramEnd"/>
            <w:r w:rsidRPr="00604AFE">
              <w:rPr>
                <w:rFonts w:ascii="Arial" w:hAnsi="Arial" w:cs="Arial"/>
                <w:sz w:val="20"/>
                <w:szCs w:val="20"/>
              </w:rPr>
              <w:t xml:space="preserve"> as two or more tests demonstrating stability or improvement of disease, as assessed by a physician from a designated hospital.</w:t>
            </w:r>
          </w:p>
          <w:p w14:paraId="6872E3B5" w14:textId="77777777" w:rsidR="00D051F1" w:rsidRPr="00604AFE" w:rsidRDefault="00D051F1"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 xml:space="preserve">For patients with a RHC composite assessment alone at baseline, response to treatment </w:t>
            </w:r>
            <w:proofErr w:type="gramStart"/>
            <w:r w:rsidRPr="00604AFE">
              <w:rPr>
                <w:rFonts w:ascii="Arial" w:hAnsi="Arial" w:cs="Arial"/>
                <w:sz w:val="20"/>
                <w:szCs w:val="20"/>
              </w:rPr>
              <w:t>is defined</w:t>
            </w:r>
            <w:proofErr w:type="gramEnd"/>
            <w:r w:rsidRPr="00604AFE">
              <w:rPr>
                <w:rFonts w:ascii="Arial" w:hAnsi="Arial" w:cs="Arial"/>
                <w:sz w:val="20"/>
                <w:szCs w:val="20"/>
              </w:rPr>
              <w:t xml:space="preserve"> as a RHC result demonstrating stability or improvement of disease, as assessed by a physician from a designated hospital.</w:t>
            </w:r>
          </w:p>
          <w:p w14:paraId="1A967FBB" w14:textId="77777777" w:rsidR="00D051F1" w:rsidRPr="00604AFE" w:rsidRDefault="00D051F1"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 xml:space="preserve">For patients with an ECHO composite assessment alone at baseline, response to treatment </w:t>
            </w:r>
            <w:proofErr w:type="gramStart"/>
            <w:r w:rsidRPr="00604AFE">
              <w:rPr>
                <w:rFonts w:ascii="Arial" w:hAnsi="Arial" w:cs="Arial"/>
                <w:sz w:val="20"/>
                <w:szCs w:val="20"/>
              </w:rPr>
              <w:t>is defined</w:t>
            </w:r>
            <w:proofErr w:type="gramEnd"/>
            <w:r w:rsidRPr="00604AFE">
              <w:rPr>
                <w:rFonts w:ascii="Arial" w:hAnsi="Arial" w:cs="Arial"/>
                <w:sz w:val="20"/>
                <w:szCs w:val="20"/>
              </w:rPr>
              <w:t xml:space="preserve"> as an ECHO result demonstrating stability or improvement of disease, as assessed by a physician from a designated hospital.</w:t>
            </w:r>
          </w:p>
        </w:tc>
        <w:tc>
          <w:tcPr>
            <w:tcW w:w="2359" w:type="pct"/>
            <w:tcBorders>
              <w:bottom w:val="nil"/>
            </w:tcBorders>
          </w:tcPr>
          <w:p w14:paraId="1AAEEEC5" w14:textId="77777777" w:rsidR="00D051F1" w:rsidRPr="00604AFE" w:rsidRDefault="00FE35DA"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Discussed in main text</w:t>
            </w:r>
            <w:r w:rsidR="003C17FA" w:rsidRPr="00604AFE">
              <w:rPr>
                <w:rFonts w:ascii="Arial" w:hAnsi="Arial" w:cs="Arial"/>
                <w:sz w:val="20"/>
                <w:szCs w:val="20"/>
              </w:rPr>
              <w:t xml:space="preserve">. </w:t>
            </w:r>
          </w:p>
          <w:p w14:paraId="440ABA22" w14:textId="77777777" w:rsidR="00D051F1" w:rsidRPr="00604AFE" w:rsidRDefault="00D051F1" w:rsidP="00604AFE">
            <w:pPr>
              <w:spacing w:beforeLines="40" w:before="96" w:afterLines="40" w:after="96" w:line="240" w:lineRule="auto"/>
              <w:ind w:left="147" w:right="57"/>
              <w:rPr>
                <w:rFonts w:ascii="Arial" w:hAnsi="Arial" w:cs="Arial"/>
                <w:sz w:val="20"/>
                <w:szCs w:val="20"/>
              </w:rPr>
            </w:pPr>
          </w:p>
        </w:tc>
      </w:tr>
      <w:tr w:rsidR="00D051F1" w:rsidRPr="00604AFE" w14:paraId="3D57264A" w14:textId="77777777" w:rsidTr="00D051F1">
        <w:tc>
          <w:tcPr>
            <w:tcW w:w="2641" w:type="pct"/>
            <w:tcBorders>
              <w:top w:val="nil"/>
            </w:tcBorders>
          </w:tcPr>
          <w:p w14:paraId="365D5354" w14:textId="77777777" w:rsidR="00D051F1" w:rsidRPr="00604AFE" w:rsidRDefault="00D051F1"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lastRenderedPageBreak/>
              <w:t xml:space="preserve">For patients aged less than 18 years, response to treatment </w:t>
            </w:r>
            <w:proofErr w:type="gramStart"/>
            <w:r w:rsidRPr="00604AFE">
              <w:rPr>
                <w:rFonts w:ascii="Arial" w:hAnsi="Arial" w:cs="Arial"/>
                <w:sz w:val="20"/>
                <w:szCs w:val="20"/>
              </w:rPr>
              <w:t>is defined</w:t>
            </w:r>
            <w:proofErr w:type="gramEnd"/>
            <w:r w:rsidRPr="00604AFE">
              <w:rPr>
                <w:rFonts w:ascii="Arial" w:hAnsi="Arial" w:cs="Arial"/>
                <w:sz w:val="20"/>
                <w:szCs w:val="20"/>
              </w:rPr>
              <w:t xml:space="preserve"> as at least one of the baseline tests demonstrating stability or improvement of disease, as assessed by a physician from a designated hospital. </w:t>
            </w:r>
          </w:p>
        </w:tc>
        <w:tc>
          <w:tcPr>
            <w:tcW w:w="2359" w:type="pct"/>
            <w:tcBorders>
              <w:top w:val="nil"/>
            </w:tcBorders>
          </w:tcPr>
          <w:p w14:paraId="35529CD3" w14:textId="77777777" w:rsidR="00D051F1" w:rsidRPr="00604AFE" w:rsidRDefault="008B6CA8" w:rsidP="00604AFE">
            <w:pPr>
              <w:spacing w:beforeLines="40" w:before="96" w:afterLines="40" w:after="96" w:line="240" w:lineRule="auto"/>
              <w:ind w:left="147" w:right="57"/>
              <w:rPr>
                <w:rFonts w:ascii="Arial" w:hAnsi="Arial" w:cs="Arial"/>
                <w:sz w:val="20"/>
                <w:szCs w:val="20"/>
                <w:highlight w:val="yellow"/>
              </w:rPr>
            </w:pPr>
            <w:r w:rsidRPr="00604AFE">
              <w:rPr>
                <w:rFonts w:ascii="Arial" w:hAnsi="Arial" w:cs="Arial"/>
                <w:sz w:val="20"/>
                <w:szCs w:val="20"/>
              </w:rPr>
              <w:t>This wording appears in all the change/recommencement and all the first continuing restrictions for PAH agents,</w:t>
            </w:r>
            <w:r w:rsidR="00011758">
              <w:rPr>
                <w:rFonts w:ascii="Arial" w:hAnsi="Arial" w:cs="Arial"/>
                <w:sz w:val="20"/>
                <w:szCs w:val="20"/>
              </w:rPr>
              <w:t xml:space="preserve"> </w:t>
            </w:r>
          </w:p>
        </w:tc>
      </w:tr>
      <w:tr w:rsidR="00DA0A26" w:rsidRPr="00604AFE" w14:paraId="3B0F8B69" w14:textId="77777777" w:rsidTr="00027EEF">
        <w:tc>
          <w:tcPr>
            <w:tcW w:w="2641" w:type="pct"/>
          </w:tcPr>
          <w:p w14:paraId="5364C457" w14:textId="77777777" w:rsidR="00DA0A26" w:rsidRPr="00604AFE" w:rsidRDefault="00DA0A26" w:rsidP="00604AFE">
            <w:pPr>
              <w:spacing w:beforeLines="40" w:before="96" w:afterLines="40" w:after="96" w:line="240" w:lineRule="auto"/>
              <w:ind w:left="147" w:right="57"/>
              <w:rPr>
                <w:rFonts w:ascii="Arial" w:hAnsi="Arial" w:cs="Arial"/>
                <w:sz w:val="20"/>
                <w:szCs w:val="20"/>
                <w:u w:val="single"/>
              </w:rPr>
            </w:pPr>
            <w:r w:rsidRPr="00604AFE">
              <w:rPr>
                <w:rFonts w:ascii="Arial" w:hAnsi="Arial" w:cs="Arial"/>
                <w:sz w:val="20"/>
                <w:szCs w:val="20"/>
                <w:u w:val="single"/>
              </w:rPr>
              <w:t>Prescribing instruction (‘first continuing’; ‘subsequent continuing’):</w:t>
            </w:r>
          </w:p>
          <w:p w14:paraId="5BCD272E"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The maximum quantity authorised will be limited to provide sufficient supply for 1 month of treatment, based on the dosage recommendations in the Therapeutic Goods Administration (TGA) approved Product Information.</w:t>
            </w:r>
          </w:p>
          <w:p w14:paraId="6864E6ED"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A maximum of 5 repeats will be authorised.</w:t>
            </w:r>
          </w:p>
        </w:tc>
        <w:tc>
          <w:tcPr>
            <w:tcW w:w="2359" w:type="pct"/>
          </w:tcPr>
          <w:p w14:paraId="01FBFC6D" w14:textId="77777777" w:rsidR="00DA0A26" w:rsidRPr="00604AFE" w:rsidRDefault="00BB276C"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Discussed in main text</w:t>
            </w:r>
            <w:r w:rsidR="003C17FA" w:rsidRPr="00604AFE">
              <w:rPr>
                <w:rFonts w:ascii="Arial" w:hAnsi="Arial" w:cs="Arial"/>
                <w:sz w:val="20"/>
                <w:szCs w:val="20"/>
              </w:rPr>
              <w:t xml:space="preserve">. </w:t>
            </w:r>
          </w:p>
        </w:tc>
      </w:tr>
      <w:tr w:rsidR="00DA0A26" w:rsidRPr="00604AFE" w14:paraId="1DC47976" w14:textId="77777777" w:rsidTr="00027EEF">
        <w:tc>
          <w:tcPr>
            <w:tcW w:w="2641" w:type="pct"/>
          </w:tcPr>
          <w:p w14:paraId="5E63FC42" w14:textId="77777777" w:rsidR="00DA0A26" w:rsidRPr="00604AFE" w:rsidRDefault="00DA0A26" w:rsidP="00604AFE">
            <w:pPr>
              <w:spacing w:beforeLines="40" w:before="96" w:afterLines="40" w:after="96" w:line="240" w:lineRule="auto"/>
              <w:ind w:left="147" w:right="57"/>
              <w:rPr>
                <w:rFonts w:ascii="Arial" w:hAnsi="Arial" w:cs="Arial"/>
                <w:sz w:val="20"/>
                <w:szCs w:val="20"/>
                <w:u w:val="single"/>
              </w:rPr>
            </w:pPr>
            <w:r w:rsidRPr="00604AFE">
              <w:rPr>
                <w:rFonts w:ascii="Arial" w:hAnsi="Arial" w:cs="Arial"/>
                <w:sz w:val="20"/>
                <w:szCs w:val="20"/>
                <w:u w:val="single"/>
              </w:rPr>
              <w:t>Prescribing instruction (‘first continuing’):</w:t>
            </w:r>
          </w:p>
          <w:p w14:paraId="3CD15AE6"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 xml:space="preserve">An application for First Continuing treatment with a PAH agent should be made prior to the completion of the Initial 6 month treatment course to ensure continuity for those patients who respond to treatment, as assessed by the treating physician. </w:t>
            </w:r>
          </w:p>
          <w:p w14:paraId="46990B1C" w14:textId="77777777" w:rsidR="00DA0A26" w:rsidRPr="00604AFE" w:rsidRDefault="00DA0A26" w:rsidP="00604AFE">
            <w:pPr>
              <w:spacing w:beforeLines="40" w:before="96" w:afterLines="40" w:after="96" w:line="240" w:lineRule="auto"/>
              <w:ind w:left="147" w:right="57"/>
              <w:rPr>
                <w:rFonts w:ascii="Arial" w:hAnsi="Arial" w:cs="Arial"/>
                <w:sz w:val="20"/>
                <w:szCs w:val="20"/>
                <w:u w:val="single"/>
              </w:rPr>
            </w:pPr>
            <w:r w:rsidRPr="00604AFE">
              <w:rPr>
                <w:rFonts w:ascii="Arial" w:hAnsi="Arial" w:cs="Arial"/>
                <w:sz w:val="20"/>
                <w:szCs w:val="20"/>
                <w:u w:val="single"/>
              </w:rPr>
              <w:t>Prescribing instruction (‘subsequent continuing’):</w:t>
            </w:r>
          </w:p>
          <w:p w14:paraId="784C1E0A"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An application for Subsequent Continuing treatment with a PAH agents should be made prior to the completion of the First Continuing treatment course to ensure continuity of treatment.</w:t>
            </w:r>
          </w:p>
        </w:tc>
        <w:tc>
          <w:tcPr>
            <w:tcW w:w="2359" w:type="pct"/>
          </w:tcPr>
          <w:p w14:paraId="1B2962EA" w14:textId="77777777" w:rsidR="00DA0A26" w:rsidRPr="00604AFE" w:rsidRDefault="00DA0A26" w:rsidP="00604AFE">
            <w:pPr>
              <w:spacing w:beforeLines="40" w:before="96" w:afterLines="40" w:after="96" w:line="240" w:lineRule="auto"/>
              <w:ind w:left="147" w:right="57"/>
              <w:rPr>
                <w:rFonts w:ascii="Arial" w:hAnsi="Arial" w:cs="Arial"/>
                <w:sz w:val="20"/>
                <w:szCs w:val="20"/>
              </w:rPr>
            </w:pPr>
            <w:r w:rsidRPr="00604AFE">
              <w:rPr>
                <w:rFonts w:ascii="Arial" w:hAnsi="Arial" w:cs="Arial"/>
                <w:sz w:val="20"/>
                <w:szCs w:val="20"/>
              </w:rPr>
              <w:t>—</w:t>
            </w:r>
          </w:p>
        </w:tc>
      </w:tr>
    </w:tbl>
    <w:p w14:paraId="15745E2A" w14:textId="77777777" w:rsidR="00DA0A26" w:rsidRPr="00604AFE" w:rsidRDefault="00DA0A26" w:rsidP="00604AFE">
      <w:pPr>
        <w:pStyle w:val="Tablenote"/>
        <w:spacing w:beforeLines="40" w:before="96" w:afterLines="40" w:after="96"/>
        <w:rPr>
          <w:rFonts w:ascii="Arial" w:hAnsi="Arial" w:cs="Arial"/>
        </w:rPr>
      </w:pPr>
      <w:r w:rsidRPr="00604AFE">
        <w:rPr>
          <w:rFonts w:ascii="Arial" w:hAnsi="Arial" w:cs="Arial"/>
        </w:rPr>
        <w:t xml:space="preserve">Source: </w:t>
      </w:r>
      <w:r w:rsidRPr="00F4698B">
        <w:rPr>
          <w:rFonts w:ascii="Arial" w:hAnsi="Arial" w:cs="Arial"/>
        </w:rPr>
        <w:t>www.pbs.gov.au</w:t>
      </w:r>
    </w:p>
    <w:p w14:paraId="2C4D30E0" w14:textId="77777777" w:rsidR="00DA0A26" w:rsidRDefault="00DA0A26" w:rsidP="00121658">
      <w:pPr>
        <w:rPr>
          <w:rFonts w:ascii="Arial Narrow" w:eastAsia="Times New Roman" w:hAnsi="Arial Narrow" w:cs="Arial"/>
          <w:color w:val="000000"/>
          <w:sz w:val="20"/>
          <w:szCs w:val="20"/>
        </w:rPr>
      </w:pPr>
      <w:r>
        <w:br w:type="page"/>
      </w:r>
    </w:p>
    <w:p w14:paraId="2858BD05" w14:textId="77777777" w:rsidR="00DA0A26" w:rsidRDefault="00F275ED" w:rsidP="00DF4B27">
      <w:pPr>
        <w:pStyle w:val="Caption"/>
        <w:ind w:left="0" w:firstLine="0"/>
        <w:jc w:val="left"/>
      </w:pPr>
      <w:bookmarkStart w:id="370" w:name="_Ref508899799"/>
      <w:bookmarkStart w:id="371" w:name="_Ref502147734"/>
      <w:bookmarkStart w:id="372" w:name="_Toc502867747"/>
      <w:bookmarkStart w:id="373" w:name="_Toc29377271"/>
      <w:r>
        <w:lastRenderedPageBreak/>
        <w:t>Table 1.</w:t>
      </w:r>
      <w:r w:rsidR="00505D99">
        <w:rPr>
          <w:noProof/>
        </w:rPr>
        <w:t>25</w:t>
      </w:r>
      <w:bookmarkEnd w:id="370"/>
      <w:r>
        <w:tab/>
      </w:r>
      <w:r w:rsidR="00DA0A26">
        <w:t>Administrative information in PAH items</w:t>
      </w:r>
      <w:bookmarkEnd w:id="371"/>
      <w:bookmarkEnd w:id="372"/>
      <w:bookmarkEnd w:id="373"/>
    </w:p>
    <w:tbl>
      <w:tblPr>
        <w:tblStyle w:val="TableGrid"/>
        <w:tblW w:w="5000" w:type="pct"/>
        <w:tblLook w:val="04A0" w:firstRow="1" w:lastRow="0" w:firstColumn="1" w:lastColumn="0" w:noHBand="0" w:noVBand="1"/>
        <w:tblCaption w:val="Administrative information in PAH items"/>
      </w:tblPr>
      <w:tblGrid>
        <w:gridCol w:w="7245"/>
        <w:gridCol w:w="7315"/>
      </w:tblGrid>
      <w:tr w:rsidR="00DA0A26" w:rsidRPr="00DF4B27" w14:paraId="1C5F3A1D" w14:textId="77777777" w:rsidTr="00027EEF">
        <w:trPr>
          <w:cnfStyle w:val="100000000000" w:firstRow="1" w:lastRow="0" w:firstColumn="0" w:lastColumn="0" w:oddVBand="0" w:evenVBand="0" w:oddHBand="0" w:evenHBand="0" w:firstRowFirstColumn="0" w:firstRowLastColumn="0" w:lastRowFirstColumn="0" w:lastRowLastColumn="0"/>
        </w:trPr>
        <w:tc>
          <w:tcPr>
            <w:tcW w:w="2488" w:type="pct"/>
            <w:shd w:val="clear" w:color="auto" w:fill="BFBFBF" w:themeFill="background1" w:themeFillShade="BF"/>
          </w:tcPr>
          <w:p w14:paraId="6F5832C5" w14:textId="77777777" w:rsidR="00DA0A26" w:rsidRPr="00DF4B27" w:rsidRDefault="00DA0A26" w:rsidP="002614AE">
            <w:pPr>
              <w:spacing w:beforeLines="40" w:before="96" w:afterLines="40" w:after="96" w:line="240" w:lineRule="auto"/>
              <w:ind w:left="142" w:right="57"/>
              <w:rPr>
                <w:rFonts w:ascii="Arial" w:hAnsi="Arial" w:cs="Arial"/>
                <w:b/>
                <w:sz w:val="20"/>
                <w:szCs w:val="20"/>
              </w:rPr>
            </w:pPr>
            <w:r w:rsidRPr="00DF4B27">
              <w:rPr>
                <w:rFonts w:ascii="Arial" w:hAnsi="Arial" w:cs="Arial"/>
                <w:b/>
                <w:sz w:val="20"/>
                <w:szCs w:val="20"/>
              </w:rPr>
              <w:t>Current PBS Restriction</w:t>
            </w:r>
          </w:p>
        </w:tc>
        <w:tc>
          <w:tcPr>
            <w:tcW w:w="2512" w:type="pct"/>
            <w:shd w:val="clear" w:color="auto" w:fill="BFBFBF" w:themeFill="background1" w:themeFillShade="BF"/>
          </w:tcPr>
          <w:p w14:paraId="25A0941F" w14:textId="77777777" w:rsidR="00DA0A26" w:rsidRPr="00DF4B27" w:rsidRDefault="00DA0A26" w:rsidP="002614AE">
            <w:pPr>
              <w:spacing w:beforeLines="40" w:before="96" w:afterLines="40" w:after="96" w:line="240" w:lineRule="auto"/>
              <w:ind w:left="142" w:right="57"/>
              <w:rPr>
                <w:rFonts w:ascii="Arial" w:hAnsi="Arial" w:cs="Arial"/>
                <w:b/>
                <w:sz w:val="20"/>
                <w:szCs w:val="20"/>
              </w:rPr>
            </w:pPr>
            <w:r w:rsidRPr="00DF4B27">
              <w:rPr>
                <w:rFonts w:ascii="Arial" w:hAnsi="Arial" w:cs="Arial"/>
                <w:b/>
                <w:sz w:val="20"/>
                <w:szCs w:val="20"/>
              </w:rPr>
              <w:t>Comment</w:t>
            </w:r>
          </w:p>
        </w:tc>
      </w:tr>
      <w:tr w:rsidR="00DA0A26" w:rsidRPr="00DF4B27" w14:paraId="79C5C5C3" w14:textId="77777777" w:rsidTr="00027EEF">
        <w:tc>
          <w:tcPr>
            <w:tcW w:w="2488" w:type="pct"/>
          </w:tcPr>
          <w:p w14:paraId="0C451DA4" w14:textId="77777777" w:rsidR="00DA0A26" w:rsidRPr="00DF4B27" w:rsidRDefault="00DA0A26" w:rsidP="002614AE">
            <w:pPr>
              <w:spacing w:beforeLines="40" w:before="96" w:afterLines="40" w:after="96" w:line="240" w:lineRule="auto"/>
              <w:ind w:left="142" w:right="57"/>
              <w:rPr>
                <w:rFonts w:ascii="Arial" w:hAnsi="Arial" w:cs="Arial"/>
                <w:sz w:val="20"/>
                <w:szCs w:val="20"/>
                <w:u w:val="single"/>
              </w:rPr>
            </w:pPr>
            <w:r w:rsidRPr="00DF4B27">
              <w:rPr>
                <w:rFonts w:ascii="Arial" w:hAnsi="Arial" w:cs="Arial"/>
                <w:sz w:val="20"/>
                <w:szCs w:val="20"/>
                <w:u w:val="single"/>
              </w:rPr>
              <w:t>Prescribing Instruction:</w:t>
            </w:r>
          </w:p>
          <w:p w14:paraId="528ECB68"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Applications for authorisation must be in writing and must include:</w:t>
            </w:r>
          </w:p>
          <w:p w14:paraId="4B1E42C7"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(1) two completed authority prescription forms; and</w:t>
            </w:r>
          </w:p>
          <w:p w14:paraId="62F498A5"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(2) a completed Pulmonary Arterial Hypertension PBS Authority Application - Supporting Information form which includes results from the three tests below, where available:</w:t>
            </w:r>
          </w:p>
          <w:p w14:paraId="5C90CF4D"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w:t>
            </w:r>
            <w:proofErr w:type="spellStart"/>
            <w:r w:rsidRPr="00DF4B27">
              <w:rPr>
                <w:rFonts w:ascii="Arial" w:hAnsi="Arial" w:cs="Arial"/>
                <w:sz w:val="20"/>
                <w:szCs w:val="20"/>
              </w:rPr>
              <w:t>i</w:t>
            </w:r>
            <w:proofErr w:type="spellEnd"/>
            <w:r w:rsidRPr="00DF4B27">
              <w:rPr>
                <w:rFonts w:ascii="Arial" w:hAnsi="Arial" w:cs="Arial"/>
                <w:sz w:val="20"/>
                <w:szCs w:val="20"/>
              </w:rPr>
              <w:t>) RHC composite assessment; and</w:t>
            </w:r>
          </w:p>
          <w:p w14:paraId="3A6DA340"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(ii) ECHO composite assessment; and</w:t>
            </w:r>
          </w:p>
          <w:p w14:paraId="1B1CA5C5"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(iii) 6 Minute Walk Test (6MWT); and</w:t>
            </w:r>
          </w:p>
          <w:p w14:paraId="3510300A"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 xml:space="preserve">(3) </w:t>
            </w:r>
            <w:proofErr w:type="gramStart"/>
            <w:r w:rsidRPr="00DF4B27">
              <w:rPr>
                <w:rFonts w:ascii="Arial" w:hAnsi="Arial" w:cs="Arial"/>
                <w:sz w:val="20"/>
                <w:szCs w:val="20"/>
              </w:rPr>
              <w:t>a</w:t>
            </w:r>
            <w:proofErr w:type="gramEnd"/>
            <w:r w:rsidRPr="00DF4B27">
              <w:rPr>
                <w:rFonts w:ascii="Arial" w:hAnsi="Arial" w:cs="Arial"/>
                <w:sz w:val="20"/>
                <w:szCs w:val="20"/>
              </w:rPr>
              <w:t xml:space="preserve"> signed patient acknowledgement.</w:t>
            </w:r>
          </w:p>
        </w:tc>
        <w:tc>
          <w:tcPr>
            <w:tcW w:w="2512" w:type="pct"/>
          </w:tcPr>
          <w:p w14:paraId="490FAF52"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w:t>
            </w:r>
          </w:p>
        </w:tc>
      </w:tr>
      <w:tr w:rsidR="00DA0A26" w:rsidRPr="00DF4B27" w14:paraId="0EC31FAE" w14:textId="77777777" w:rsidTr="00027EEF">
        <w:tc>
          <w:tcPr>
            <w:tcW w:w="2488" w:type="pct"/>
          </w:tcPr>
          <w:p w14:paraId="3340B60A" w14:textId="77777777" w:rsidR="00DA0A26" w:rsidRPr="00DF4B27" w:rsidRDefault="00DA0A26" w:rsidP="002614AE">
            <w:pPr>
              <w:spacing w:beforeLines="40" w:before="96" w:afterLines="40" w:after="96" w:line="240" w:lineRule="auto"/>
              <w:ind w:left="142" w:right="57"/>
              <w:rPr>
                <w:rFonts w:ascii="Arial" w:hAnsi="Arial" w:cs="Arial"/>
                <w:sz w:val="20"/>
                <w:szCs w:val="20"/>
                <w:u w:val="single"/>
              </w:rPr>
            </w:pPr>
            <w:r w:rsidRPr="00DF4B27">
              <w:rPr>
                <w:rFonts w:ascii="Arial" w:hAnsi="Arial" w:cs="Arial"/>
                <w:sz w:val="20"/>
                <w:szCs w:val="20"/>
                <w:u w:val="single"/>
              </w:rPr>
              <w:t>Prescribing Instruction:</w:t>
            </w:r>
          </w:p>
          <w:p w14:paraId="54945C32"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The test results provided must not be more than 2 months old at the time of application</w:t>
            </w:r>
          </w:p>
        </w:tc>
        <w:tc>
          <w:tcPr>
            <w:tcW w:w="2512" w:type="pct"/>
          </w:tcPr>
          <w:p w14:paraId="5AA1DDB4"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w:t>
            </w:r>
          </w:p>
        </w:tc>
      </w:tr>
      <w:tr w:rsidR="00DA0A26" w:rsidRPr="00DF4B27" w14:paraId="7E081B3D" w14:textId="77777777" w:rsidTr="00027EEF">
        <w:tc>
          <w:tcPr>
            <w:tcW w:w="2488" w:type="pct"/>
            <w:tcBorders>
              <w:bottom w:val="nil"/>
            </w:tcBorders>
          </w:tcPr>
          <w:p w14:paraId="6EA30F27" w14:textId="77777777" w:rsidR="00DA0A26" w:rsidRPr="00DF4B27" w:rsidRDefault="00DA0A26" w:rsidP="002614AE">
            <w:pPr>
              <w:spacing w:beforeLines="40" w:before="96" w:afterLines="40" w:after="96" w:line="240" w:lineRule="auto"/>
              <w:ind w:left="142" w:right="57"/>
              <w:rPr>
                <w:rFonts w:ascii="Arial" w:hAnsi="Arial" w:cs="Arial"/>
                <w:sz w:val="20"/>
                <w:szCs w:val="20"/>
                <w:u w:val="single"/>
              </w:rPr>
            </w:pPr>
            <w:r w:rsidRPr="00DF4B27">
              <w:rPr>
                <w:rFonts w:ascii="Arial" w:hAnsi="Arial" w:cs="Arial"/>
                <w:sz w:val="20"/>
                <w:szCs w:val="20"/>
                <w:u w:val="single"/>
              </w:rPr>
              <w:t>Note (‘initial 1’; ‘initial 2’; ‘initial 3’; ‘first continuing’):</w:t>
            </w:r>
          </w:p>
          <w:p w14:paraId="00894D2C"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Any queries concerning the arrangements to prescribe may be directed to the Department of Human Services on 1800 700 270 (hours of operation 8 a.m. to 5 p.m. EST Monday to Friday).</w:t>
            </w:r>
          </w:p>
          <w:p w14:paraId="2E624A28"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Prescribing information (including Authority Application forms and other relevant documentation as applicable) is available on the Department of Human Services website at www.humanservices.gov.au</w:t>
            </w:r>
          </w:p>
          <w:p w14:paraId="0BC3AAB7"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Applications for authority to prescribe should be forwarded to:</w:t>
            </w:r>
          </w:p>
          <w:p w14:paraId="6C78E6B6"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Department of Human Services</w:t>
            </w:r>
          </w:p>
          <w:p w14:paraId="7537CD76"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Complex Drugs</w:t>
            </w:r>
          </w:p>
          <w:p w14:paraId="78D21B54"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Reply Paid 9826</w:t>
            </w:r>
          </w:p>
          <w:p w14:paraId="2F6F6246"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HOBART TAS 7001</w:t>
            </w:r>
          </w:p>
        </w:tc>
        <w:tc>
          <w:tcPr>
            <w:tcW w:w="2512" w:type="pct"/>
            <w:tcBorders>
              <w:bottom w:val="nil"/>
            </w:tcBorders>
          </w:tcPr>
          <w:p w14:paraId="5F19DB8A"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Written applications are required for all initial treatment the first continuing treatment restrictions</w:t>
            </w:r>
            <w:r w:rsidR="00C6734D" w:rsidRPr="00DF4B27">
              <w:rPr>
                <w:rFonts w:ascii="Arial" w:hAnsi="Arial" w:cs="Arial"/>
                <w:sz w:val="20"/>
                <w:szCs w:val="20"/>
              </w:rPr>
              <w:t xml:space="preserve">. </w:t>
            </w:r>
          </w:p>
        </w:tc>
      </w:tr>
      <w:tr w:rsidR="00DA0A26" w:rsidRPr="00DF4B27" w14:paraId="7BC96FCB" w14:textId="77777777" w:rsidTr="00027EEF">
        <w:tc>
          <w:tcPr>
            <w:tcW w:w="2488" w:type="pct"/>
            <w:tcBorders>
              <w:top w:val="nil"/>
            </w:tcBorders>
          </w:tcPr>
          <w:p w14:paraId="1809F8C3" w14:textId="77777777" w:rsidR="00DA0A26" w:rsidRPr="00DF4B27" w:rsidRDefault="00DA0A26" w:rsidP="002614AE">
            <w:pPr>
              <w:spacing w:beforeLines="40" w:before="96" w:afterLines="40" w:after="96" w:line="240" w:lineRule="auto"/>
              <w:ind w:left="142" w:right="57"/>
              <w:rPr>
                <w:rFonts w:ascii="Arial" w:hAnsi="Arial" w:cs="Arial"/>
                <w:sz w:val="20"/>
                <w:szCs w:val="20"/>
                <w:u w:val="single"/>
              </w:rPr>
            </w:pPr>
            <w:r w:rsidRPr="00DF4B27">
              <w:rPr>
                <w:rFonts w:ascii="Arial" w:hAnsi="Arial" w:cs="Arial"/>
                <w:sz w:val="20"/>
                <w:szCs w:val="20"/>
                <w:u w:val="single"/>
              </w:rPr>
              <w:lastRenderedPageBreak/>
              <w:t>Note (‘balance of supply’; ‘subsequent continuing’):</w:t>
            </w:r>
          </w:p>
          <w:p w14:paraId="5198FF38" w14:textId="77777777" w:rsidR="00DA0A26" w:rsidRPr="00DF4B27" w:rsidRDefault="00DA0A26" w:rsidP="002614AE">
            <w:pPr>
              <w:spacing w:beforeLines="40" w:before="96" w:afterLines="40" w:after="96" w:line="240" w:lineRule="auto"/>
              <w:ind w:left="142" w:right="57"/>
              <w:rPr>
                <w:rFonts w:ascii="Arial" w:hAnsi="Arial" w:cs="Arial"/>
                <w:sz w:val="20"/>
                <w:szCs w:val="20"/>
                <w:u w:val="single"/>
              </w:rPr>
            </w:pPr>
            <w:r w:rsidRPr="00DF4B27">
              <w:rPr>
                <w:rFonts w:ascii="Arial" w:hAnsi="Arial" w:cs="Arial"/>
                <w:sz w:val="20"/>
                <w:szCs w:val="20"/>
              </w:rPr>
              <w:t xml:space="preserve">Applications for authorisation under this criterion may be made by telephone by contacting the Department of Human Services on 1800 700 270 (hours of operation 8 a.m. to 5 p.m. EST Monday to Friday). </w:t>
            </w:r>
          </w:p>
          <w:p w14:paraId="7583F1E4"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Written applications for authorisation under this criterion should be forwarded to:</w:t>
            </w:r>
          </w:p>
          <w:p w14:paraId="61E39CE8" w14:textId="77777777" w:rsidR="00DA0A26" w:rsidRPr="00DB756B" w:rsidRDefault="00DA0A26" w:rsidP="002614AE">
            <w:pPr>
              <w:spacing w:beforeLines="40" w:before="96" w:afterLines="40" w:after="96" w:line="240" w:lineRule="auto"/>
              <w:ind w:left="142" w:right="57"/>
              <w:rPr>
                <w:rFonts w:ascii="Arial" w:hAnsi="Arial" w:cs="Arial"/>
                <w:sz w:val="18"/>
                <w:szCs w:val="20"/>
              </w:rPr>
            </w:pPr>
            <w:r w:rsidRPr="00DF4B27">
              <w:rPr>
                <w:rFonts w:ascii="Arial" w:hAnsi="Arial" w:cs="Arial"/>
                <w:sz w:val="20"/>
                <w:szCs w:val="20"/>
              </w:rPr>
              <w:t>Department of Human Services</w:t>
            </w:r>
          </w:p>
          <w:p w14:paraId="74074B77"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Complex Drugs</w:t>
            </w:r>
          </w:p>
          <w:p w14:paraId="56E7169B"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Reply Paid 9826</w:t>
            </w:r>
          </w:p>
          <w:p w14:paraId="7A5B143E" w14:textId="77777777" w:rsidR="00DA0A26" w:rsidRPr="00DF4B27" w:rsidRDefault="00DA0A26" w:rsidP="002614AE">
            <w:pPr>
              <w:spacing w:beforeLines="40" w:before="96" w:afterLines="40" w:after="96" w:line="240" w:lineRule="auto"/>
              <w:ind w:left="142" w:right="57"/>
              <w:rPr>
                <w:rFonts w:ascii="Arial" w:hAnsi="Arial" w:cs="Arial"/>
                <w:sz w:val="20"/>
                <w:szCs w:val="20"/>
                <w:u w:val="single"/>
              </w:rPr>
            </w:pPr>
            <w:r w:rsidRPr="00DF4B27">
              <w:rPr>
                <w:rFonts w:ascii="Arial" w:hAnsi="Arial" w:cs="Arial"/>
                <w:sz w:val="20"/>
                <w:szCs w:val="20"/>
              </w:rPr>
              <w:t>HOBART TAS 7001</w:t>
            </w:r>
          </w:p>
        </w:tc>
        <w:tc>
          <w:tcPr>
            <w:tcW w:w="2512" w:type="pct"/>
            <w:tcBorders>
              <w:top w:val="nil"/>
            </w:tcBorders>
          </w:tcPr>
          <w:p w14:paraId="132489DC"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 xml:space="preserve">Telephone authority applications </w:t>
            </w:r>
            <w:proofErr w:type="gramStart"/>
            <w:r w:rsidRPr="00DF4B27">
              <w:rPr>
                <w:rFonts w:ascii="Arial" w:hAnsi="Arial" w:cs="Arial"/>
                <w:sz w:val="20"/>
                <w:szCs w:val="20"/>
              </w:rPr>
              <w:t>are only permitted</w:t>
            </w:r>
            <w:proofErr w:type="gramEnd"/>
            <w:r w:rsidRPr="00DF4B27">
              <w:rPr>
                <w:rFonts w:ascii="Arial" w:hAnsi="Arial" w:cs="Arial"/>
                <w:sz w:val="20"/>
                <w:szCs w:val="20"/>
              </w:rPr>
              <w:t xml:space="preserve"> for ‘balance of supply’ and ‘subsequent continuing’ restrictions</w:t>
            </w:r>
            <w:r w:rsidR="00C6734D" w:rsidRPr="00DF4B27">
              <w:rPr>
                <w:rFonts w:ascii="Arial" w:hAnsi="Arial" w:cs="Arial"/>
                <w:sz w:val="20"/>
                <w:szCs w:val="20"/>
              </w:rPr>
              <w:t xml:space="preserve">. </w:t>
            </w:r>
          </w:p>
        </w:tc>
      </w:tr>
      <w:tr w:rsidR="00DA0A26" w:rsidRPr="00DF4B27" w14:paraId="52BD9FA7" w14:textId="77777777" w:rsidTr="00027EEF">
        <w:tc>
          <w:tcPr>
            <w:tcW w:w="2488" w:type="pct"/>
          </w:tcPr>
          <w:p w14:paraId="79D2CBC2" w14:textId="77777777" w:rsidR="00DA0A26" w:rsidRPr="00DF4B27" w:rsidRDefault="00DA0A26" w:rsidP="002614AE">
            <w:pPr>
              <w:spacing w:beforeLines="40" w:before="96" w:afterLines="40" w:after="96" w:line="240" w:lineRule="auto"/>
              <w:ind w:left="142" w:right="57"/>
              <w:rPr>
                <w:rFonts w:ascii="Arial" w:hAnsi="Arial" w:cs="Arial"/>
                <w:sz w:val="20"/>
                <w:szCs w:val="20"/>
                <w:u w:val="single"/>
              </w:rPr>
            </w:pPr>
            <w:r w:rsidRPr="00DF4B27">
              <w:rPr>
                <w:rFonts w:ascii="Arial" w:hAnsi="Arial" w:cs="Arial"/>
                <w:sz w:val="20"/>
                <w:szCs w:val="20"/>
                <w:u w:val="single"/>
              </w:rPr>
              <w:t>Prescribing Instruction:</w:t>
            </w:r>
          </w:p>
          <w:p w14:paraId="26DFCBFC"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A patient may qualify for PBS-subsidised treatment under this restriction once only. For continuing PBS-subsidised treatment, a Grandfathered patient must qualify under the Continuing treatment criteria.</w:t>
            </w:r>
          </w:p>
          <w:p w14:paraId="72A15BC9" w14:textId="77777777" w:rsidR="00DA0A26" w:rsidRPr="00DF4B27" w:rsidRDefault="00DA0A26" w:rsidP="002614AE">
            <w:pPr>
              <w:spacing w:beforeLines="40" w:before="96" w:afterLines="40" w:after="96" w:line="240" w:lineRule="auto"/>
              <w:ind w:left="142" w:right="57"/>
              <w:rPr>
                <w:rFonts w:ascii="Arial" w:hAnsi="Arial" w:cs="Arial"/>
                <w:sz w:val="20"/>
                <w:szCs w:val="20"/>
                <w:u w:val="single"/>
              </w:rPr>
            </w:pPr>
            <w:r w:rsidRPr="00DF4B27">
              <w:rPr>
                <w:rFonts w:ascii="Arial" w:hAnsi="Arial" w:cs="Arial"/>
                <w:sz w:val="20"/>
                <w:szCs w:val="20"/>
                <w:u w:val="single"/>
              </w:rPr>
              <w:t>Note:</w:t>
            </w:r>
          </w:p>
          <w:p w14:paraId="334B14AC"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No applications for increased repeats will be authorised.</w:t>
            </w:r>
          </w:p>
        </w:tc>
        <w:tc>
          <w:tcPr>
            <w:tcW w:w="2512" w:type="pct"/>
          </w:tcPr>
          <w:p w14:paraId="6264DEA1"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Riociguat grandfathered access items only. Not considered in this review.</w:t>
            </w:r>
          </w:p>
        </w:tc>
      </w:tr>
      <w:tr w:rsidR="00DA0A26" w:rsidRPr="00DF4B27" w14:paraId="517E6CF4" w14:textId="77777777" w:rsidTr="00027EEF">
        <w:tc>
          <w:tcPr>
            <w:tcW w:w="2488" w:type="pct"/>
          </w:tcPr>
          <w:p w14:paraId="4FA2A95A" w14:textId="77777777" w:rsidR="00DA0A26" w:rsidRPr="00DF4B27" w:rsidRDefault="00DA0A26" w:rsidP="002614AE">
            <w:pPr>
              <w:spacing w:beforeLines="40" w:before="96" w:afterLines="40" w:after="96" w:line="240" w:lineRule="auto"/>
              <w:ind w:left="142" w:right="57"/>
              <w:rPr>
                <w:rFonts w:ascii="Arial" w:hAnsi="Arial" w:cs="Arial"/>
                <w:sz w:val="20"/>
                <w:szCs w:val="20"/>
                <w:u w:val="single"/>
              </w:rPr>
            </w:pPr>
            <w:r w:rsidRPr="00DF4B27">
              <w:rPr>
                <w:rFonts w:ascii="Arial" w:hAnsi="Arial" w:cs="Arial"/>
                <w:sz w:val="20"/>
                <w:szCs w:val="20"/>
                <w:u w:val="single"/>
              </w:rPr>
              <w:t>Note:</w:t>
            </w:r>
          </w:p>
          <w:p w14:paraId="2E47B9D0"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Special Pricing Arrangements apply.</w:t>
            </w:r>
          </w:p>
        </w:tc>
        <w:tc>
          <w:tcPr>
            <w:tcW w:w="2512" w:type="pct"/>
          </w:tcPr>
          <w:p w14:paraId="10B02B6B" w14:textId="77777777" w:rsidR="00DA0A26" w:rsidRPr="00DF4B27" w:rsidRDefault="00DA0A26" w:rsidP="002614AE">
            <w:pPr>
              <w:spacing w:beforeLines="40" w:before="96" w:afterLines="40" w:after="96" w:line="240" w:lineRule="auto"/>
              <w:ind w:left="142" w:right="57"/>
              <w:rPr>
                <w:rFonts w:ascii="Arial" w:hAnsi="Arial" w:cs="Arial"/>
                <w:sz w:val="20"/>
                <w:szCs w:val="20"/>
              </w:rPr>
            </w:pPr>
            <w:r w:rsidRPr="00DF4B27">
              <w:rPr>
                <w:rFonts w:ascii="Arial" w:hAnsi="Arial" w:cs="Arial"/>
                <w:sz w:val="20"/>
                <w:szCs w:val="20"/>
              </w:rPr>
              <w:t xml:space="preserve">Iloprost only. </w:t>
            </w:r>
          </w:p>
        </w:tc>
      </w:tr>
    </w:tbl>
    <w:p w14:paraId="7A26B89C" w14:textId="77777777" w:rsidR="00DA0A26" w:rsidRDefault="00DA0A26" w:rsidP="00DF4B27">
      <w:pPr>
        <w:pStyle w:val="tabletext1"/>
        <w:keepNext w:val="0"/>
        <w:spacing w:before="0" w:after="0"/>
        <w:rPr>
          <w:rFonts w:ascii="Arial" w:hAnsi="Arial"/>
          <w:sz w:val="18"/>
          <w:szCs w:val="18"/>
        </w:rPr>
      </w:pPr>
      <w:r w:rsidRPr="00DF4B27">
        <w:rPr>
          <w:rFonts w:ascii="Arial" w:hAnsi="Arial"/>
          <w:sz w:val="18"/>
          <w:szCs w:val="18"/>
        </w:rPr>
        <w:t>S</w:t>
      </w:r>
      <w:r w:rsidR="002075E2" w:rsidRPr="00DF4B27">
        <w:rPr>
          <w:rFonts w:ascii="Arial" w:hAnsi="Arial"/>
          <w:sz w:val="18"/>
          <w:szCs w:val="18"/>
        </w:rPr>
        <w:t>ource</w:t>
      </w:r>
      <w:r w:rsidRPr="00DF4B27">
        <w:rPr>
          <w:rFonts w:ascii="Arial" w:hAnsi="Arial"/>
          <w:sz w:val="18"/>
          <w:szCs w:val="18"/>
        </w:rPr>
        <w:t xml:space="preserve">: </w:t>
      </w:r>
      <w:r w:rsidR="009C556B" w:rsidRPr="00F4698B">
        <w:rPr>
          <w:rFonts w:ascii="Arial" w:hAnsi="Arial"/>
          <w:sz w:val="18"/>
          <w:szCs w:val="18"/>
        </w:rPr>
        <w:t>www.pbs.gov.au</w:t>
      </w:r>
    </w:p>
    <w:p w14:paraId="3A852F0F" w14:textId="77777777" w:rsidR="009C556B" w:rsidRDefault="009C556B" w:rsidP="00DF4B27">
      <w:pPr>
        <w:pStyle w:val="tabletext1"/>
        <w:keepNext w:val="0"/>
        <w:spacing w:before="0" w:after="0"/>
        <w:rPr>
          <w:rFonts w:ascii="Arial" w:hAnsi="Arial"/>
          <w:sz w:val="18"/>
          <w:szCs w:val="18"/>
        </w:rPr>
      </w:pPr>
    </w:p>
    <w:sectPr w:rsidR="009C556B" w:rsidSect="00C26102">
      <w:footnotePr>
        <w:numFmt w:val="chicago"/>
      </w:footnotePr>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03CF5" w14:textId="77777777" w:rsidR="00E42107" w:rsidRDefault="00E42107" w:rsidP="00DD796F">
      <w:pPr>
        <w:spacing w:before="0" w:line="240" w:lineRule="auto"/>
      </w:pPr>
      <w:r>
        <w:separator/>
      </w:r>
    </w:p>
    <w:p w14:paraId="119F763F" w14:textId="77777777" w:rsidR="00E42107" w:rsidRDefault="00E42107"/>
    <w:p w14:paraId="2D881073" w14:textId="77777777" w:rsidR="00E42107" w:rsidRDefault="00E42107"/>
  </w:endnote>
  <w:endnote w:type="continuationSeparator" w:id="0">
    <w:p w14:paraId="0F75D457" w14:textId="77777777" w:rsidR="00E42107" w:rsidRDefault="00E42107" w:rsidP="00DD796F">
      <w:pPr>
        <w:spacing w:before="0" w:line="240" w:lineRule="auto"/>
      </w:pPr>
      <w:r>
        <w:continuationSeparator/>
      </w:r>
    </w:p>
    <w:p w14:paraId="365FD58A" w14:textId="77777777" w:rsidR="00E42107" w:rsidRDefault="00E42107"/>
    <w:p w14:paraId="158FD0FF" w14:textId="77777777" w:rsidR="00E42107" w:rsidRDefault="00E42107"/>
  </w:endnote>
  <w:endnote w:type="continuationNotice" w:id="1">
    <w:p w14:paraId="5994F05D" w14:textId="77777777" w:rsidR="00E42107" w:rsidRDefault="00E4210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skerville">
    <w:altName w:val="Times New Roman"/>
    <w:charset w:val="00"/>
    <w:family w:val="auto"/>
    <w:pitch w:val="variable"/>
    <w:sig w:usb0="80000063" w:usb1="00000000"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D8B9F" w14:textId="77777777" w:rsidR="00E42107" w:rsidRDefault="00E4210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673642"/>
      <w:docPartObj>
        <w:docPartGallery w:val="Page Numbers (Bottom of Page)"/>
        <w:docPartUnique/>
      </w:docPartObj>
    </w:sdtPr>
    <w:sdtEndPr>
      <w:rPr>
        <w:noProof/>
      </w:rPr>
    </w:sdtEndPr>
    <w:sdtContent>
      <w:p w14:paraId="250700AB" w14:textId="2C31D958" w:rsidR="00E42107" w:rsidRDefault="00E42107">
        <w:pPr>
          <w:pStyle w:val="Footer"/>
          <w:jc w:val="right"/>
        </w:pPr>
        <w:r>
          <w:fldChar w:fldCharType="begin"/>
        </w:r>
        <w:r>
          <w:instrText xml:space="preserve"> PAGE   \* MERGEFORMAT </w:instrText>
        </w:r>
        <w:r>
          <w:fldChar w:fldCharType="separate"/>
        </w:r>
        <w:r w:rsidR="0096758E">
          <w:rPr>
            <w:noProof/>
          </w:rPr>
          <w:t>85</w:t>
        </w:r>
        <w:r>
          <w:rPr>
            <w:noProof/>
          </w:rPr>
          <w:fldChar w:fldCharType="end"/>
        </w:r>
      </w:p>
    </w:sdtContent>
  </w:sdt>
  <w:p w14:paraId="18B16030" w14:textId="77777777" w:rsidR="00E42107" w:rsidRPr="00212FCE" w:rsidRDefault="00E42107">
    <w:pPr>
      <w:pStyle w:val="Footer"/>
      <w:jc w:val="right"/>
      <w:rPr>
        <w:rFonts w:asciiTheme="minorHAnsi" w:hAnsiTheme="minorHAnsi"/>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026971"/>
      <w:docPartObj>
        <w:docPartGallery w:val="Page Numbers (Bottom of Page)"/>
        <w:docPartUnique/>
      </w:docPartObj>
    </w:sdtPr>
    <w:sdtEndPr>
      <w:rPr>
        <w:noProof/>
      </w:rPr>
    </w:sdtEndPr>
    <w:sdtContent>
      <w:p w14:paraId="12E9739A" w14:textId="707C412B" w:rsidR="00E42107" w:rsidRDefault="00E42107" w:rsidP="00F81948">
        <w:pPr>
          <w:pStyle w:val="Footer"/>
          <w:jc w:val="right"/>
          <w:rPr>
            <w:noProof/>
          </w:rPr>
        </w:pPr>
        <w:r>
          <w:fldChar w:fldCharType="begin"/>
        </w:r>
        <w:r>
          <w:instrText xml:space="preserve"> PAGE   \* MERGEFORMAT </w:instrText>
        </w:r>
        <w:r>
          <w:fldChar w:fldCharType="separate"/>
        </w:r>
        <w:r w:rsidR="0096758E">
          <w:rPr>
            <w:noProof/>
          </w:rPr>
          <w:t>83</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338A0" w14:textId="2161281F" w:rsidR="00E42107" w:rsidRPr="00894600" w:rsidRDefault="00E42107" w:rsidP="00E7420C">
    <w:pPr>
      <w:pStyle w:val="FooterwithPortrait"/>
      <w:tabs>
        <w:tab w:val="clear" w:pos="9639"/>
        <w:tab w:val="right" w:pos="9214"/>
        <w:tab w:val="right" w:pos="14175"/>
      </w:tabs>
      <w:jc w:val="right"/>
      <w:rPr>
        <w:noProof/>
      </w:rPr>
    </w:pPr>
    <w:r>
      <w:tab/>
    </w:r>
    <w:r>
      <w:fldChar w:fldCharType="begin"/>
    </w:r>
    <w:r>
      <w:instrText xml:space="preserve"> PAGE   \* MERGEFORMAT </w:instrText>
    </w:r>
    <w:r>
      <w:fldChar w:fldCharType="separate"/>
    </w:r>
    <w:r w:rsidR="0096758E">
      <w:rPr>
        <w:noProof/>
      </w:rPr>
      <w:t>98</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819418"/>
      <w:docPartObj>
        <w:docPartGallery w:val="Page Numbers (Bottom of Page)"/>
        <w:docPartUnique/>
      </w:docPartObj>
    </w:sdtPr>
    <w:sdtEndPr>
      <w:rPr>
        <w:noProof/>
      </w:rPr>
    </w:sdtEndPr>
    <w:sdtContent>
      <w:p w14:paraId="512ACEBB" w14:textId="5287CC9D" w:rsidR="00E42107" w:rsidRDefault="00E42107">
        <w:pPr>
          <w:pStyle w:val="Footer"/>
          <w:jc w:val="right"/>
        </w:pPr>
        <w:r>
          <w:fldChar w:fldCharType="begin"/>
        </w:r>
        <w:r>
          <w:instrText xml:space="preserve"> PAGE   \* MERGEFORMAT </w:instrText>
        </w:r>
        <w:r>
          <w:fldChar w:fldCharType="separate"/>
        </w:r>
        <w:r w:rsidR="0096758E">
          <w:rPr>
            <w:noProof/>
          </w:rPr>
          <w:t>115</w:t>
        </w:r>
        <w:r>
          <w:rPr>
            <w:noProof/>
          </w:rPr>
          <w:fldChar w:fldCharType="end"/>
        </w:r>
      </w:p>
    </w:sdtContent>
  </w:sdt>
  <w:p w14:paraId="7249B9E4" w14:textId="77777777" w:rsidR="00E42107" w:rsidRPr="00894600" w:rsidRDefault="00E42107" w:rsidP="00E7420C">
    <w:pPr>
      <w:pStyle w:val="FooterwithPortrait"/>
      <w:tabs>
        <w:tab w:val="clear" w:pos="9639"/>
        <w:tab w:val="right" w:pos="9214"/>
        <w:tab w:val="right" w:pos="14175"/>
      </w:tabs>
      <w:jc w:val="right"/>
      <w:rPr>
        <w:noProo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07AE7" w14:textId="77777777" w:rsidR="00E42107" w:rsidRDefault="00E42107" w:rsidP="001C5235">
    <w:pPr>
      <w:pStyle w:val="FooterwithPortrait"/>
    </w:pPr>
    <w:r w:rsidRPr="001C5235">
      <w:t>Post-market Review of COPD Medicines</w:t>
    </w:r>
    <w:r>
      <w:tab/>
    </w:r>
    <w:r>
      <w:fldChar w:fldCharType="begin"/>
    </w:r>
    <w:r>
      <w:instrText xml:space="preserve"> PAGE   \* MERGEFORMAT </w:instrText>
    </w:r>
    <w:r>
      <w:fldChar w:fldCharType="separate"/>
    </w:r>
    <w:r>
      <w:rPr>
        <w:noProof/>
      </w:rPr>
      <w:t>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0094080"/>
      <w:docPartObj>
        <w:docPartGallery w:val="Page Numbers (Bottom of Page)"/>
        <w:docPartUnique/>
      </w:docPartObj>
    </w:sdtPr>
    <w:sdtEndPr>
      <w:rPr>
        <w:noProof/>
      </w:rPr>
    </w:sdtEndPr>
    <w:sdtContent>
      <w:p w14:paraId="4F97E723" w14:textId="64CD04CD" w:rsidR="00E42107" w:rsidRDefault="00E42107" w:rsidP="00833844">
        <w:pPr>
          <w:pStyle w:val="Footer"/>
          <w:jc w:val="center"/>
        </w:pPr>
        <w:r>
          <w:fldChar w:fldCharType="begin"/>
        </w:r>
        <w:r>
          <w:instrText xml:space="preserve"> PAGE   \* MERGEFORMAT </w:instrText>
        </w:r>
        <w:r>
          <w:fldChar w:fldCharType="separate"/>
        </w:r>
        <w:r w:rsidR="0096758E">
          <w:rPr>
            <w:noProof/>
          </w:rPr>
          <w:t>22</w:t>
        </w:r>
        <w:r>
          <w:rPr>
            <w:noProof/>
          </w:rPr>
          <w:fldChar w:fldCharType="end"/>
        </w:r>
      </w:p>
    </w:sdtContent>
  </w:sdt>
  <w:p w14:paraId="118AF971" w14:textId="77777777" w:rsidR="00E42107" w:rsidRDefault="00E42107" w:rsidP="00E7420C">
    <w:pPr>
      <w:pStyle w:val="Footer"/>
      <w:pBdr>
        <w:top w:val="none" w:sz="0" w:space="0" w:color="auto"/>
      </w:pBdr>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056417"/>
      <w:docPartObj>
        <w:docPartGallery w:val="Page Numbers (Bottom of Page)"/>
        <w:docPartUnique/>
      </w:docPartObj>
    </w:sdtPr>
    <w:sdtEndPr>
      <w:rPr>
        <w:noProof/>
      </w:rPr>
    </w:sdtEndPr>
    <w:sdtContent>
      <w:p w14:paraId="6E1E6C55" w14:textId="37874432" w:rsidR="00E42107" w:rsidRDefault="00E42107">
        <w:pPr>
          <w:pStyle w:val="Footer"/>
          <w:jc w:val="right"/>
        </w:pPr>
        <w:r>
          <w:fldChar w:fldCharType="begin"/>
        </w:r>
        <w:r>
          <w:instrText xml:space="preserve"> PAGE   \* MERGEFORMAT </w:instrText>
        </w:r>
        <w:r>
          <w:fldChar w:fldCharType="separate"/>
        </w:r>
        <w:r w:rsidR="0096758E">
          <w:rPr>
            <w:noProof/>
          </w:rPr>
          <w:t>19</w:t>
        </w:r>
        <w:r>
          <w:rPr>
            <w:noProof/>
          </w:rPr>
          <w:fldChar w:fldCharType="end"/>
        </w:r>
      </w:p>
    </w:sdtContent>
  </w:sdt>
  <w:p w14:paraId="202EF962" w14:textId="77777777" w:rsidR="00E42107" w:rsidRDefault="00E42107" w:rsidP="00711867">
    <w:pPr>
      <w:pStyle w:val="FooterwithPortrait"/>
      <w:rPr>
        <w:noProof/>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CAED2" w14:textId="7D7ADEC5" w:rsidR="00E42107" w:rsidRDefault="00E42107" w:rsidP="00E7420C">
    <w:pPr>
      <w:pStyle w:val="FooterwithLandscape"/>
      <w:jc w:val="right"/>
      <w:rPr>
        <w:noProof/>
      </w:rPr>
    </w:pPr>
    <w:r>
      <w:fldChar w:fldCharType="begin"/>
    </w:r>
    <w:r>
      <w:instrText xml:space="preserve"> PAGE   \* MERGEFORMAT </w:instrText>
    </w:r>
    <w:r>
      <w:fldChar w:fldCharType="separate"/>
    </w:r>
    <w:r w:rsidR="0096758E">
      <w:rPr>
        <w:noProof/>
      </w:rPr>
      <w:t>25</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78C1C" w14:textId="6242CD17" w:rsidR="00E42107" w:rsidRDefault="00E42107" w:rsidP="00F81948">
    <w:pPr>
      <w:pStyle w:val="FooterwithLandscape"/>
      <w:jc w:val="right"/>
      <w:rPr>
        <w:noProof/>
      </w:rPr>
    </w:pPr>
    <w:r>
      <w:rPr>
        <w:noProof/>
      </w:rPr>
      <w:fldChar w:fldCharType="begin"/>
    </w:r>
    <w:r>
      <w:rPr>
        <w:noProof/>
      </w:rPr>
      <w:instrText xml:space="preserve"> PAGE   \* MERGEFORMAT </w:instrText>
    </w:r>
    <w:r>
      <w:rPr>
        <w:noProof/>
      </w:rPr>
      <w:fldChar w:fldCharType="separate"/>
    </w:r>
    <w:r w:rsidR="0096758E">
      <w:rPr>
        <w:noProof/>
      </w:rPr>
      <w:t>42</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961F3" w14:textId="27ACA111" w:rsidR="00E42107" w:rsidRDefault="00E42107" w:rsidP="00E7420C">
    <w:pPr>
      <w:pStyle w:val="FooterwithLandscape"/>
      <w:jc w:val="right"/>
      <w:rPr>
        <w:noProof/>
      </w:rPr>
    </w:pPr>
    <w:r>
      <w:fldChar w:fldCharType="begin"/>
    </w:r>
    <w:r>
      <w:instrText xml:space="preserve"> PAGE   \* MERGEFORMAT </w:instrText>
    </w:r>
    <w:r>
      <w:fldChar w:fldCharType="separate"/>
    </w:r>
    <w:r w:rsidR="0096758E">
      <w:rPr>
        <w:noProof/>
      </w:rPr>
      <w:t>50</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5132212"/>
      <w:docPartObj>
        <w:docPartGallery w:val="Page Numbers (Bottom of Page)"/>
        <w:docPartUnique/>
      </w:docPartObj>
    </w:sdtPr>
    <w:sdtEndPr>
      <w:rPr>
        <w:rFonts w:asciiTheme="minorHAnsi" w:hAnsiTheme="minorHAnsi"/>
        <w:noProof/>
      </w:rPr>
    </w:sdtEndPr>
    <w:sdtContent>
      <w:p w14:paraId="4412E551" w14:textId="49A40444" w:rsidR="00E42107" w:rsidRPr="00212FCE" w:rsidRDefault="00E42107" w:rsidP="00F81948">
        <w:pPr>
          <w:pStyle w:val="Footer"/>
          <w:jc w:val="right"/>
          <w:rPr>
            <w:rFonts w:asciiTheme="minorHAnsi" w:hAnsiTheme="minorHAnsi"/>
          </w:rPr>
        </w:pPr>
        <w:r w:rsidRPr="00212FCE">
          <w:rPr>
            <w:rFonts w:asciiTheme="minorHAnsi" w:hAnsiTheme="minorHAnsi"/>
          </w:rPr>
          <w:fldChar w:fldCharType="begin"/>
        </w:r>
        <w:r w:rsidRPr="00212FCE">
          <w:rPr>
            <w:rFonts w:asciiTheme="minorHAnsi" w:hAnsiTheme="minorHAnsi"/>
          </w:rPr>
          <w:instrText xml:space="preserve"> PAGE   \* MERGEFORMAT </w:instrText>
        </w:r>
        <w:r w:rsidRPr="00212FCE">
          <w:rPr>
            <w:rFonts w:asciiTheme="minorHAnsi" w:hAnsiTheme="minorHAnsi"/>
          </w:rPr>
          <w:fldChar w:fldCharType="separate"/>
        </w:r>
        <w:r w:rsidR="0096758E">
          <w:rPr>
            <w:rFonts w:asciiTheme="minorHAnsi" w:hAnsiTheme="minorHAnsi"/>
            <w:noProof/>
          </w:rPr>
          <w:t>77</w:t>
        </w:r>
        <w:r w:rsidRPr="00212FCE">
          <w:rPr>
            <w:rFonts w:asciiTheme="minorHAnsi" w:hAnsiTheme="minorHAnsi"/>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0208287"/>
      <w:docPartObj>
        <w:docPartGallery w:val="Page Numbers (Bottom of Page)"/>
        <w:docPartUnique/>
      </w:docPartObj>
    </w:sdtPr>
    <w:sdtEndPr>
      <w:rPr>
        <w:noProof/>
      </w:rPr>
    </w:sdtEndPr>
    <w:sdtContent>
      <w:p w14:paraId="7A9B60E1" w14:textId="6BC7CF77" w:rsidR="00E42107" w:rsidRDefault="00E42107" w:rsidP="00F81948">
        <w:pPr>
          <w:pStyle w:val="Footer"/>
          <w:jc w:val="right"/>
          <w:rPr>
            <w:noProof/>
          </w:rPr>
        </w:pPr>
        <w:r>
          <w:fldChar w:fldCharType="begin"/>
        </w:r>
        <w:r>
          <w:instrText xml:space="preserve"> PAGE   \* MERGEFORMAT </w:instrText>
        </w:r>
        <w:r>
          <w:fldChar w:fldCharType="separate"/>
        </w:r>
        <w:r w:rsidR="0096758E">
          <w:rPr>
            <w:noProof/>
          </w:rPr>
          <w:t>74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B3690" w14:textId="77777777" w:rsidR="00E42107" w:rsidRDefault="00E42107" w:rsidP="00DD796F">
      <w:pPr>
        <w:spacing w:before="0" w:line="240" w:lineRule="auto"/>
      </w:pPr>
      <w:r>
        <w:separator/>
      </w:r>
    </w:p>
  </w:footnote>
  <w:footnote w:type="continuationSeparator" w:id="0">
    <w:p w14:paraId="7F928C73" w14:textId="77777777" w:rsidR="00E42107" w:rsidRDefault="00E42107" w:rsidP="00DD796F">
      <w:pPr>
        <w:spacing w:before="0" w:line="240" w:lineRule="auto"/>
      </w:pPr>
      <w:r>
        <w:continuationSeparator/>
      </w:r>
    </w:p>
    <w:p w14:paraId="34230A32" w14:textId="77777777" w:rsidR="00E42107" w:rsidRDefault="00E42107"/>
    <w:p w14:paraId="3F4AE1BA" w14:textId="77777777" w:rsidR="00E42107" w:rsidRDefault="00E42107"/>
  </w:footnote>
  <w:footnote w:type="continuationNotice" w:id="1">
    <w:p w14:paraId="5CE69015" w14:textId="77777777" w:rsidR="00E42107" w:rsidRDefault="00E42107">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4D9FB" w14:textId="77777777" w:rsidR="00E42107" w:rsidRDefault="00E4210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19ABD0" w14:textId="77777777" w:rsidR="00E42107" w:rsidRDefault="00E4210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CC1B1" w14:textId="77777777" w:rsidR="00E42107" w:rsidRDefault="00E4210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F8641" w14:textId="77777777" w:rsidR="00E42107" w:rsidRPr="006F26C5" w:rsidRDefault="00E42107">
    <w:pPr>
      <w:pStyle w:val="Header"/>
      <w:rPr>
        <w:rFonts w:asciiTheme="minorHAnsi" w:hAnsiTheme="minorHAnsi" w:cstheme="minorHAnsi"/>
      </w:rPr>
    </w:pPr>
    <w:r w:rsidRPr="006F26C5">
      <w:rPr>
        <w:rFonts w:asciiTheme="minorHAnsi" w:hAnsiTheme="minorHAnsi" w:cstheme="minorHAnsi"/>
      </w:rPr>
      <w:t>Post-market review of PAH medicines</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512FB2" w14:textId="77777777" w:rsidR="00E42107" w:rsidRDefault="00E4210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09006" w14:textId="77777777" w:rsidR="00E42107" w:rsidRPr="00F81948" w:rsidRDefault="00E42107">
    <w:pPr>
      <w:pStyle w:val="Header"/>
      <w:rPr>
        <w:rFonts w:asciiTheme="minorHAnsi" w:hAnsiTheme="minorHAnsi" w:cstheme="minorHAnsi"/>
      </w:rPr>
    </w:pPr>
    <w:r w:rsidRPr="00F81948">
      <w:rPr>
        <w:rFonts w:asciiTheme="minorHAnsi" w:hAnsiTheme="minorHAnsi" w:cstheme="minorHAnsi"/>
      </w:rPr>
      <w:t>Post-market review of PAH medicines</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FE3E2" w14:textId="77777777" w:rsidR="00E42107" w:rsidRPr="006F26C5" w:rsidRDefault="00E42107">
    <w:pPr>
      <w:pStyle w:val="Header"/>
      <w:rPr>
        <w:rFonts w:asciiTheme="minorHAnsi" w:hAnsiTheme="minorHAnsi" w:cstheme="minorHAnsi"/>
      </w:rPr>
    </w:pPr>
    <w:r w:rsidRPr="006F26C5">
      <w:rPr>
        <w:rFonts w:asciiTheme="minorHAnsi" w:hAnsiTheme="minorHAnsi" w:cstheme="minorHAnsi"/>
      </w:rPr>
      <w:t>Post-market review of PAH medicines</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F7770" w14:textId="77777777" w:rsidR="00E42107" w:rsidRDefault="00E4210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8AA9C" w14:textId="77777777" w:rsidR="00E42107" w:rsidRPr="00F81948" w:rsidRDefault="00E42107">
    <w:pPr>
      <w:pStyle w:val="Header"/>
      <w:rPr>
        <w:rFonts w:asciiTheme="minorHAnsi" w:hAnsiTheme="minorHAnsi" w:cstheme="minorHAnsi"/>
      </w:rPr>
    </w:pPr>
    <w:r w:rsidRPr="00F81948">
      <w:rPr>
        <w:rFonts w:asciiTheme="minorHAnsi" w:hAnsiTheme="minorHAnsi" w:cstheme="minorHAnsi"/>
      </w:rPr>
      <w:t>Post-market review of PAH medicines</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3A2A2" w14:textId="77777777" w:rsidR="00E42107" w:rsidRPr="00F81948" w:rsidRDefault="00E42107">
    <w:pPr>
      <w:pStyle w:val="Header"/>
      <w:rPr>
        <w:rFonts w:asciiTheme="minorHAnsi" w:hAnsiTheme="minorHAnsi" w:cstheme="minorHAnsi"/>
      </w:rPr>
    </w:pPr>
    <w:r w:rsidRPr="00F81948">
      <w:rPr>
        <w:rFonts w:asciiTheme="minorHAnsi" w:hAnsiTheme="minorHAnsi" w:cstheme="minorHAnsi"/>
      </w:rPr>
      <w:t>Post-market review of PAH medicines</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B9C23" w14:textId="77777777" w:rsidR="00E42107" w:rsidRDefault="00E421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BF471" w14:textId="77777777" w:rsidR="00E42107" w:rsidRDefault="00E4210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13DAF" w14:textId="77777777" w:rsidR="00E42107" w:rsidRPr="00E32FE7" w:rsidRDefault="00E42107">
    <w:pPr>
      <w:pStyle w:val="Header"/>
      <w:rPr>
        <w:rFonts w:asciiTheme="minorHAnsi" w:hAnsiTheme="minorHAnsi" w:cstheme="minorHAnsi"/>
      </w:rPr>
    </w:pPr>
    <w:r w:rsidRPr="00F81948">
      <w:rPr>
        <w:rFonts w:asciiTheme="minorHAnsi" w:hAnsiTheme="minorHAnsi" w:cstheme="minorHAnsi"/>
      </w:rPr>
      <w:t>Post-market review of PAH medicines</w:t>
    </w:r>
    <w:bookmarkStart w:id="303" w:name="_Toc480371854"/>
    <w:bookmarkStart w:id="304" w:name="_Toc486514187"/>
    <w:bookmarkEnd w:id="303"/>
    <w:bookmarkEnd w:id="304"/>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00359" w14:textId="77777777" w:rsidR="00E42107" w:rsidRDefault="00E4210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655D1" w14:textId="77777777" w:rsidR="00E42107" w:rsidRDefault="00E4210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F2DA2" w14:textId="77777777" w:rsidR="00E42107" w:rsidRPr="00E32FE7" w:rsidRDefault="00E42107">
    <w:pPr>
      <w:pStyle w:val="Header"/>
      <w:rPr>
        <w:rFonts w:asciiTheme="minorHAnsi" w:hAnsiTheme="minorHAnsi" w:cstheme="minorHAnsi"/>
      </w:rPr>
    </w:pPr>
    <w:r w:rsidRPr="00F81948">
      <w:rPr>
        <w:rFonts w:asciiTheme="minorHAnsi" w:hAnsiTheme="minorHAnsi" w:cstheme="minorHAnsi"/>
      </w:rPr>
      <w:t>Post-market review of PAH medicines</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23366" w14:textId="77777777" w:rsidR="00E42107" w:rsidRDefault="00E421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0DE93" w14:textId="77777777" w:rsidR="00E42107" w:rsidRDefault="00E4210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A5621" w14:textId="77777777" w:rsidR="00E42107" w:rsidRDefault="00E4210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EC4D0" w14:textId="77777777" w:rsidR="00E42107" w:rsidRPr="001D5385" w:rsidRDefault="00E42107" w:rsidP="001C1E27">
    <w:pPr>
      <w:pStyle w:val="Header"/>
      <w:rPr>
        <w:rFonts w:asciiTheme="minorHAnsi" w:hAnsiTheme="minorHAnsi" w:cstheme="minorHAnsi"/>
      </w:rPr>
    </w:pPr>
    <w:r w:rsidRPr="001D5385">
      <w:rPr>
        <w:rFonts w:asciiTheme="minorHAnsi" w:hAnsiTheme="minorHAnsi" w:cstheme="minorHAnsi"/>
      </w:rPr>
      <w:t>Post-market review of PAH medicines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226CC" w14:textId="77777777" w:rsidR="00E42107" w:rsidRPr="001D5385" w:rsidRDefault="00E42107">
    <w:pPr>
      <w:pStyle w:val="Header"/>
      <w:rPr>
        <w:rFonts w:asciiTheme="minorHAnsi" w:hAnsiTheme="minorHAnsi" w:cstheme="minorHAnsi"/>
      </w:rPr>
    </w:pPr>
    <w:r w:rsidRPr="001D5385">
      <w:rPr>
        <w:rFonts w:asciiTheme="minorHAnsi" w:hAnsiTheme="minorHAnsi" w:cstheme="minorHAnsi"/>
      </w:rPr>
      <w:t>Post-market review of PAH medicines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4C986" w14:textId="77777777" w:rsidR="00E42107" w:rsidRDefault="00E4210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5267D" w14:textId="77777777" w:rsidR="00E42107" w:rsidRPr="001D5385" w:rsidRDefault="00E42107">
    <w:pPr>
      <w:pStyle w:val="Header"/>
      <w:rPr>
        <w:rFonts w:asciiTheme="minorHAnsi" w:hAnsiTheme="minorHAnsi" w:cstheme="minorHAnsi"/>
      </w:rPr>
    </w:pPr>
    <w:r w:rsidRPr="001D5385">
      <w:rPr>
        <w:rFonts w:asciiTheme="minorHAnsi" w:hAnsiTheme="minorHAnsi" w:cstheme="minorHAnsi"/>
      </w:rPr>
      <w:t>Post-market review of PAH medicines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0345B" w14:textId="77777777" w:rsidR="00E42107" w:rsidRDefault="00E421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7482"/>
    <w:multiLevelType w:val="hybridMultilevel"/>
    <w:tmpl w:val="AF668DFA"/>
    <w:lvl w:ilvl="0" w:tplc="38C2B97A">
      <w:start w:val="1"/>
      <w:numFmt w:val="bullet"/>
      <w:pStyle w:val="08Bulletsseriesofsentence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CC4135"/>
    <w:multiLevelType w:val="hybridMultilevel"/>
    <w:tmpl w:val="86E8DA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D005E12"/>
    <w:multiLevelType w:val="hybridMultilevel"/>
    <w:tmpl w:val="2806EC76"/>
    <w:lvl w:ilvl="0" w:tplc="0C090003">
      <w:start w:val="1"/>
      <w:numFmt w:val="bullet"/>
      <w:lvlText w:val="o"/>
      <w:lvlJc w:val="left"/>
      <w:pPr>
        <w:ind w:left="502"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4951C0"/>
    <w:multiLevelType w:val="hybridMultilevel"/>
    <w:tmpl w:val="DEB2F22A"/>
    <w:lvl w:ilvl="0" w:tplc="7ECA6BCC">
      <w:start w:val="1"/>
      <w:numFmt w:val="bullet"/>
      <w:pStyle w:val="Bullettextsecondlevel"/>
      <w:lvlText w:val=""/>
      <w:lvlJc w:val="left"/>
      <w:pPr>
        <w:ind w:left="814" w:hanging="360"/>
      </w:pPr>
      <w:rPr>
        <w:rFonts w:ascii="Wingdings" w:hAnsi="Wingdings" w:hint="default"/>
        <w:sz w:val="1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5955C3"/>
    <w:multiLevelType w:val="hybridMultilevel"/>
    <w:tmpl w:val="01186842"/>
    <w:lvl w:ilvl="0" w:tplc="F93C0188">
      <w:start w:val="1"/>
      <w:numFmt w:val="lowerRoman"/>
      <w:lvlText w:val="%1)"/>
      <w:lvlJc w:val="left"/>
      <w:pPr>
        <w:ind w:left="5760" w:hanging="720"/>
      </w:pPr>
      <w:rPr>
        <w:rFonts w:hint="default"/>
      </w:rPr>
    </w:lvl>
    <w:lvl w:ilvl="1" w:tplc="0C090019" w:tentative="1">
      <w:start w:val="1"/>
      <w:numFmt w:val="lowerLetter"/>
      <w:lvlText w:val="%2."/>
      <w:lvlJc w:val="left"/>
      <w:pPr>
        <w:ind w:left="6120" w:hanging="360"/>
      </w:pPr>
    </w:lvl>
    <w:lvl w:ilvl="2" w:tplc="0C09001B" w:tentative="1">
      <w:start w:val="1"/>
      <w:numFmt w:val="lowerRoman"/>
      <w:lvlText w:val="%3."/>
      <w:lvlJc w:val="right"/>
      <w:pPr>
        <w:ind w:left="6840" w:hanging="180"/>
      </w:pPr>
    </w:lvl>
    <w:lvl w:ilvl="3" w:tplc="0C09000F" w:tentative="1">
      <w:start w:val="1"/>
      <w:numFmt w:val="decimal"/>
      <w:lvlText w:val="%4."/>
      <w:lvlJc w:val="left"/>
      <w:pPr>
        <w:ind w:left="7560" w:hanging="360"/>
      </w:pPr>
    </w:lvl>
    <w:lvl w:ilvl="4" w:tplc="0C090019" w:tentative="1">
      <w:start w:val="1"/>
      <w:numFmt w:val="lowerLetter"/>
      <w:lvlText w:val="%5."/>
      <w:lvlJc w:val="left"/>
      <w:pPr>
        <w:ind w:left="8280" w:hanging="360"/>
      </w:pPr>
    </w:lvl>
    <w:lvl w:ilvl="5" w:tplc="0C09001B" w:tentative="1">
      <w:start w:val="1"/>
      <w:numFmt w:val="lowerRoman"/>
      <w:lvlText w:val="%6."/>
      <w:lvlJc w:val="right"/>
      <w:pPr>
        <w:ind w:left="9000" w:hanging="180"/>
      </w:pPr>
    </w:lvl>
    <w:lvl w:ilvl="6" w:tplc="0C09000F" w:tentative="1">
      <w:start w:val="1"/>
      <w:numFmt w:val="decimal"/>
      <w:lvlText w:val="%7."/>
      <w:lvlJc w:val="left"/>
      <w:pPr>
        <w:ind w:left="9720" w:hanging="360"/>
      </w:pPr>
    </w:lvl>
    <w:lvl w:ilvl="7" w:tplc="0C090019" w:tentative="1">
      <w:start w:val="1"/>
      <w:numFmt w:val="lowerLetter"/>
      <w:lvlText w:val="%8."/>
      <w:lvlJc w:val="left"/>
      <w:pPr>
        <w:ind w:left="10440" w:hanging="360"/>
      </w:pPr>
    </w:lvl>
    <w:lvl w:ilvl="8" w:tplc="0C09001B" w:tentative="1">
      <w:start w:val="1"/>
      <w:numFmt w:val="lowerRoman"/>
      <w:lvlText w:val="%9."/>
      <w:lvlJc w:val="right"/>
      <w:pPr>
        <w:ind w:left="11160" w:hanging="180"/>
      </w:pPr>
    </w:lvl>
  </w:abstractNum>
  <w:abstractNum w:abstractNumId="5" w15:restartNumberingAfterBreak="0">
    <w:nsid w:val="16E16C0F"/>
    <w:multiLevelType w:val="hybridMultilevel"/>
    <w:tmpl w:val="B3C03E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6" w15:restartNumberingAfterBreak="0">
    <w:nsid w:val="1B890CA7"/>
    <w:multiLevelType w:val="hybridMultilevel"/>
    <w:tmpl w:val="AD4E12E2"/>
    <w:lvl w:ilvl="0" w:tplc="B840194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680A31"/>
    <w:multiLevelType w:val="hybridMultilevel"/>
    <w:tmpl w:val="4B9C35E4"/>
    <w:lvl w:ilvl="0" w:tplc="0C090001">
      <w:start w:val="1"/>
      <w:numFmt w:val="bullet"/>
      <w:lvlText w:val=""/>
      <w:lvlJc w:val="left"/>
      <w:pPr>
        <w:ind w:left="1334" w:hanging="360"/>
      </w:pPr>
      <w:rPr>
        <w:rFonts w:ascii="Symbol" w:hAnsi="Symbol" w:hint="default"/>
      </w:rPr>
    </w:lvl>
    <w:lvl w:ilvl="1" w:tplc="0C090003" w:tentative="1">
      <w:start w:val="1"/>
      <w:numFmt w:val="bullet"/>
      <w:lvlText w:val="o"/>
      <w:lvlJc w:val="left"/>
      <w:pPr>
        <w:ind w:left="2054" w:hanging="360"/>
      </w:pPr>
      <w:rPr>
        <w:rFonts w:ascii="Courier New" w:hAnsi="Courier New" w:cs="Courier New" w:hint="default"/>
      </w:rPr>
    </w:lvl>
    <w:lvl w:ilvl="2" w:tplc="0C090005" w:tentative="1">
      <w:start w:val="1"/>
      <w:numFmt w:val="bullet"/>
      <w:lvlText w:val=""/>
      <w:lvlJc w:val="left"/>
      <w:pPr>
        <w:ind w:left="2774" w:hanging="360"/>
      </w:pPr>
      <w:rPr>
        <w:rFonts w:ascii="Wingdings" w:hAnsi="Wingdings" w:hint="default"/>
      </w:rPr>
    </w:lvl>
    <w:lvl w:ilvl="3" w:tplc="0C090001" w:tentative="1">
      <w:start w:val="1"/>
      <w:numFmt w:val="bullet"/>
      <w:lvlText w:val=""/>
      <w:lvlJc w:val="left"/>
      <w:pPr>
        <w:ind w:left="3494" w:hanging="360"/>
      </w:pPr>
      <w:rPr>
        <w:rFonts w:ascii="Symbol" w:hAnsi="Symbol" w:hint="default"/>
      </w:rPr>
    </w:lvl>
    <w:lvl w:ilvl="4" w:tplc="0C090003" w:tentative="1">
      <w:start w:val="1"/>
      <w:numFmt w:val="bullet"/>
      <w:lvlText w:val="o"/>
      <w:lvlJc w:val="left"/>
      <w:pPr>
        <w:ind w:left="4214" w:hanging="360"/>
      </w:pPr>
      <w:rPr>
        <w:rFonts w:ascii="Courier New" w:hAnsi="Courier New" w:cs="Courier New" w:hint="default"/>
      </w:rPr>
    </w:lvl>
    <w:lvl w:ilvl="5" w:tplc="0C090005" w:tentative="1">
      <w:start w:val="1"/>
      <w:numFmt w:val="bullet"/>
      <w:lvlText w:val=""/>
      <w:lvlJc w:val="left"/>
      <w:pPr>
        <w:ind w:left="4934" w:hanging="360"/>
      </w:pPr>
      <w:rPr>
        <w:rFonts w:ascii="Wingdings" w:hAnsi="Wingdings" w:hint="default"/>
      </w:rPr>
    </w:lvl>
    <w:lvl w:ilvl="6" w:tplc="0C090001" w:tentative="1">
      <w:start w:val="1"/>
      <w:numFmt w:val="bullet"/>
      <w:lvlText w:val=""/>
      <w:lvlJc w:val="left"/>
      <w:pPr>
        <w:ind w:left="5654" w:hanging="360"/>
      </w:pPr>
      <w:rPr>
        <w:rFonts w:ascii="Symbol" w:hAnsi="Symbol" w:hint="default"/>
      </w:rPr>
    </w:lvl>
    <w:lvl w:ilvl="7" w:tplc="0C090003" w:tentative="1">
      <w:start w:val="1"/>
      <w:numFmt w:val="bullet"/>
      <w:lvlText w:val="o"/>
      <w:lvlJc w:val="left"/>
      <w:pPr>
        <w:ind w:left="6374" w:hanging="360"/>
      </w:pPr>
      <w:rPr>
        <w:rFonts w:ascii="Courier New" w:hAnsi="Courier New" w:cs="Courier New" w:hint="default"/>
      </w:rPr>
    </w:lvl>
    <w:lvl w:ilvl="8" w:tplc="0C090005" w:tentative="1">
      <w:start w:val="1"/>
      <w:numFmt w:val="bullet"/>
      <w:lvlText w:val=""/>
      <w:lvlJc w:val="left"/>
      <w:pPr>
        <w:ind w:left="7094" w:hanging="360"/>
      </w:pPr>
      <w:rPr>
        <w:rFonts w:ascii="Wingdings" w:hAnsi="Wingdings" w:hint="default"/>
      </w:rPr>
    </w:lvl>
  </w:abstractNum>
  <w:abstractNum w:abstractNumId="8" w15:restartNumberingAfterBreak="0">
    <w:nsid w:val="1FDD14F8"/>
    <w:multiLevelType w:val="hybridMultilevel"/>
    <w:tmpl w:val="E524431A"/>
    <w:styleLink w:val="Numberedlist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200690"/>
    <w:multiLevelType w:val="hybridMultilevel"/>
    <w:tmpl w:val="CFCC5C68"/>
    <w:lvl w:ilvl="0" w:tplc="3D380E06">
      <w:start w:val="1"/>
      <w:numFmt w:val="bullet"/>
      <w:pStyle w:val="08Tablebulletsecondlevel"/>
      <w:lvlText w:val=""/>
      <w:lvlJc w:val="left"/>
      <w:pPr>
        <w:ind w:left="1117" w:hanging="360"/>
      </w:pPr>
      <w:rPr>
        <w:rFonts w:ascii="Wingdings" w:hAnsi="Wingdings" w:hint="default"/>
        <w:sz w:val="17"/>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0" w15:restartNumberingAfterBreak="0">
    <w:nsid w:val="25C53B03"/>
    <w:multiLevelType w:val="multilevel"/>
    <w:tmpl w:val="164243D4"/>
    <w:styleLink w:val="Headings"/>
    <w:lvl w:ilvl="0">
      <w:start w:val="1"/>
      <w:numFmt w:val="decimal"/>
      <w:pStyle w:val="Heading1"/>
      <w:suff w:val="nothing"/>
      <w:lvlText w:val="Section %1"/>
      <w:lvlJc w:val="left"/>
      <w:pPr>
        <w:ind w:left="0" w:firstLine="0"/>
      </w:pPr>
      <w:rPr>
        <w:rFonts w:hint="default"/>
      </w:rPr>
    </w:lvl>
    <w:lvl w:ilvl="1">
      <w:start w:val="1"/>
      <w:numFmt w:val="decimal"/>
      <w:pStyle w:val="Heading2"/>
      <w:lvlText w:val="%1.%2"/>
      <w:lvlJc w:val="left"/>
      <w:pPr>
        <w:tabs>
          <w:tab w:val="num" w:pos="851"/>
        </w:tabs>
        <w:ind w:left="0" w:firstLine="0"/>
      </w:pPr>
      <w:rPr>
        <w:rFonts w:hint="default"/>
      </w:rPr>
    </w:lvl>
    <w:lvl w:ilvl="2">
      <w:start w:val="1"/>
      <w:numFmt w:val="decimal"/>
      <w:pStyle w:val="Heading3"/>
      <w:lvlText w:val="%1.%2.%3"/>
      <w:lvlJc w:val="left"/>
      <w:pPr>
        <w:tabs>
          <w:tab w:val="num" w:pos="851"/>
        </w:tabs>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lvlText w:val="Appendix %7"/>
      <w:lvlJc w:val="left"/>
      <w:pPr>
        <w:ind w:left="3119" w:firstLine="0"/>
      </w:pPr>
      <w:rPr>
        <w:rFonts w:hint="default"/>
      </w:rPr>
    </w:lvl>
    <w:lvl w:ilvl="7">
      <w:start w:val="1"/>
      <w:numFmt w:val="decimal"/>
      <w:pStyle w:val="Heading8"/>
      <w:lvlText w:val="%7.%8"/>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1" w15:restartNumberingAfterBreak="0">
    <w:nsid w:val="2806322B"/>
    <w:multiLevelType w:val="hybridMultilevel"/>
    <w:tmpl w:val="079C40CE"/>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7956D8"/>
    <w:multiLevelType w:val="hybridMultilevel"/>
    <w:tmpl w:val="9D24F094"/>
    <w:lvl w:ilvl="0" w:tplc="E24AE6A4">
      <w:start w:val="1"/>
      <w:numFmt w:val="bullet"/>
      <w:pStyle w:val="Bullet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4FA0F2B"/>
    <w:multiLevelType w:val="hybridMultilevel"/>
    <w:tmpl w:val="8A068968"/>
    <w:lvl w:ilvl="0" w:tplc="ECE0CFFE">
      <w:start w:val="1"/>
      <w:numFmt w:val="bullet"/>
      <w:pStyle w:val="07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C70A02"/>
    <w:multiLevelType w:val="hybridMultilevel"/>
    <w:tmpl w:val="45B20F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7FB4D65"/>
    <w:multiLevelType w:val="hybridMultilevel"/>
    <w:tmpl w:val="A1607B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8CD4AA0"/>
    <w:multiLevelType w:val="hybridMultilevel"/>
    <w:tmpl w:val="E5046376"/>
    <w:lvl w:ilvl="0" w:tplc="D03C447E">
      <w:start w:val="1"/>
      <w:numFmt w:val="lowerRoman"/>
      <w:lvlText w:val="%1)"/>
      <w:lvlJc w:val="left"/>
      <w:pPr>
        <w:ind w:left="1500" w:hanging="720"/>
      </w:pPr>
      <w:rPr>
        <w:rFonts w:hint="default"/>
      </w:rPr>
    </w:lvl>
    <w:lvl w:ilvl="1" w:tplc="0C090019" w:tentative="1">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abstractNum w:abstractNumId="17" w15:restartNumberingAfterBreak="0">
    <w:nsid w:val="3A517A55"/>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510C8E"/>
    <w:multiLevelType w:val="multilevel"/>
    <w:tmpl w:val="526C7668"/>
    <w:styleLink w:val="Numberedlist"/>
    <w:lvl w:ilvl="0">
      <w:start w:val="1"/>
      <w:numFmt w:val="none"/>
      <w:lvlText w:val="(%11)"/>
      <w:lvlJc w:val="left"/>
      <w:pPr>
        <w:ind w:left="0" w:firstLine="0"/>
      </w:pPr>
      <w:rPr>
        <w:rFonts w:hint="default"/>
      </w:rPr>
    </w:lvl>
    <w:lvl w:ilvl="1">
      <w:start w:val="2"/>
      <w:numFmt w:val="decimal"/>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441B7EA7"/>
    <w:multiLevelType w:val="hybridMultilevel"/>
    <w:tmpl w:val="8F7AC4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5C9616B"/>
    <w:multiLevelType w:val="hybridMultilevel"/>
    <w:tmpl w:val="0046C9B8"/>
    <w:styleLink w:val="1111111"/>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1" w15:restartNumberingAfterBreak="0">
    <w:nsid w:val="596821EE"/>
    <w:multiLevelType w:val="hybridMultilevel"/>
    <w:tmpl w:val="66182DD8"/>
    <w:lvl w:ilvl="0" w:tplc="4894C0A8">
      <w:start w:val="1"/>
      <w:numFmt w:val="lowerRoman"/>
      <w:lvlText w:val="%1)"/>
      <w:lvlJc w:val="left"/>
      <w:pPr>
        <w:ind w:left="3600" w:hanging="720"/>
      </w:pPr>
      <w:rPr>
        <w:rFonts w:hint="default"/>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22" w15:restartNumberingAfterBreak="0">
    <w:nsid w:val="59F60AEB"/>
    <w:multiLevelType w:val="hybridMultilevel"/>
    <w:tmpl w:val="1EA4E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0" w:hanging="360"/>
      </w:pPr>
      <w:rPr>
        <w:rFonts w:ascii="Courier New" w:hAnsi="Courier New" w:cs="Courier New" w:hint="default"/>
      </w:rPr>
    </w:lvl>
    <w:lvl w:ilvl="2" w:tplc="0C090005" w:tentative="1">
      <w:start w:val="1"/>
      <w:numFmt w:val="bullet"/>
      <w:lvlText w:val=""/>
      <w:lvlJc w:val="left"/>
      <w:pPr>
        <w:ind w:left="720" w:hanging="360"/>
      </w:pPr>
      <w:rPr>
        <w:rFonts w:ascii="Wingdings" w:hAnsi="Wingdings" w:hint="default"/>
      </w:rPr>
    </w:lvl>
    <w:lvl w:ilvl="3" w:tplc="0C090001" w:tentative="1">
      <w:start w:val="1"/>
      <w:numFmt w:val="bullet"/>
      <w:lvlText w:val=""/>
      <w:lvlJc w:val="left"/>
      <w:pPr>
        <w:ind w:left="1440" w:hanging="360"/>
      </w:pPr>
      <w:rPr>
        <w:rFonts w:ascii="Symbol" w:hAnsi="Symbol" w:hint="default"/>
      </w:rPr>
    </w:lvl>
    <w:lvl w:ilvl="4" w:tplc="0C090003" w:tentative="1">
      <w:start w:val="1"/>
      <w:numFmt w:val="bullet"/>
      <w:lvlText w:val="o"/>
      <w:lvlJc w:val="left"/>
      <w:pPr>
        <w:ind w:left="2160" w:hanging="360"/>
      </w:pPr>
      <w:rPr>
        <w:rFonts w:ascii="Courier New" w:hAnsi="Courier New" w:cs="Courier New" w:hint="default"/>
      </w:rPr>
    </w:lvl>
    <w:lvl w:ilvl="5" w:tplc="0C090005" w:tentative="1">
      <w:start w:val="1"/>
      <w:numFmt w:val="bullet"/>
      <w:lvlText w:val=""/>
      <w:lvlJc w:val="left"/>
      <w:pPr>
        <w:ind w:left="2880" w:hanging="360"/>
      </w:pPr>
      <w:rPr>
        <w:rFonts w:ascii="Wingdings" w:hAnsi="Wingdings" w:hint="default"/>
      </w:rPr>
    </w:lvl>
    <w:lvl w:ilvl="6" w:tplc="0C090001" w:tentative="1">
      <w:start w:val="1"/>
      <w:numFmt w:val="bullet"/>
      <w:lvlText w:val=""/>
      <w:lvlJc w:val="left"/>
      <w:pPr>
        <w:ind w:left="3600" w:hanging="360"/>
      </w:pPr>
      <w:rPr>
        <w:rFonts w:ascii="Symbol" w:hAnsi="Symbol" w:hint="default"/>
      </w:rPr>
    </w:lvl>
    <w:lvl w:ilvl="7" w:tplc="0C090003" w:tentative="1">
      <w:start w:val="1"/>
      <w:numFmt w:val="bullet"/>
      <w:lvlText w:val="o"/>
      <w:lvlJc w:val="left"/>
      <w:pPr>
        <w:ind w:left="4320" w:hanging="360"/>
      </w:pPr>
      <w:rPr>
        <w:rFonts w:ascii="Courier New" w:hAnsi="Courier New" w:cs="Courier New" w:hint="default"/>
      </w:rPr>
    </w:lvl>
    <w:lvl w:ilvl="8" w:tplc="0C090005" w:tentative="1">
      <w:start w:val="1"/>
      <w:numFmt w:val="bullet"/>
      <w:lvlText w:val=""/>
      <w:lvlJc w:val="left"/>
      <w:pPr>
        <w:ind w:left="5040" w:hanging="360"/>
      </w:pPr>
      <w:rPr>
        <w:rFonts w:ascii="Wingdings" w:hAnsi="Wingdings" w:hint="default"/>
      </w:rPr>
    </w:lvl>
  </w:abstractNum>
  <w:abstractNum w:abstractNumId="23" w15:restartNumberingAfterBreak="0">
    <w:nsid w:val="5ABC1ADF"/>
    <w:multiLevelType w:val="hybridMultilevel"/>
    <w:tmpl w:val="2D1AA470"/>
    <w:lvl w:ilvl="0" w:tplc="2F3C86D4">
      <w:numFmt w:val="bullet"/>
      <w:lvlText w:val="•"/>
      <w:lvlJc w:val="left"/>
      <w:pPr>
        <w:ind w:left="720" w:hanging="720"/>
      </w:pPr>
      <w:rPr>
        <w:rFonts w:ascii="Cambria" w:eastAsia="Calibri"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40178B"/>
    <w:multiLevelType w:val="hybridMultilevel"/>
    <w:tmpl w:val="0B922330"/>
    <w:lvl w:ilvl="0" w:tplc="55A02B0A">
      <w:start w:val="1"/>
      <w:numFmt w:val="bullet"/>
      <w:lvlText w:val=""/>
      <w:lvlJc w:val="left"/>
      <w:pPr>
        <w:ind w:left="861" w:hanging="360"/>
      </w:pPr>
      <w:rPr>
        <w:rFonts w:ascii="Symbol" w:hAnsi="Symbol" w:hint="default"/>
        <w:b/>
      </w:rPr>
    </w:lvl>
    <w:lvl w:ilvl="1" w:tplc="0C090003" w:tentative="1">
      <w:start w:val="1"/>
      <w:numFmt w:val="bullet"/>
      <w:lvlText w:val="o"/>
      <w:lvlJc w:val="left"/>
      <w:pPr>
        <w:ind w:left="1581" w:hanging="360"/>
      </w:pPr>
      <w:rPr>
        <w:rFonts w:ascii="Courier New" w:hAnsi="Courier New" w:cs="Courier New" w:hint="default"/>
      </w:rPr>
    </w:lvl>
    <w:lvl w:ilvl="2" w:tplc="0C090005" w:tentative="1">
      <w:start w:val="1"/>
      <w:numFmt w:val="bullet"/>
      <w:lvlText w:val=""/>
      <w:lvlJc w:val="left"/>
      <w:pPr>
        <w:ind w:left="2301" w:hanging="360"/>
      </w:pPr>
      <w:rPr>
        <w:rFonts w:ascii="Wingdings" w:hAnsi="Wingdings" w:hint="default"/>
      </w:rPr>
    </w:lvl>
    <w:lvl w:ilvl="3" w:tplc="0C090001" w:tentative="1">
      <w:start w:val="1"/>
      <w:numFmt w:val="bullet"/>
      <w:lvlText w:val=""/>
      <w:lvlJc w:val="left"/>
      <w:pPr>
        <w:ind w:left="3021" w:hanging="360"/>
      </w:pPr>
      <w:rPr>
        <w:rFonts w:ascii="Symbol" w:hAnsi="Symbol" w:hint="default"/>
      </w:rPr>
    </w:lvl>
    <w:lvl w:ilvl="4" w:tplc="0C090003" w:tentative="1">
      <w:start w:val="1"/>
      <w:numFmt w:val="bullet"/>
      <w:lvlText w:val="o"/>
      <w:lvlJc w:val="left"/>
      <w:pPr>
        <w:ind w:left="3741" w:hanging="360"/>
      </w:pPr>
      <w:rPr>
        <w:rFonts w:ascii="Courier New" w:hAnsi="Courier New" w:cs="Courier New" w:hint="default"/>
      </w:rPr>
    </w:lvl>
    <w:lvl w:ilvl="5" w:tplc="0C090005" w:tentative="1">
      <w:start w:val="1"/>
      <w:numFmt w:val="bullet"/>
      <w:lvlText w:val=""/>
      <w:lvlJc w:val="left"/>
      <w:pPr>
        <w:ind w:left="4461" w:hanging="360"/>
      </w:pPr>
      <w:rPr>
        <w:rFonts w:ascii="Wingdings" w:hAnsi="Wingdings" w:hint="default"/>
      </w:rPr>
    </w:lvl>
    <w:lvl w:ilvl="6" w:tplc="0C090001" w:tentative="1">
      <w:start w:val="1"/>
      <w:numFmt w:val="bullet"/>
      <w:lvlText w:val=""/>
      <w:lvlJc w:val="left"/>
      <w:pPr>
        <w:ind w:left="5181" w:hanging="360"/>
      </w:pPr>
      <w:rPr>
        <w:rFonts w:ascii="Symbol" w:hAnsi="Symbol" w:hint="default"/>
      </w:rPr>
    </w:lvl>
    <w:lvl w:ilvl="7" w:tplc="0C090003" w:tentative="1">
      <w:start w:val="1"/>
      <w:numFmt w:val="bullet"/>
      <w:lvlText w:val="o"/>
      <w:lvlJc w:val="left"/>
      <w:pPr>
        <w:ind w:left="5901" w:hanging="360"/>
      </w:pPr>
      <w:rPr>
        <w:rFonts w:ascii="Courier New" w:hAnsi="Courier New" w:cs="Courier New" w:hint="default"/>
      </w:rPr>
    </w:lvl>
    <w:lvl w:ilvl="8" w:tplc="0C090005" w:tentative="1">
      <w:start w:val="1"/>
      <w:numFmt w:val="bullet"/>
      <w:lvlText w:val=""/>
      <w:lvlJc w:val="left"/>
      <w:pPr>
        <w:ind w:left="6621" w:hanging="360"/>
      </w:pPr>
      <w:rPr>
        <w:rFonts w:ascii="Wingdings" w:hAnsi="Wingdings" w:hint="default"/>
      </w:rPr>
    </w:lvl>
  </w:abstractNum>
  <w:abstractNum w:abstractNumId="25" w15:restartNumberingAfterBreak="0">
    <w:nsid w:val="67BA14CF"/>
    <w:multiLevelType w:val="hybridMultilevel"/>
    <w:tmpl w:val="0228F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592FEB"/>
    <w:multiLevelType w:val="hybridMultilevel"/>
    <w:tmpl w:val="3026AC06"/>
    <w:lvl w:ilvl="0" w:tplc="2F3C86D4">
      <w:numFmt w:val="bullet"/>
      <w:lvlText w:val="•"/>
      <w:lvlJc w:val="left"/>
      <w:pPr>
        <w:ind w:left="720" w:hanging="720"/>
      </w:pPr>
      <w:rPr>
        <w:rFonts w:ascii="Cambria" w:eastAsia="Calibri" w:hAnsi="Cambria"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13"/>
  </w:num>
  <w:num w:numId="3">
    <w:abstractNumId w:val="8"/>
  </w:num>
  <w:num w:numId="4">
    <w:abstractNumId w:val="9"/>
  </w:num>
  <w:num w:numId="5">
    <w:abstractNumId w:val="0"/>
  </w:num>
  <w:num w:numId="6">
    <w:abstractNumId w:val="18"/>
  </w:num>
  <w:num w:numId="7">
    <w:abstractNumId w:val="17"/>
  </w:num>
  <w:num w:numId="8">
    <w:abstractNumId w:val="20"/>
  </w:num>
  <w:num w:numId="9">
    <w:abstractNumId w:val="10"/>
    <w:lvlOverride w:ilvl="0">
      <w:lvl w:ilvl="0">
        <w:start w:val="1"/>
        <w:numFmt w:val="decimal"/>
        <w:pStyle w:val="Heading1"/>
        <w:suff w:val="nothing"/>
        <w:lvlText w:val="Section %1"/>
        <w:lvlJc w:val="left"/>
        <w:pPr>
          <w:ind w:left="0"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upperLetter"/>
        <w:pStyle w:val="Heading7"/>
        <w:lvlText w:val="Appendix %7"/>
        <w:lvlJc w:val="left"/>
        <w:pPr>
          <w:ind w:left="3119"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10">
    <w:abstractNumId w:val="12"/>
  </w:num>
  <w:num w:numId="11">
    <w:abstractNumId w:val="10"/>
  </w:num>
  <w:num w:numId="12">
    <w:abstractNumId w:val="22"/>
  </w:num>
  <w:num w:numId="13">
    <w:abstractNumId w:val="7"/>
  </w:num>
  <w:num w:numId="14">
    <w:abstractNumId w:val="21"/>
  </w:num>
  <w:num w:numId="15">
    <w:abstractNumId w:val="11"/>
  </w:num>
  <w:num w:numId="16">
    <w:abstractNumId w:val="2"/>
  </w:num>
  <w:num w:numId="17">
    <w:abstractNumId w:val="14"/>
  </w:num>
  <w:num w:numId="18">
    <w:abstractNumId w:val="26"/>
  </w:num>
  <w:num w:numId="19">
    <w:abstractNumId w:val="1"/>
  </w:num>
  <w:num w:numId="20">
    <w:abstractNumId w:val="23"/>
  </w:num>
  <w:num w:numId="21">
    <w:abstractNumId w:val="4"/>
  </w:num>
  <w:num w:numId="22">
    <w:abstractNumId w:val="16"/>
  </w:num>
  <w:num w:numId="23">
    <w:abstractNumId w:val="19"/>
  </w:num>
  <w:num w:numId="24">
    <w:abstractNumId w:val="15"/>
  </w:num>
  <w:num w:numId="25">
    <w:abstractNumId w:val="10"/>
    <w:lvlOverride w:ilvl="0">
      <w:lvl w:ilvl="0">
        <w:start w:val="1"/>
        <w:numFmt w:val="decimal"/>
        <w:pStyle w:val="Heading1"/>
        <w:suff w:val="nothing"/>
        <w:lvlText w:val="Section %1"/>
        <w:lvlJc w:val="left"/>
        <w:pPr>
          <w:ind w:left="0"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upperLetter"/>
        <w:pStyle w:val="Heading7"/>
        <w:lvlText w:val="Appendix %7"/>
        <w:lvlJc w:val="left"/>
        <w:pPr>
          <w:ind w:left="3119"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26">
    <w:abstractNumId w:val="24"/>
  </w:num>
  <w:num w:numId="27">
    <w:abstractNumId w:val="6"/>
  </w:num>
  <w:num w:numId="28">
    <w:abstractNumId w:val="0"/>
  </w:num>
  <w:num w:numId="29">
    <w:abstractNumId w:val="0"/>
  </w:num>
  <w:num w:numId="30">
    <w:abstractNumId w:val="0"/>
  </w:num>
  <w:num w:numId="31">
    <w:abstractNumId w:val="0"/>
  </w:num>
  <w:num w:numId="32">
    <w:abstractNumId w:val="25"/>
  </w:num>
  <w:num w:numId="33">
    <w:abstractNumId w:val="0"/>
  </w:num>
  <w:num w:numId="34">
    <w:abstractNumId w:val="0"/>
  </w:num>
  <w:num w:numId="35">
    <w:abstractNumId w:val="0"/>
  </w:num>
  <w:num w:numId="36">
    <w:abstractNumId w:val="5"/>
  </w:num>
  <w:num w:numId="37">
    <w:abstractNumId w:val="10"/>
    <w:lvlOverride w:ilvl="0">
      <w:lvl w:ilvl="0">
        <w:start w:val="1"/>
        <w:numFmt w:val="decimal"/>
        <w:pStyle w:val="Heading1"/>
        <w:suff w:val="nothing"/>
        <w:lvlText w:val="Section %1"/>
        <w:lvlJc w:val="left"/>
        <w:pPr>
          <w:ind w:left="0"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upperLetter"/>
        <w:pStyle w:val="Heading7"/>
        <w:lvlText w:val="Appendix %7"/>
        <w:lvlJc w:val="left"/>
        <w:pPr>
          <w:ind w:left="3119"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38">
    <w:abstractNumId w:val="10"/>
    <w:lvlOverride w:ilvl="0">
      <w:lvl w:ilvl="0">
        <w:start w:val="1"/>
        <w:numFmt w:val="decimal"/>
        <w:pStyle w:val="Heading1"/>
        <w:suff w:val="nothing"/>
        <w:lvlText w:val="Section %1"/>
        <w:lvlJc w:val="left"/>
        <w:pPr>
          <w:ind w:left="0"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upperLetter"/>
        <w:pStyle w:val="Heading7"/>
        <w:lvlText w:val="Appendix %7"/>
        <w:lvlJc w:val="left"/>
        <w:pPr>
          <w:ind w:left="3119"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39">
    <w:abstractNumId w:val="10"/>
    <w:lvlOverride w:ilvl="0">
      <w:lvl w:ilvl="0">
        <w:start w:val="1"/>
        <w:numFmt w:val="decimal"/>
        <w:pStyle w:val="Heading1"/>
        <w:suff w:val="nothing"/>
        <w:lvlText w:val="Section %1"/>
        <w:lvlJc w:val="left"/>
        <w:pPr>
          <w:ind w:left="0"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upperLetter"/>
        <w:pStyle w:val="Heading7"/>
        <w:lvlText w:val="Appendix %7"/>
        <w:lvlJc w:val="left"/>
        <w:pPr>
          <w:ind w:left="3119"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40">
    <w:abstractNumId w:val="10"/>
    <w:lvlOverride w:ilvl="0">
      <w:lvl w:ilvl="0">
        <w:start w:val="1"/>
        <w:numFmt w:val="decimal"/>
        <w:pStyle w:val="Heading1"/>
        <w:suff w:val="nothing"/>
        <w:lvlText w:val="Section %1"/>
        <w:lvlJc w:val="left"/>
        <w:pPr>
          <w:ind w:left="0"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upperLetter"/>
        <w:pStyle w:val="Heading7"/>
        <w:lvlText w:val="Appendix %7"/>
        <w:lvlJc w:val="left"/>
        <w:pPr>
          <w:ind w:left="3119"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41">
    <w:abstractNumId w:val="10"/>
    <w:lvlOverride w:ilvl="0">
      <w:lvl w:ilvl="0">
        <w:start w:val="1"/>
        <w:numFmt w:val="decimal"/>
        <w:pStyle w:val="Heading1"/>
        <w:suff w:val="nothing"/>
        <w:lvlText w:val="Section %1"/>
        <w:lvlJc w:val="left"/>
        <w:pPr>
          <w:ind w:left="0"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upperLetter"/>
        <w:pStyle w:val="Heading7"/>
        <w:lvlText w:val="Appendix %7"/>
        <w:lvlJc w:val="left"/>
        <w:pPr>
          <w:ind w:left="3119"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42">
    <w:abstractNumId w:val="10"/>
    <w:lvlOverride w:ilvl="0">
      <w:lvl w:ilvl="0">
        <w:start w:val="1"/>
        <w:numFmt w:val="decimal"/>
        <w:pStyle w:val="Heading1"/>
        <w:suff w:val="nothing"/>
        <w:lvlText w:val="Section %1"/>
        <w:lvlJc w:val="left"/>
        <w:pPr>
          <w:ind w:left="0" w:firstLine="0"/>
        </w:pPr>
        <w:rPr>
          <w:rFonts w:hint="default"/>
        </w:rPr>
      </w:lvl>
    </w:lvlOverride>
    <w:lvlOverride w:ilvl="1">
      <w:lvl w:ilvl="1">
        <w:start w:val="1"/>
        <w:numFmt w:val="decimal"/>
        <w:pStyle w:val="Heading2"/>
        <w:lvlText w:val="%1.%2"/>
        <w:lvlJc w:val="left"/>
        <w:pPr>
          <w:tabs>
            <w:tab w:val="num" w:pos="851"/>
          </w:tabs>
          <w:ind w:left="0" w:firstLine="0"/>
        </w:pPr>
        <w:rPr>
          <w:rFonts w:hint="default"/>
        </w:rPr>
      </w:lvl>
    </w:lvlOverride>
    <w:lvlOverride w:ilvl="2">
      <w:lvl w:ilvl="2">
        <w:start w:val="1"/>
        <w:numFmt w:val="decimal"/>
        <w:pStyle w:val="Heading3"/>
        <w:lvlText w:val="%1.%2.%3"/>
        <w:lvlJc w:val="left"/>
        <w:pPr>
          <w:tabs>
            <w:tab w:val="num" w:pos="851"/>
          </w:tabs>
          <w:ind w:left="0"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upperLetter"/>
        <w:pStyle w:val="Heading7"/>
        <w:lvlText w:val="Appendix %7"/>
        <w:lvlJc w:val="left"/>
        <w:pPr>
          <w:ind w:left="3119"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8433"/>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xe50xzxg2vx0gevxdivt900vt9dx9devw5f&quot;&gt;Literature review report&lt;record-ids&gt;&lt;item&gt;225&lt;/item&gt;&lt;item&gt;227&lt;/item&gt;&lt;item&gt;228&lt;/item&gt;&lt;item&gt;229&lt;/item&gt;&lt;item&gt;230&lt;/item&gt;&lt;item&gt;233&lt;/item&gt;&lt;item&gt;234&lt;/item&gt;&lt;item&gt;237&lt;/item&gt;&lt;item&gt;238&lt;/item&gt;&lt;item&gt;239&lt;/item&gt;&lt;item&gt;240&lt;/item&gt;&lt;item&gt;244&lt;/item&gt;&lt;item&gt;249&lt;/item&gt;&lt;item&gt;251&lt;/item&gt;&lt;item&gt;252&lt;/item&gt;&lt;item&gt;254&lt;/item&gt;&lt;item&gt;255&lt;/item&gt;&lt;item&gt;256&lt;/item&gt;&lt;item&gt;257&lt;/item&gt;&lt;item&gt;258&lt;/item&gt;&lt;item&gt;259&lt;/item&gt;&lt;item&gt;260&lt;/item&gt;&lt;item&gt;262&lt;/item&gt;&lt;item&gt;263&lt;/item&gt;&lt;item&gt;269&lt;/item&gt;&lt;item&gt;270&lt;/item&gt;&lt;item&gt;271&lt;/item&gt;&lt;item&gt;275&lt;/item&gt;&lt;item&gt;279&lt;/item&gt;&lt;item&gt;281&lt;/item&gt;&lt;item&gt;285&lt;/item&gt;&lt;item&gt;287&lt;/item&gt;&lt;item&gt;288&lt;/item&gt;&lt;item&gt;289&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record-ids&gt;&lt;/item&gt;&lt;/Libraries&gt;"/>
  </w:docVars>
  <w:rsids>
    <w:rsidRoot w:val="000B0C8C"/>
    <w:rsid w:val="00000676"/>
    <w:rsid w:val="00001143"/>
    <w:rsid w:val="00001BDA"/>
    <w:rsid w:val="00002CBE"/>
    <w:rsid w:val="0000335D"/>
    <w:rsid w:val="000039E6"/>
    <w:rsid w:val="00004C54"/>
    <w:rsid w:val="000058DE"/>
    <w:rsid w:val="000061B3"/>
    <w:rsid w:val="0000707E"/>
    <w:rsid w:val="000077CE"/>
    <w:rsid w:val="00007DB7"/>
    <w:rsid w:val="000108AD"/>
    <w:rsid w:val="00011758"/>
    <w:rsid w:val="00012746"/>
    <w:rsid w:val="0001276B"/>
    <w:rsid w:val="00012A89"/>
    <w:rsid w:val="00012C43"/>
    <w:rsid w:val="00012EF0"/>
    <w:rsid w:val="00013031"/>
    <w:rsid w:val="00013DEC"/>
    <w:rsid w:val="00013DF5"/>
    <w:rsid w:val="000145AF"/>
    <w:rsid w:val="00015B06"/>
    <w:rsid w:val="00016BF6"/>
    <w:rsid w:val="0001713E"/>
    <w:rsid w:val="00017C1F"/>
    <w:rsid w:val="00017FBF"/>
    <w:rsid w:val="0002051B"/>
    <w:rsid w:val="00020ECE"/>
    <w:rsid w:val="0002235B"/>
    <w:rsid w:val="00022DA6"/>
    <w:rsid w:val="00022E3F"/>
    <w:rsid w:val="000232A6"/>
    <w:rsid w:val="000235A4"/>
    <w:rsid w:val="000240D6"/>
    <w:rsid w:val="000245BD"/>
    <w:rsid w:val="0002479A"/>
    <w:rsid w:val="00024991"/>
    <w:rsid w:val="00026080"/>
    <w:rsid w:val="00026B3C"/>
    <w:rsid w:val="00026CB1"/>
    <w:rsid w:val="00027324"/>
    <w:rsid w:val="000273DB"/>
    <w:rsid w:val="00027957"/>
    <w:rsid w:val="00027EEF"/>
    <w:rsid w:val="00032398"/>
    <w:rsid w:val="0003313D"/>
    <w:rsid w:val="0003359D"/>
    <w:rsid w:val="00033623"/>
    <w:rsid w:val="00033681"/>
    <w:rsid w:val="0003409D"/>
    <w:rsid w:val="000342DC"/>
    <w:rsid w:val="000347D4"/>
    <w:rsid w:val="0003499D"/>
    <w:rsid w:val="00034EAB"/>
    <w:rsid w:val="00035233"/>
    <w:rsid w:val="00035C43"/>
    <w:rsid w:val="00035CAA"/>
    <w:rsid w:val="0003622D"/>
    <w:rsid w:val="0003789A"/>
    <w:rsid w:val="0004089D"/>
    <w:rsid w:val="00040BD7"/>
    <w:rsid w:val="00041372"/>
    <w:rsid w:val="000416AB"/>
    <w:rsid w:val="00041A7E"/>
    <w:rsid w:val="00043292"/>
    <w:rsid w:val="00043CB4"/>
    <w:rsid w:val="00043CB5"/>
    <w:rsid w:val="00044518"/>
    <w:rsid w:val="00044526"/>
    <w:rsid w:val="00045558"/>
    <w:rsid w:val="0004594A"/>
    <w:rsid w:val="000460DF"/>
    <w:rsid w:val="0004690C"/>
    <w:rsid w:val="00047E33"/>
    <w:rsid w:val="000504A4"/>
    <w:rsid w:val="00052353"/>
    <w:rsid w:val="000546C2"/>
    <w:rsid w:val="00054996"/>
    <w:rsid w:val="0005536D"/>
    <w:rsid w:val="000559E2"/>
    <w:rsid w:val="00055D1E"/>
    <w:rsid w:val="00055DCD"/>
    <w:rsid w:val="00055F77"/>
    <w:rsid w:val="00056161"/>
    <w:rsid w:val="00056B0F"/>
    <w:rsid w:val="000604DC"/>
    <w:rsid w:val="00060C26"/>
    <w:rsid w:val="000615FD"/>
    <w:rsid w:val="000628E5"/>
    <w:rsid w:val="00062C26"/>
    <w:rsid w:val="00062FC9"/>
    <w:rsid w:val="000630F4"/>
    <w:rsid w:val="000633E2"/>
    <w:rsid w:val="000637FC"/>
    <w:rsid w:val="000640EA"/>
    <w:rsid w:val="00064658"/>
    <w:rsid w:val="00064766"/>
    <w:rsid w:val="00064D19"/>
    <w:rsid w:val="00065081"/>
    <w:rsid w:val="00065489"/>
    <w:rsid w:val="00065F42"/>
    <w:rsid w:val="000660F8"/>
    <w:rsid w:val="000662F1"/>
    <w:rsid w:val="00066834"/>
    <w:rsid w:val="00066AB2"/>
    <w:rsid w:val="00067504"/>
    <w:rsid w:val="000676BE"/>
    <w:rsid w:val="00067B4C"/>
    <w:rsid w:val="000702D7"/>
    <w:rsid w:val="000724B1"/>
    <w:rsid w:val="00072A71"/>
    <w:rsid w:val="00072E12"/>
    <w:rsid w:val="0007323D"/>
    <w:rsid w:val="0007477E"/>
    <w:rsid w:val="00074A9A"/>
    <w:rsid w:val="00075120"/>
    <w:rsid w:val="0007521E"/>
    <w:rsid w:val="00075AE3"/>
    <w:rsid w:val="00075D0E"/>
    <w:rsid w:val="0007681B"/>
    <w:rsid w:val="00076A20"/>
    <w:rsid w:val="00080C22"/>
    <w:rsid w:val="00080ED5"/>
    <w:rsid w:val="0008138B"/>
    <w:rsid w:val="000824DB"/>
    <w:rsid w:val="00083004"/>
    <w:rsid w:val="0008308D"/>
    <w:rsid w:val="00083208"/>
    <w:rsid w:val="000852FB"/>
    <w:rsid w:val="00087A6A"/>
    <w:rsid w:val="0009037C"/>
    <w:rsid w:val="00091491"/>
    <w:rsid w:val="00091E7E"/>
    <w:rsid w:val="00091EAB"/>
    <w:rsid w:val="00092310"/>
    <w:rsid w:val="00092364"/>
    <w:rsid w:val="000940EB"/>
    <w:rsid w:val="00094EC1"/>
    <w:rsid w:val="00096183"/>
    <w:rsid w:val="000967D8"/>
    <w:rsid w:val="00097C45"/>
    <w:rsid w:val="00097C6E"/>
    <w:rsid w:val="00097E3A"/>
    <w:rsid w:val="000A0384"/>
    <w:rsid w:val="000A17DB"/>
    <w:rsid w:val="000A182A"/>
    <w:rsid w:val="000A193C"/>
    <w:rsid w:val="000A1B83"/>
    <w:rsid w:val="000A1EBA"/>
    <w:rsid w:val="000A2525"/>
    <w:rsid w:val="000A2DB5"/>
    <w:rsid w:val="000A30C5"/>
    <w:rsid w:val="000A3D73"/>
    <w:rsid w:val="000A4602"/>
    <w:rsid w:val="000A4677"/>
    <w:rsid w:val="000A5398"/>
    <w:rsid w:val="000A5911"/>
    <w:rsid w:val="000A5A60"/>
    <w:rsid w:val="000A6228"/>
    <w:rsid w:val="000A6697"/>
    <w:rsid w:val="000A6E36"/>
    <w:rsid w:val="000A7292"/>
    <w:rsid w:val="000A72FD"/>
    <w:rsid w:val="000A73DA"/>
    <w:rsid w:val="000A7F7B"/>
    <w:rsid w:val="000B01E5"/>
    <w:rsid w:val="000B0485"/>
    <w:rsid w:val="000B0C8C"/>
    <w:rsid w:val="000B1B9E"/>
    <w:rsid w:val="000B23AB"/>
    <w:rsid w:val="000B254C"/>
    <w:rsid w:val="000B3C9D"/>
    <w:rsid w:val="000B5265"/>
    <w:rsid w:val="000B572B"/>
    <w:rsid w:val="000B5BEC"/>
    <w:rsid w:val="000B60C2"/>
    <w:rsid w:val="000B6B79"/>
    <w:rsid w:val="000B7135"/>
    <w:rsid w:val="000B7685"/>
    <w:rsid w:val="000C00F6"/>
    <w:rsid w:val="000C06A9"/>
    <w:rsid w:val="000C0A78"/>
    <w:rsid w:val="000C0D98"/>
    <w:rsid w:val="000C3AA8"/>
    <w:rsid w:val="000C4305"/>
    <w:rsid w:val="000C43DA"/>
    <w:rsid w:val="000C46DF"/>
    <w:rsid w:val="000C49E2"/>
    <w:rsid w:val="000C585D"/>
    <w:rsid w:val="000C60B4"/>
    <w:rsid w:val="000C61FF"/>
    <w:rsid w:val="000C66AF"/>
    <w:rsid w:val="000C66B3"/>
    <w:rsid w:val="000C70E2"/>
    <w:rsid w:val="000C745C"/>
    <w:rsid w:val="000C74B1"/>
    <w:rsid w:val="000D0670"/>
    <w:rsid w:val="000D06EF"/>
    <w:rsid w:val="000D1D1E"/>
    <w:rsid w:val="000D2508"/>
    <w:rsid w:val="000D2511"/>
    <w:rsid w:val="000D27CF"/>
    <w:rsid w:val="000D2FC8"/>
    <w:rsid w:val="000D3545"/>
    <w:rsid w:val="000D3BCC"/>
    <w:rsid w:val="000D40BF"/>
    <w:rsid w:val="000D4B07"/>
    <w:rsid w:val="000D564C"/>
    <w:rsid w:val="000D5DD0"/>
    <w:rsid w:val="000D69DF"/>
    <w:rsid w:val="000D6FC6"/>
    <w:rsid w:val="000D79D5"/>
    <w:rsid w:val="000D7D43"/>
    <w:rsid w:val="000E153B"/>
    <w:rsid w:val="000E1BDD"/>
    <w:rsid w:val="000E1F27"/>
    <w:rsid w:val="000E294F"/>
    <w:rsid w:val="000E36F8"/>
    <w:rsid w:val="000E3E3B"/>
    <w:rsid w:val="000E405F"/>
    <w:rsid w:val="000E442A"/>
    <w:rsid w:val="000E4E19"/>
    <w:rsid w:val="000E512C"/>
    <w:rsid w:val="000E5333"/>
    <w:rsid w:val="000E6B13"/>
    <w:rsid w:val="000E773E"/>
    <w:rsid w:val="000E7848"/>
    <w:rsid w:val="000E79FE"/>
    <w:rsid w:val="000E7B29"/>
    <w:rsid w:val="000E7F06"/>
    <w:rsid w:val="000F0119"/>
    <w:rsid w:val="000F044F"/>
    <w:rsid w:val="000F0E1B"/>
    <w:rsid w:val="000F2E0E"/>
    <w:rsid w:val="000F3079"/>
    <w:rsid w:val="000F3896"/>
    <w:rsid w:val="000F3AFC"/>
    <w:rsid w:val="000F3EBE"/>
    <w:rsid w:val="000F4182"/>
    <w:rsid w:val="000F4BA3"/>
    <w:rsid w:val="000F5807"/>
    <w:rsid w:val="000F5B05"/>
    <w:rsid w:val="000F5DA6"/>
    <w:rsid w:val="000F68D2"/>
    <w:rsid w:val="000F7E14"/>
    <w:rsid w:val="00100017"/>
    <w:rsid w:val="00100197"/>
    <w:rsid w:val="00100762"/>
    <w:rsid w:val="001008C6"/>
    <w:rsid w:val="0010114B"/>
    <w:rsid w:val="00101225"/>
    <w:rsid w:val="00101A77"/>
    <w:rsid w:val="00102020"/>
    <w:rsid w:val="001024C8"/>
    <w:rsid w:val="001034A1"/>
    <w:rsid w:val="00103864"/>
    <w:rsid w:val="001046AF"/>
    <w:rsid w:val="001051F9"/>
    <w:rsid w:val="001055C5"/>
    <w:rsid w:val="00105AA9"/>
    <w:rsid w:val="00105B66"/>
    <w:rsid w:val="001066D2"/>
    <w:rsid w:val="001071DA"/>
    <w:rsid w:val="001079F3"/>
    <w:rsid w:val="001103FF"/>
    <w:rsid w:val="00110455"/>
    <w:rsid w:val="00110ABA"/>
    <w:rsid w:val="00111D1E"/>
    <w:rsid w:val="00111E4E"/>
    <w:rsid w:val="00111FA3"/>
    <w:rsid w:val="001121F8"/>
    <w:rsid w:val="00112E0F"/>
    <w:rsid w:val="00113983"/>
    <w:rsid w:val="00113A4A"/>
    <w:rsid w:val="00113F1E"/>
    <w:rsid w:val="00114122"/>
    <w:rsid w:val="00115805"/>
    <w:rsid w:val="0011622D"/>
    <w:rsid w:val="001162BD"/>
    <w:rsid w:val="00116556"/>
    <w:rsid w:val="00120684"/>
    <w:rsid w:val="00120A7B"/>
    <w:rsid w:val="001211AE"/>
    <w:rsid w:val="00121658"/>
    <w:rsid w:val="00121FE1"/>
    <w:rsid w:val="00122438"/>
    <w:rsid w:val="00122561"/>
    <w:rsid w:val="0012341F"/>
    <w:rsid w:val="001234DA"/>
    <w:rsid w:val="00123AD8"/>
    <w:rsid w:val="00123B2E"/>
    <w:rsid w:val="00124027"/>
    <w:rsid w:val="00124A0B"/>
    <w:rsid w:val="00124C32"/>
    <w:rsid w:val="00124F08"/>
    <w:rsid w:val="0012541E"/>
    <w:rsid w:val="00125464"/>
    <w:rsid w:val="00125ACC"/>
    <w:rsid w:val="00125AF7"/>
    <w:rsid w:val="00125CF6"/>
    <w:rsid w:val="0012643A"/>
    <w:rsid w:val="001266C7"/>
    <w:rsid w:val="00126781"/>
    <w:rsid w:val="00126D7C"/>
    <w:rsid w:val="00127CC2"/>
    <w:rsid w:val="00130B4A"/>
    <w:rsid w:val="00132B2B"/>
    <w:rsid w:val="00132E10"/>
    <w:rsid w:val="0013307D"/>
    <w:rsid w:val="00133CE7"/>
    <w:rsid w:val="00133D05"/>
    <w:rsid w:val="00135335"/>
    <w:rsid w:val="001356C1"/>
    <w:rsid w:val="001368CE"/>
    <w:rsid w:val="0013782E"/>
    <w:rsid w:val="00140687"/>
    <w:rsid w:val="001406D9"/>
    <w:rsid w:val="0014072E"/>
    <w:rsid w:val="00140B62"/>
    <w:rsid w:val="00140C48"/>
    <w:rsid w:val="001414B8"/>
    <w:rsid w:val="00141508"/>
    <w:rsid w:val="00141AB4"/>
    <w:rsid w:val="00141E3A"/>
    <w:rsid w:val="001428E7"/>
    <w:rsid w:val="0014300C"/>
    <w:rsid w:val="00144267"/>
    <w:rsid w:val="00144722"/>
    <w:rsid w:val="00145CE3"/>
    <w:rsid w:val="0014637C"/>
    <w:rsid w:val="00146692"/>
    <w:rsid w:val="00146A18"/>
    <w:rsid w:val="00146A8B"/>
    <w:rsid w:val="00147996"/>
    <w:rsid w:val="0015014E"/>
    <w:rsid w:val="00150203"/>
    <w:rsid w:val="001504AA"/>
    <w:rsid w:val="00150D82"/>
    <w:rsid w:val="00150DBD"/>
    <w:rsid w:val="00150DC0"/>
    <w:rsid w:val="00150EEE"/>
    <w:rsid w:val="00151A01"/>
    <w:rsid w:val="001528FE"/>
    <w:rsid w:val="001532AF"/>
    <w:rsid w:val="00153E18"/>
    <w:rsid w:val="0015420F"/>
    <w:rsid w:val="00154702"/>
    <w:rsid w:val="001555D2"/>
    <w:rsid w:val="0015688E"/>
    <w:rsid w:val="00156935"/>
    <w:rsid w:val="00156EB5"/>
    <w:rsid w:val="00156FFC"/>
    <w:rsid w:val="00160D16"/>
    <w:rsid w:val="0016130F"/>
    <w:rsid w:val="001617E8"/>
    <w:rsid w:val="00161A63"/>
    <w:rsid w:val="001639A2"/>
    <w:rsid w:val="00164021"/>
    <w:rsid w:val="0016423E"/>
    <w:rsid w:val="00164341"/>
    <w:rsid w:val="001646A7"/>
    <w:rsid w:val="001647A0"/>
    <w:rsid w:val="00164C1C"/>
    <w:rsid w:val="00165B13"/>
    <w:rsid w:val="00165E64"/>
    <w:rsid w:val="001660ED"/>
    <w:rsid w:val="00167375"/>
    <w:rsid w:val="00167471"/>
    <w:rsid w:val="0016766E"/>
    <w:rsid w:val="00171297"/>
    <w:rsid w:val="001727B8"/>
    <w:rsid w:val="001748AE"/>
    <w:rsid w:val="001750D5"/>
    <w:rsid w:val="00175C85"/>
    <w:rsid w:val="001761C7"/>
    <w:rsid w:val="00176CE6"/>
    <w:rsid w:val="001776BF"/>
    <w:rsid w:val="001779A4"/>
    <w:rsid w:val="00180812"/>
    <w:rsid w:val="00181151"/>
    <w:rsid w:val="0018131D"/>
    <w:rsid w:val="00182493"/>
    <w:rsid w:val="0018277C"/>
    <w:rsid w:val="0018288F"/>
    <w:rsid w:val="001835B6"/>
    <w:rsid w:val="001837C5"/>
    <w:rsid w:val="00183A64"/>
    <w:rsid w:val="00183C38"/>
    <w:rsid w:val="0018400D"/>
    <w:rsid w:val="00184332"/>
    <w:rsid w:val="0018487D"/>
    <w:rsid w:val="00184AC7"/>
    <w:rsid w:val="00184ED9"/>
    <w:rsid w:val="00185623"/>
    <w:rsid w:val="00186004"/>
    <w:rsid w:val="001863E5"/>
    <w:rsid w:val="00186483"/>
    <w:rsid w:val="00186728"/>
    <w:rsid w:val="00187E28"/>
    <w:rsid w:val="001904AD"/>
    <w:rsid w:val="001909F5"/>
    <w:rsid w:val="0019224F"/>
    <w:rsid w:val="0019235B"/>
    <w:rsid w:val="00192520"/>
    <w:rsid w:val="00193204"/>
    <w:rsid w:val="0019393C"/>
    <w:rsid w:val="00194011"/>
    <w:rsid w:val="00195E30"/>
    <w:rsid w:val="00195FC1"/>
    <w:rsid w:val="001964F8"/>
    <w:rsid w:val="00196FAB"/>
    <w:rsid w:val="001976D5"/>
    <w:rsid w:val="00197F12"/>
    <w:rsid w:val="001A03AD"/>
    <w:rsid w:val="001A058C"/>
    <w:rsid w:val="001A0F96"/>
    <w:rsid w:val="001A1585"/>
    <w:rsid w:val="001A1691"/>
    <w:rsid w:val="001A1802"/>
    <w:rsid w:val="001A1B19"/>
    <w:rsid w:val="001A20AE"/>
    <w:rsid w:val="001A2E31"/>
    <w:rsid w:val="001A3284"/>
    <w:rsid w:val="001A4566"/>
    <w:rsid w:val="001A49DD"/>
    <w:rsid w:val="001A4CCF"/>
    <w:rsid w:val="001A4EB3"/>
    <w:rsid w:val="001A5688"/>
    <w:rsid w:val="001A57C7"/>
    <w:rsid w:val="001A675B"/>
    <w:rsid w:val="001A6A82"/>
    <w:rsid w:val="001A6EA4"/>
    <w:rsid w:val="001A747A"/>
    <w:rsid w:val="001A7F97"/>
    <w:rsid w:val="001B0312"/>
    <w:rsid w:val="001B199D"/>
    <w:rsid w:val="001B1DAA"/>
    <w:rsid w:val="001B2854"/>
    <w:rsid w:val="001B299D"/>
    <w:rsid w:val="001B2E37"/>
    <w:rsid w:val="001B37B0"/>
    <w:rsid w:val="001B38BB"/>
    <w:rsid w:val="001B43FE"/>
    <w:rsid w:val="001B53BA"/>
    <w:rsid w:val="001B55F7"/>
    <w:rsid w:val="001B6836"/>
    <w:rsid w:val="001B6EE5"/>
    <w:rsid w:val="001B7272"/>
    <w:rsid w:val="001B72DE"/>
    <w:rsid w:val="001B780F"/>
    <w:rsid w:val="001B7B5A"/>
    <w:rsid w:val="001C09B9"/>
    <w:rsid w:val="001C0AB9"/>
    <w:rsid w:val="001C1006"/>
    <w:rsid w:val="001C1E27"/>
    <w:rsid w:val="001C2742"/>
    <w:rsid w:val="001C349D"/>
    <w:rsid w:val="001C3B62"/>
    <w:rsid w:val="001C41A4"/>
    <w:rsid w:val="001C4302"/>
    <w:rsid w:val="001C468A"/>
    <w:rsid w:val="001C49D2"/>
    <w:rsid w:val="001C5235"/>
    <w:rsid w:val="001C54E0"/>
    <w:rsid w:val="001C6234"/>
    <w:rsid w:val="001C79F5"/>
    <w:rsid w:val="001C7A7D"/>
    <w:rsid w:val="001D0185"/>
    <w:rsid w:val="001D0732"/>
    <w:rsid w:val="001D1093"/>
    <w:rsid w:val="001D1104"/>
    <w:rsid w:val="001D17E9"/>
    <w:rsid w:val="001D21EC"/>
    <w:rsid w:val="001D23D6"/>
    <w:rsid w:val="001D2A80"/>
    <w:rsid w:val="001D2F0A"/>
    <w:rsid w:val="001D3236"/>
    <w:rsid w:val="001D3838"/>
    <w:rsid w:val="001D3C7C"/>
    <w:rsid w:val="001D4A97"/>
    <w:rsid w:val="001D5385"/>
    <w:rsid w:val="001D55A7"/>
    <w:rsid w:val="001D561A"/>
    <w:rsid w:val="001D5746"/>
    <w:rsid w:val="001D61C0"/>
    <w:rsid w:val="001D6865"/>
    <w:rsid w:val="001D70D4"/>
    <w:rsid w:val="001D769E"/>
    <w:rsid w:val="001E0756"/>
    <w:rsid w:val="001E17A1"/>
    <w:rsid w:val="001E1B87"/>
    <w:rsid w:val="001E2909"/>
    <w:rsid w:val="001E2E88"/>
    <w:rsid w:val="001E4C07"/>
    <w:rsid w:val="001E50F5"/>
    <w:rsid w:val="001E634F"/>
    <w:rsid w:val="001E7149"/>
    <w:rsid w:val="001E793F"/>
    <w:rsid w:val="001F044A"/>
    <w:rsid w:val="001F064C"/>
    <w:rsid w:val="001F06A3"/>
    <w:rsid w:val="001F09E7"/>
    <w:rsid w:val="001F1180"/>
    <w:rsid w:val="001F14CB"/>
    <w:rsid w:val="001F1F12"/>
    <w:rsid w:val="001F2CF5"/>
    <w:rsid w:val="001F38BE"/>
    <w:rsid w:val="001F3E8D"/>
    <w:rsid w:val="001F40B2"/>
    <w:rsid w:val="001F4168"/>
    <w:rsid w:val="001F43F7"/>
    <w:rsid w:val="001F46A2"/>
    <w:rsid w:val="001F6496"/>
    <w:rsid w:val="001F64AE"/>
    <w:rsid w:val="001F65FA"/>
    <w:rsid w:val="001F6A4C"/>
    <w:rsid w:val="001F6AC1"/>
    <w:rsid w:val="001F70C1"/>
    <w:rsid w:val="001F73A8"/>
    <w:rsid w:val="002000D3"/>
    <w:rsid w:val="00200F22"/>
    <w:rsid w:val="00200F50"/>
    <w:rsid w:val="002013EC"/>
    <w:rsid w:val="00201497"/>
    <w:rsid w:val="00201586"/>
    <w:rsid w:val="002018FA"/>
    <w:rsid w:val="00202D4D"/>
    <w:rsid w:val="00203356"/>
    <w:rsid w:val="00203E3E"/>
    <w:rsid w:val="00204288"/>
    <w:rsid w:val="002045AE"/>
    <w:rsid w:val="00205A79"/>
    <w:rsid w:val="00205AA5"/>
    <w:rsid w:val="00205B06"/>
    <w:rsid w:val="00205BCE"/>
    <w:rsid w:val="00205F79"/>
    <w:rsid w:val="00206081"/>
    <w:rsid w:val="00206369"/>
    <w:rsid w:val="002075E2"/>
    <w:rsid w:val="002109F3"/>
    <w:rsid w:val="0021149E"/>
    <w:rsid w:val="00211F2D"/>
    <w:rsid w:val="00212382"/>
    <w:rsid w:val="00212941"/>
    <w:rsid w:val="002136BC"/>
    <w:rsid w:val="00213922"/>
    <w:rsid w:val="00215768"/>
    <w:rsid w:val="00215946"/>
    <w:rsid w:val="002160CD"/>
    <w:rsid w:val="00216CC6"/>
    <w:rsid w:val="00216DA2"/>
    <w:rsid w:val="002174D7"/>
    <w:rsid w:val="0021791D"/>
    <w:rsid w:val="00220C07"/>
    <w:rsid w:val="00221A10"/>
    <w:rsid w:val="00221D4C"/>
    <w:rsid w:val="0022228D"/>
    <w:rsid w:val="002223F1"/>
    <w:rsid w:val="002225C8"/>
    <w:rsid w:val="00224431"/>
    <w:rsid w:val="002258FA"/>
    <w:rsid w:val="00226063"/>
    <w:rsid w:val="002274A5"/>
    <w:rsid w:val="0022783C"/>
    <w:rsid w:val="00230404"/>
    <w:rsid w:val="00230C5A"/>
    <w:rsid w:val="00230E68"/>
    <w:rsid w:val="002312DA"/>
    <w:rsid w:val="00231338"/>
    <w:rsid w:val="00231B1D"/>
    <w:rsid w:val="0023265F"/>
    <w:rsid w:val="0023366B"/>
    <w:rsid w:val="00233948"/>
    <w:rsid w:val="00234634"/>
    <w:rsid w:val="00234FD7"/>
    <w:rsid w:val="002357E2"/>
    <w:rsid w:val="0023621C"/>
    <w:rsid w:val="00236FB8"/>
    <w:rsid w:val="002378F3"/>
    <w:rsid w:val="0024003B"/>
    <w:rsid w:val="0024006E"/>
    <w:rsid w:val="002403F8"/>
    <w:rsid w:val="00241406"/>
    <w:rsid w:val="00241F85"/>
    <w:rsid w:val="0024221E"/>
    <w:rsid w:val="002425C6"/>
    <w:rsid w:val="00242BE9"/>
    <w:rsid w:val="00242EA0"/>
    <w:rsid w:val="0024328B"/>
    <w:rsid w:val="0024421C"/>
    <w:rsid w:val="00244669"/>
    <w:rsid w:val="00244675"/>
    <w:rsid w:val="0024467B"/>
    <w:rsid w:val="00244728"/>
    <w:rsid w:val="002448C3"/>
    <w:rsid w:val="00246016"/>
    <w:rsid w:val="002471A0"/>
    <w:rsid w:val="002478FB"/>
    <w:rsid w:val="002503CC"/>
    <w:rsid w:val="00250EBD"/>
    <w:rsid w:val="00250EDE"/>
    <w:rsid w:val="002517C6"/>
    <w:rsid w:val="00251919"/>
    <w:rsid w:val="002522E0"/>
    <w:rsid w:val="0025248C"/>
    <w:rsid w:val="00252749"/>
    <w:rsid w:val="0025314D"/>
    <w:rsid w:val="002532EC"/>
    <w:rsid w:val="00253B90"/>
    <w:rsid w:val="002541D8"/>
    <w:rsid w:val="00254FE4"/>
    <w:rsid w:val="00255731"/>
    <w:rsid w:val="002575FC"/>
    <w:rsid w:val="00257E1E"/>
    <w:rsid w:val="00260266"/>
    <w:rsid w:val="002614AE"/>
    <w:rsid w:val="00262AD2"/>
    <w:rsid w:val="00262C0A"/>
    <w:rsid w:val="0026536F"/>
    <w:rsid w:val="00265391"/>
    <w:rsid w:val="002677E1"/>
    <w:rsid w:val="00267A57"/>
    <w:rsid w:val="00270357"/>
    <w:rsid w:val="00270A37"/>
    <w:rsid w:val="00271086"/>
    <w:rsid w:val="002718B3"/>
    <w:rsid w:val="002719FA"/>
    <w:rsid w:val="00271DD9"/>
    <w:rsid w:val="0027496F"/>
    <w:rsid w:val="0027574E"/>
    <w:rsid w:val="0027619D"/>
    <w:rsid w:val="00277D8C"/>
    <w:rsid w:val="002815A6"/>
    <w:rsid w:val="002824C8"/>
    <w:rsid w:val="00282865"/>
    <w:rsid w:val="00283614"/>
    <w:rsid w:val="00283E6D"/>
    <w:rsid w:val="00284988"/>
    <w:rsid w:val="00284BD6"/>
    <w:rsid w:val="00284E18"/>
    <w:rsid w:val="00284EBE"/>
    <w:rsid w:val="0028628F"/>
    <w:rsid w:val="00287123"/>
    <w:rsid w:val="0028753E"/>
    <w:rsid w:val="002876CD"/>
    <w:rsid w:val="002876D0"/>
    <w:rsid w:val="0029005A"/>
    <w:rsid w:val="0029058D"/>
    <w:rsid w:val="00290B6A"/>
    <w:rsid w:val="00291747"/>
    <w:rsid w:val="002926E2"/>
    <w:rsid w:val="002928D0"/>
    <w:rsid w:val="00293DD7"/>
    <w:rsid w:val="00294743"/>
    <w:rsid w:val="002963C1"/>
    <w:rsid w:val="002965EB"/>
    <w:rsid w:val="00296A77"/>
    <w:rsid w:val="00296C04"/>
    <w:rsid w:val="0029701D"/>
    <w:rsid w:val="0029749A"/>
    <w:rsid w:val="0029750E"/>
    <w:rsid w:val="00297721"/>
    <w:rsid w:val="002A0DA1"/>
    <w:rsid w:val="002A2181"/>
    <w:rsid w:val="002A22EC"/>
    <w:rsid w:val="002A439F"/>
    <w:rsid w:val="002A44E0"/>
    <w:rsid w:val="002A5065"/>
    <w:rsid w:val="002A5739"/>
    <w:rsid w:val="002A59F9"/>
    <w:rsid w:val="002A5CA2"/>
    <w:rsid w:val="002A6729"/>
    <w:rsid w:val="002A6762"/>
    <w:rsid w:val="002A73C2"/>
    <w:rsid w:val="002B11AF"/>
    <w:rsid w:val="002B14FA"/>
    <w:rsid w:val="002B15F2"/>
    <w:rsid w:val="002B16D4"/>
    <w:rsid w:val="002B17E6"/>
    <w:rsid w:val="002B29A8"/>
    <w:rsid w:val="002B3187"/>
    <w:rsid w:val="002B3E8B"/>
    <w:rsid w:val="002B4347"/>
    <w:rsid w:val="002B5894"/>
    <w:rsid w:val="002B756B"/>
    <w:rsid w:val="002C00A8"/>
    <w:rsid w:val="002C1710"/>
    <w:rsid w:val="002C1E4D"/>
    <w:rsid w:val="002C3009"/>
    <w:rsid w:val="002C383E"/>
    <w:rsid w:val="002C4C1A"/>
    <w:rsid w:val="002C6CED"/>
    <w:rsid w:val="002C7B12"/>
    <w:rsid w:val="002D1065"/>
    <w:rsid w:val="002D1BC0"/>
    <w:rsid w:val="002D1FA4"/>
    <w:rsid w:val="002D228E"/>
    <w:rsid w:val="002D27FE"/>
    <w:rsid w:val="002D2902"/>
    <w:rsid w:val="002D2A0A"/>
    <w:rsid w:val="002D2CD9"/>
    <w:rsid w:val="002D33AD"/>
    <w:rsid w:val="002D42F3"/>
    <w:rsid w:val="002D43ED"/>
    <w:rsid w:val="002D4A37"/>
    <w:rsid w:val="002D503C"/>
    <w:rsid w:val="002D52E0"/>
    <w:rsid w:val="002D583D"/>
    <w:rsid w:val="002D6BFF"/>
    <w:rsid w:val="002D6E34"/>
    <w:rsid w:val="002D785D"/>
    <w:rsid w:val="002D7AC6"/>
    <w:rsid w:val="002E0693"/>
    <w:rsid w:val="002E12C0"/>
    <w:rsid w:val="002E2A6E"/>
    <w:rsid w:val="002E42CF"/>
    <w:rsid w:val="002E4B66"/>
    <w:rsid w:val="002E4E0B"/>
    <w:rsid w:val="002E566F"/>
    <w:rsid w:val="002E5CBD"/>
    <w:rsid w:val="002E5D56"/>
    <w:rsid w:val="002E5F67"/>
    <w:rsid w:val="002E68F1"/>
    <w:rsid w:val="002F0002"/>
    <w:rsid w:val="002F06A0"/>
    <w:rsid w:val="002F0F70"/>
    <w:rsid w:val="002F18F7"/>
    <w:rsid w:val="002F1FF1"/>
    <w:rsid w:val="002F3008"/>
    <w:rsid w:val="002F3746"/>
    <w:rsid w:val="002F38B0"/>
    <w:rsid w:val="002F477F"/>
    <w:rsid w:val="002F60E8"/>
    <w:rsid w:val="002F61C4"/>
    <w:rsid w:val="002F6603"/>
    <w:rsid w:val="002F6D08"/>
    <w:rsid w:val="002F7095"/>
    <w:rsid w:val="002F7338"/>
    <w:rsid w:val="0030053F"/>
    <w:rsid w:val="00300A50"/>
    <w:rsid w:val="00301A67"/>
    <w:rsid w:val="00301DF6"/>
    <w:rsid w:val="00302076"/>
    <w:rsid w:val="00302755"/>
    <w:rsid w:val="00302C19"/>
    <w:rsid w:val="00303106"/>
    <w:rsid w:val="0030374E"/>
    <w:rsid w:val="003037BB"/>
    <w:rsid w:val="00303FB1"/>
    <w:rsid w:val="003041CB"/>
    <w:rsid w:val="0030435D"/>
    <w:rsid w:val="00305076"/>
    <w:rsid w:val="0030633C"/>
    <w:rsid w:val="00306DCF"/>
    <w:rsid w:val="00307AEA"/>
    <w:rsid w:val="00310238"/>
    <w:rsid w:val="0031089C"/>
    <w:rsid w:val="003109CA"/>
    <w:rsid w:val="0031101D"/>
    <w:rsid w:val="003114C2"/>
    <w:rsid w:val="003114C7"/>
    <w:rsid w:val="003118D5"/>
    <w:rsid w:val="00311927"/>
    <w:rsid w:val="00314F5A"/>
    <w:rsid w:val="00315A30"/>
    <w:rsid w:val="00317610"/>
    <w:rsid w:val="00317DF1"/>
    <w:rsid w:val="00317E57"/>
    <w:rsid w:val="00321179"/>
    <w:rsid w:val="003214BC"/>
    <w:rsid w:val="003229AC"/>
    <w:rsid w:val="00324F88"/>
    <w:rsid w:val="00324F91"/>
    <w:rsid w:val="00325A2E"/>
    <w:rsid w:val="00325BEA"/>
    <w:rsid w:val="00325C0D"/>
    <w:rsid w:val="0032778B"/>
    <w:rsid w:val="00327B56"/>
    <w:rsid w:val="00327D17"/>
    <w:rsid w:val="003314AE"/>
    <w:rsid w:val="003315C7"/>
    <w:rsid w:val="003316D9"/>
    <w:rsid w:val="00331C53"/>
    <w:rsid w:val="00331D1A"/>
    <w:rsid w:val="00331FE5"/>
    <w:rsid w:val="003330DE"/>
    <w:rsid w:val="003332C4"/>
    <w:rsid w:val="00333547"/>
    <w:rsid w:val="00333BD7"/>
    <w:rsid w:val="00333E1B"/>
    <w:rsid w:val="00334C4E"/>
    <w:rsid w:val="00334CD0"/>
    <w:rsid w:val="003350B7"/>
    <w:rsid w:val="003357E6"/>
    <w:rsid w:val="0033633B"/>
    <w:rsid w:val="0033676F"/>
    <w:rsid w:val="00340751"/>
    <w:rsid w:val="00340DFE"/>
    <w:rsid w:val="00341B07"/>
    <w:rsid w:val="00341FEC"/>
    <w:rsid w:val="0034246B"/>
    <w:rsid w:val="00342BE4"/>
    <w:rsid w:val="00342CF9"/>
    <w:rsid w:val="00342D87"/>
    <w:rsid w:val="0034378E"/>
    <w:rsid w:val="00343EB1"/>
    <w:rsid w:val="003461B9"/>
    <w:rsid w:val="0034780D"/>
    <w:rsid w:val="00350357"/>
    <w:rsid w:val="00350E5D"/>
    <w:rsid w:val="003520C2"/>
    <w:rsid w:val="00353269"/>
    <w:rsid w:val="00353CA5"/>
    <w:rsid w:val="003555A3"/>
    <w:rsid w:val="00355FC2"/>
    <w:rsid w:val="00355FEF"/>
    <w:rsid w:val="00356377"/>
    <w:rsid w:val="00357C25"/>
    <w:rsid w:val="00357C74"/>
    <w:rsid w:val="00357C88"/>
    <w:rsid w:val="00357D64"/>
    <w:rsid w:val="0036146E"/>
    <w:rsid w:val="00361FA0"/>
    <w:rsid w:val="00362037"/>
    <w:rsid w:val="003622EF"/>
    <w:rsid w:val="00362707"/>
    <w:rsid w:val="00363DC4"/>
    <w:rsid w:val="00364153"/>
    <w:rsid w:val="00364C35"/>
    <w:rsid w:val="00364DA8"/>
    <w:rsid w:val="00364E7C"/>
    <w:rsid w:val="00365863"/>
    <w:rsid w:val="00365E14"/>
    <w:rsid w:val="0036687A"/>
    <w:rsid w:val="00366ED2"/>
    <w:rsid w:val="003679E1"/>
    <w:rsid w:val="00367EA4"/>
    <w:rsid w:val="0037014F"/>
    <w:rsid w:val="00371DA1"/>
    <w:rsid w:val="00372290"/>
    <w:rsid w:val="00373E92"/>
    <w:rsid w:val="003746AE"/>
    <w:rsid w:val="003748E9"/>
    <w:rsid w:val="00374974"/>
    <w:rsid w:val="00375777"/>
    <w:rsid w:val="00376226"/>
    <w:rsid w:val="003803FD"/>
    <w:rsid w:val="00380525"/>
    <w:rsid w:val="00381AA8"/>
    <w:rsid w:val="00381D5D"/>
    <w:rsid w:val="00383046"/>
    <w:rsid w:val="003839F0"/>
    <w:rsid w:val="00384E14"/>
    <w:rsid w:val="003853A4"/>
    <w:rsid w:val="00385515"/>
    <w:rsid w:val="00386087"/>
    <w:rsid w:val="00386B3D"/>
    <w:rsid w:val="00386CFD"/>
    <w:rsid w:val="003870B5"/>
    <w:rsid w:val="003871E0"/>
    <w:rsid w:val="00387FC7"/>
    <w:rsid w:val="003900AD"/>
    <w:rsid w:val="003903BC"/>
    <w:rsid w:val="00390EF7"/>
    <w:rsid w:val="003913AB"/>
    <w:rsid w:val="00391B66"/>
    <w:rsid w:val="00391BAE"/>
    <w:rsid w:val="00391F0B"/>
    <w:rsid w:val="00392AF7"/>
    <w:rsid w:val="003932E0"/>
    <w:rsid w:val="00394BD2"/>
    <w:rsid w:val="00394DBB"/>
    <w:rsid w:val="003958E3"/>
    <w:rsid w:val="00395AEC"/>
    <w:rsid w:val="00396A99"/>
    <w:rsid w:val="003A0136"/>
    <w:rsid w:val="003A1267"/>
    <w:rsid w:val="003A138E"/>
    <w:rsid w:val="003A1886"/>
    <w:rsid w:val="003A24ED"/>
    <w:rsid w:val="003A2545"/>
    <w:rsid w:val="003A2E59"/>
    <w:rsid w:val="003A348A"/>
    <w:rsid w:val="003A394B"/>
    <w:rsid w:val="003A4614"/>
    <w:rsid w:val="003A4C1A"/>
    <w:rsid w:val="003A5117"/>
    <w:rsid w:val="003A53A0"/>
    <w:rsid w:val="003A5590"/>
    <w:rsid w:val="003A5843"/>
    <w:rsid w:val="003A5FE7"/>
    <w:rsid w:val="003A6C5F"/>
    <w:rsid w:val="003A7256"/>
    <w:rsid w:val="003A78B3"/>
    <w:rsid w:val="003B01AE"/>
    <w:rsid w:val="003B0BB6"/>
    <w:rsid w:val="003B0BE0"/>
    <w:rsid w:val="003B23BC"/>
    <w:rsid w:val="003B3F80"/>
    <w:rsid w:val="003B401C"/>
    <w:rsid w:val="003B612D"/>
    <w:rsid w:val="003B61E8"/>
    <w:rsid w:val="003B625D"/>
    <w:rsid w:val="003B74ED"/>
    <w:rsid w:val="003B75A8"/>
    <w:rsid w:val="003B7777"/>
    <w:rsid w:val="003B79F7"/>
    <w:rsid w:val="003C1705"/>
    <w:rsid w:val="003C17FA"/>
    <w:rsid w:val="003C19FC"/>
    <w:rsid w:val="003C1F14"/>
    <w:rsid w:val="003C2B55"/>
    <w:rsid w:val="003C34E3"/>
    <w:rsid w:val="003C391E"/>
    <w:rsid w:val="003C5308"/>
    <w:rsid w:val="003C5912"/>
    <w:rsid w:val="003C5C6D"/>
    <w:rsid w:val="003C6123"/>
    <w:rsid w:val="003C6347"/>
    <w:rsid w:val="003C67FE"/>
    <w:rsid w:val="003C78F2"/>
    <w:rsid w:val="003D0211"/>
    <w:rsid w:val="003D028D"/>
    <w:rsid w:val="003D0736"/>
    <w:rsid w:val="003D0C4C"/>
    <w:rsid w:val="003D1878"/>
    <w:rsid w:val="003D22D0"/>
    <w:rsid w:val="003D34A6"/>
    <w:rsid w:val="003D386D"/>
    <w:rsid w:val="003D49DB"/>
    <w:rsid w:val="003D4C66"/>
    <w:rsid w:val="003D4F24"/>
    <w:rsid w:val="003D6003"/>
    <w:rsid w:val="003D66A6"/>
    <w:rsid w:val="003D695A"/>
    <w:rsid w:val="003D7580"/>
    <w:rsid w:val="003D77FF"/>
    <w:rsid w:val="003E052A"/>
    <w:rsid w:val="003E0741"/>
    <w:rsid w:val="003E0985"/>
    <w:rsid w:val="003E138E"/>
    <w:rsid w:val="003E19C5"/>
    <w:rsid w:val="003E2952"/>
    <w:rsid w:val="003E2B15"/>
    <w:rsid w:val="003E3104"/>
    <w:rsid w:val="003E40C5"/>
    <w:rsid w:val="003E46E7"/>
    <w:rsid w:val="003E59A2"/>
    <w:rsid w:val="003E60D8"/>
    <w:rsid w:val="003E65E9"/>
    <w:rsid w:val="003E6949"/>
    <w:rsid w:val="003E6962"/>
    <w:rsid w:val="003E6BCB"/>
    <w:rsid w:val="003E7620"/>
    <w:rsid w:val="003F03FF"/>
    <w:rsid w:val="003F097A"/>
    <w:rsid w:val="003F0E27"/>
    <w:rsid w:val="003F1021"/>
    <w:rsid w:val="003F200F"/>
    <w:rsid w:val="003F28E0"/>
    <w:rsid w:val="003F29F5"/>
    <w:rsid w:val="003F2B7F"/>
    <w:rsid w:val="003F302E"/>
    <w:rsid w:val="003F31D4"/>
    <w:rsid w:val="003F3323"/>
    <w:rsid w:val="003F3C2D"/>
    <w:rsid w:val="003F4AC9"/>
    <w:rsid w:val="003F6B25"/>
    <w:rsid w:val="003F7E3D"/>
    <w:rsid w:val="003F7EA5"/>
    <w:rsid w:val="003F7FC2"/>
    <w:rsid w:val="00400194"/>
    <w:rsid w:val="00400396"/>
    <w:rsid w:val="00401C78"/>
    <w:rsid w:val="00401F5B"/>
    <w:rsid w:val="004024C2"/>
    <w:rsid w:val="004033C7"/>
    <w:rsid w:val="00403819"/>
    <w:rsid w:val="0040413E"/>
    <w:rsid w:val="00404EC4"/>
    <w:rsid w:val="004052FD"/>
    <w:rsid w:val="004059B1"/>
    <w:rsid w:val="00405B82"/>
    <w:rsid w:val="00405F3C"/>
    <w:rsid w:val="00407050"/>
    <w:rsid w:val="004072A5"/>
    <w:rsid w:val="004078DC"/>
    <w:rsid w:val="00407B30"/>
    <w:rsid w:val="00407C06"/>
    <w:rsid w:val="00410011"/>
    <w:rsid w:val="00410A95"/>
    <w:rsid w:val="00411B59"/>
    <w:rsid w:val="00411BF3"/>
    <w:rsid w:val="00411C81"/>
    <w:rsid w:val="00412B24"/>
    <w:rsid w:val="0041311A"/>
    <w:rsid w:val="00413730"/>
    <w:rsid w:val="00413A4B"/>
    <w:rsid w:val="00413EE3"/>
    <w:rsid w:val="00414614"/>
    <w:rsid w:val="00414F21"/>
    <w:rsid w:val="00414F84"/>
    <w:rsid w:val="00415EC6"/>
    <w:rsid w:val="00417354"/>
    <w:rsid w:val="00417A76"/>
    <w:rsid w:val="00420735"/>
    <w:rsid w:val="00421478"/>
    <w:rsid w:val="00421B3C"/>
    <w:rsid w:val="00422204"/>
    <w:rsid w:val="00423053"/>
    <w:rsid w:val="00424339"/>
    <w:rsid w:val="00424342"/>
    <w:rsid w:val="004246AD"/>
    <w:rsid w:val="00425085"/>
    <w:rsid w:val="004253F0"/>
    <w:rsid w:val="00425D10"/>
    <w:rsid w:val="0042686E"/>
    <w:rsid w:val="00431B1B"/>
    <w:rsid w:val="00432352"/>
    <w:rsid w:val="00432C93"/>
    <w:rsid w:val="00433046"/>
    <w:rsid w:val="00433445"/>
    <w:rsid w:val="004334B2"/>
    <w:rsid w:val="00433932"/>
    <w:rsid w:val="00433A16"/>
    <w:rsid w:val="004341D3"/>
    <w:rsid w:val="00434ED4"/>
    <w:rsid w:val="00435CB3"/>
    <w:rsid w:val="00437012"/>
    <w:rsid w:val="0043729C"/>
    <w:rsid w:val="00437AEA"/>
    <w:rsid w:val="00440B12"/>
    <w:rsid w:val="00440ED1"/>
    <w:rsid w:val="00441FCF"/>
    <w:rsid w:val="004434D9"/>
    <w:rsid w:val="00443ACA"/>
    <w:rsid w:val="004448C7"/>
    <w:rsid w:val="00445515"/>
    <w:rsid w:val="00445EBA"/>
    <w:rsid w:val="004460C6"/>
    <w:rsid w:val="0044699C"/>
    <w:rsid w:val="00446D86"/>
    <w:rsid w:val="004471BA"/>
    <w:rsid w:val="00447A4C"/>
    <w:rsid w:val="00447CB3"/>
    <w:rsid w:val="00447E76"/>
    <w:rsid w:val="0045036F"/>
    <w:rsid w:val="004504BE"/>
    <w:rsid w:val="004510EE"/>
    <w:rsid w:val="004522F0"/>
    <w:rsid w:val="00452BFD"/>
    <w:rsid w:val="0045303E"/>
    <w:rsid w:val="00453911"/>
    <w:rsid w:val="0045396D"/>
    <w:rsid w:val="00453EA7"/>
    <w:rsid w:val="00454B4A"/>
    <w:rsid w:val="00454BB8"/>
    <w:rsid w:val="00454D71"/>
    <w:rsid w:val="004553BB"/>
    <w:rsid w:val="00455DBE"/>
    <w:rsid w:val="00455F8B"/>
    <w:rsid w:val="004569B8"/>
    <w:rsid w:val="00456B7D"/>
    <w:rsid w:val="00456D9D"/>
    <w:rsid w:val="004571D9"/>
    <w:rsid w:val="00457234"/>
    <w:rsid w:val="004575B0"/>
    <w:rsid w:val="0045766E"/>
    <w:rsid w:val="00460715"/>
    <w:rsid w:val="00460D54"/>
    <w:rsid w:val="00460E94"/>
    <w:rsid w:val="004610DD"/>
    <w:rsid w:val="00461D45"/>
    <w:rsid w:val="00462160"/>
    <w:rsid w:val="004624D8"/>
    <w:rsid w:val="00462974"/>
    <w:rsid w:val="00462CE6"/>
    <w:rsid w:val="00463AEE"/>
    <w:rsid w:val="00464133"/>
    <w:rsid w:val="00464256"/>
    <w:rsid w:val="00464AD2"/>
    <w:rsid w:val="0046562B"/>
    <w:rsid w:val="00465ACD"/>
    <w:rsid w:val="00466E3F"/>
    <w:rsid w:val="00470678"/>
    <w:rsid w:val="00470E59"/>
    <w:rsid w:val="00471188"/>
    <w:rsid w:val="004712B6"/>
    <w:rsid w:val="00471451"/>
    <w:rsid w:val="00471C3A"/>
    <w:rsid w:val="00472000"/>
    <w:rsid w:val="0047255E"/>
    <w:rsid w:val="004730D1"/>
    <w:rsid w:val="004745FF"/>
    <w:rsid w:val="00475727"/>
    <w:rsid w:val="00475F6C"/>
    <w:rsid w:val="0047767E"/>
    <w:rsid w:val="00480351"/>
    <w:rsid w:val="00480633"/>
    <w:rsid w:val="0048170A"/>
    <w:rsid w:val="00482360"/>
    <w:rsid w:val="004823AB"/>
    <w:rsid w:val="004831E0"/>
    <w:rsid w:val="004831F9"/>
    <w:rsid w:val="0048383C"/>
    <w:rsid w:val="00483846"/>
    <w:rsid w:val="00483EC5"/>
    <w:rsid w:val="004847DD"/>
    <w:rsid w:val="00485127"/>
    <w:rsid w:val="0048547C"/>
    <w:rsid w:val="004864BF"/>
    <w:rsid w:val="00486EDA"/>
    <w:rsid w:val="00487016"/>
    <w:rsid w:val="004878F1"/>
    <w:rsid w:val="00487E9D"/>
    <w:rsid w:val="004902F5"/>
    <w:rsid w:val="0049034A"/>
    <w:rsid w:val="004906AD"/>
    <w:rsid w:val="00491126"/>
    <w:rsid w:val="004915B2"/>
    <w:rsid w:val="00492ECC"/>
    <w:rsid w:val="004932AA"/>
    <w:rsid w:val="004933B8"/>
    <w:rsid w:val="004937E8"/>
    <w:rsid w:val="0049386A"/>
    <w:rsid w:val="00494974"/>
    <w:rsid w:val="00494989"/>
    <w:rsid w:val="00494E79"/>
    <w:rsid w:val="004955C1"/>
    <w:rsid w:val="00496849"/>
    <w:rsid w:val="0049699E"/>
    <w:rsid w:val="00497729"/>
    <w:rsid w:val="004977A9"/>
    <w:rsid w:val="00497F9C"/>
    <w:rsid w:val="004A000D"/>
    <w:rsid w:val="004A03C7"/>
    <w:rsid w:val="004A1247"/>
    <w:rsid w:val="004A1933"/>
    <w:rsid w:val="004A1EBF"/>
    <w:rsid w:val="004A22FB"/>
    <w:rsid w:val="004A281B"/>
    <w:rsid w:val="004A2B2D"/>
    <w:rsid w:val="004A2DAC"/>
    <w:rsid w:val="004A32FE"/>
    <w:rsid w:val="004A440D"/>
    <w:rsid w:val="004A571D"/>
    <w:rsid w:val="004A5E1C"/>
    <w:rsid w:val="004A5E3D"/>
    <w:rsid w:val="004A5F12"/>
    <w:rsid w:val="004A67A6"/>
    <w:rsid w:val="004B09CC"/>
    <w:rsid w:val="004B15BA"/>
    <w:rsid w:val="004B1AC2"/>
    <w:rsid w:val="004B1AD2"/>
    <w:rsid w:val="004B2444"/>
    <w:rsid w:val="004B2947"/>
    <w:rsid w:val="004B3085"/>
    <w:rsid w:val="004B312F"/>
    <w:rsid w:val="004B3CA1"/>
    <w:rsid w:val="004B4168"/>
    <w:rsid w:val="004B426F"/>
    <w:rsid w:val="004B5C24"/>
    <w:rsid w:val="004B6002"/>
    <w:rsid w:val="004B69E5"/>
    <w:rsid w:val="004B6AD1"/>
    <w:rsid w:val="004C01A3"/>
    <w:rsid w:val="004C2274"/>
    <w:rsid w:val="004C24B0"/>
    <w:rsid w:val="004C31C4"/>
    <w:rsid w:val="004C6601"/>
    <w:rsid w:val="004C66FF"/>
    <w:rsid w:val="004C6982"/>
    <w:rsid w:val="004C7053"/>
    <w:rsid w:val="004D002A"/>
    <w:rsid w:val="004D004A"/>
    <w:rsid w:val="004D0739"/>
    <w:rsid w:val="004D0B97"/>
    <w:rsid w:val="004D0C3B"/>
    <w:rsid w:val="004D3059"/>
    <w:rsid w:val="004D3838"/>
    <w:rsid w:val="004D3E68"/>
    <w:rsid w:val="004D4C77"/>
    <w:rsid w:val="004D652A"/>
    <w:rsid w:val="004D6835"/>
    <w:rsid w:val="004D6BA7"/>
    <w:rsid w:val="004D77F9"/>
    <w:rsid w:val="004D7C94"/>
    <w:rsid w:val="004E0A8C"/>
    <w:rsid w:val="004E1863"/>
    <w:rsid w:val="004E1B5A"/>
    <w:rsid w:val="004E1E8D"/>
    <w:rsid w:val="004E2622"/>
    <w:rsid w:val="004E2920"/>
    <w:rsid w:val="004E2BCA"/>
    <w:rsid w:val="004E2E2A"/>
    <w:rsid w:val="004E3008"/>
    <w:rsid w:val="004E35BF"/>
    <w:rsid w:val="004E3B9D"/>
    <w:rsid w:val="004E3FBA"/>
    <w:rsid w:val="004E4602"/>
    <w:rsid w:val="004E4DB1"/>
    <w:rsid w:val="004E5209"/>
    <w:rsid w:val="004E5399"/>
    <w:rsid w:val="004E6220"/>
    <w:rsid w:val="004E6CF0"/>
    <w:rsid w:val="004F012F"/>
    <w:rsid w:val="004F0200"/>
    <w:rsid w:val="004F0FBF"/>
    <w:rsid w:val="004F1506"/>
    <w:rsid w:val="004F1557"/>
    <w:rsid w:val="004F1882"/>
    <w:rsid w:val="004F2441"/>
    <w:rsid w:val="004F2DC1"/>
    <w:rsid w:val="004F321D"/>
    <w:rsid w:val="004F3579"/>
    <w:rsid w:val="004F3821"/>
    <w:rsid w:val="004F3C29"/>
    <w:rsid w:val="004F48F6"/>
    <w:rsid w:val="004F4D79"/>
    <w:rsid w:val="004F6D9A"/>
    <w:rsid w:val="004F6F2E"/>
    <w:rsid w:val="00500769"/>
    <w:rsid w:val="00500B3C"/>
    <w:rsid w:val="00500D63"/>
    <w:rsid w:val="00501201"/>
    <w:rsid w:val="00501401"/>
    <w:rsid w:val="0050164C"/>
    <w:rsid w:val="00501D63"/>
    <w:rsid w:val="0050286E"/>
    <w:rsid w:val="00502F2A"/>
    <w:rsid w:val="005037D6"/>
    <w:rsid w:val="00503ED6"/>
    <w:rsid w:val="00504D62"/>
    <w:rsid w:val="00505D99"/>
    <w:rsid w:val="00506B62"/>
    <w:rsid w:val="005077A8"/>
    <w:rsid w:val="00507BDA"/>
    <w:rsid w:val="00510722"/>
    <w:rsid w:val="00510D5F"/>
    <w:rsid w:val="00510DC8"/>
    <w:rsid w:val="00511A47"/>
    <w:rsid w:val="00511DD8"/>
    <w:rsid w:val="00511F7C"/>
    <w:rsid w:val="00512442"/>
    <w:rsid w:val="0051305B"/>
    <w:rsid w:val="00513C8D"/>
    <w:rsid w:val="00514154"/>
    <w:rsid w:val="00515169"/>
    <w:rsid w:val="00515348"/>
    <w:rsid w:val="00515ED8"/>
    <w:rsid w:val="00517155"/>
    <w:rsid w:val="00517818"/>
    <w:rsid w:val="00517C17"/>
    <w:rsid w:val="00520066"/>
    <w:rsid w:val="00520971"/>
    <w:rsid w:val="00520D80"/>
    <w:rsid w:val="00520E9E"/>
    <w:rsid w:val="005211F4"/>
    <w:rsid w:val="005218E0"/>
    <w:rsid w:val="00522F3E"/>
    <w:rsid w:val="00522F52"/>
    <w:rsid w:val="00523242"/>
    <w:rsid w:val="00524771"/>
    <w:rsid w:val="00524F40"/>
    <w:rsid w:val="0052547F"/>
    <w:rsid w:val="005256C7"/>
    <w:rsid w:val="0052603A"/>
    <w:rsid w:val="005269D4"/>
    <w:rsid w:val="00526CFC"/>
    <w:rsid w:val="005270DD"/>
    <w:rsid w:val="00530493"/>
    <w:rsid w:val="00530941"/>
    <w:rsid w:val="005309C6"/>
    <w:rsid w:val="00530C69"/>
    <w:rsid w:val="005313AD"/>
    <w:rsid w:val="0053171D"/>
    <w:rsid w:val="00531C15"/>
    <w:rsid w:val="00532271"/>
    <w:rsid w:val="00532310"/>
    <w:rsid w:val="00532B82"/>
    <w:rsid w:val="00533936"/>
    <w:rsid w:val="00533AB0"/>
    <w:rsid w:val="00534393"/>
    <w:rsid w:val="00536001"/>
    <w:rsid w:val="00536105"/>
    <w:rsid w:val="005361B7"/>
    <w:rsid w:val="00536864"/>
    <w:rsid w:val="00537AE2"/>
    <w:rsid w:val="00537B65"/>
    <w:rsid w:val="00540527"/>
    <w:rsid w:val="00540959"/>
    <w:rsid w:val="00541584"/>
    <w:rsid w:val="00541AE5"/>
    <w:rsid w:val="00541D71"/>
    <w:rsid w:val="00541F61"/>
    <w:rsid w:val="0054248E"/>
    <w:rsid w:val="00542508"/>
    <w:rsid w:val="0054272D"/>
    <w:rsid w:val="00542929"/>
    <w:rsid w:val="00544588"/>
    <w:rsid w:val="00544B4E"/>
    <w:rsid w:val="0054506D"/>
    <w:rsid w:val="00545328"/>
    <w:rsid w:val="00545B6E"/>
    <w:rsid w:val="00545F49"/>
    <w:rsid w:val="00546064"/>
    <w:rsid w:val="0054680E"/>
    <w:rsid w:val="00546890"/>
    <w:rsid w:val="00546B6E"/>
    <w:rsid w:val="00547BA5"/>
    <w:rsid w:val="00547CB0"/>
    <w:rsid w:val="005509BF"/>
    <w:rsid w:val="005510C8"/>
    <w:rsid w:val="0055183E"/>
    <w:rsid w:val="0055334C"/>
    <w:rsid w:val="00553460"/>
    <w:rsid w:val="00553F4B"/>
    <w:rsid w:val="00553FD1"/>
    <w:rsid w:val="00555C7B"/>
    <w:rsid w:val="00555E5D"/>
    <w:rsid w:val="00555F71"/>
    <w:rsid w:val="00556562"/>
    <w:rsid w:val="00556EB6"/>
    <w:rsid w:val="005577A2"/>
    <w:rsid w:val="00557AAF"/>
    <w:rsid w:val="00560313"/>
    <w:rsid w:val="00561DEA"/>
    <w:rsid w:val="00562093"/>
    <w:rsid w:val="00562100"/>
    <w:rsid w:val="005628A1"/>
    <w:rsid w:val="00562B76"/>
    <w:rsid w:val="00562F0C"/>
    <w:rsid w:val="0056375C"/>
    <w:rsid w:val="00564BCE"/>
    <w:rsid w:val="00564BF5"/>
    <w:rsid w:val="00564DDB"/>
    <w:rsid w:val="005653F2"/>
    <w:rsid w:val="00565B06"/>
    <w:rsid w:val="00567AFC"/>
    <w:rsid w:val="00570223"/>
    <w:rsid w:val="00571626"/>
    <w:rsid w:val="00572F5C"/>
    <w:rsid w:val="0057316F"/>
    <w:rsid w:val="00574067"/>
    <w:rsid w:val="005744BF"/>
    <w:rsid w:val="00575139"/>
    <w:rsid w:val="005756F4"/>
    <w:rsid w:val="00575C09"/>
    <w:rsid w:val="005769C5"/>
    <w:rsid w:val="005771C2"/>
    <w:rsid w:val="00577343"/>
    <w:rsid w:val="00577EEF"/>
    <w:rsid w:val="0058075E"/>
    <w:rsid w:val="0058099A"/>
    <w:rsid w:val="005815E2"/>
    <w:rsid w:val="00582AF0"/>
    <w:rsid w:val="005830BC"/>
    <w:rsid w:val="005831EE"/>
    <w:rsid w:val="00583370"/>
    <w:rsid w:val="00583C7B"/>
    <w:rsid w:val="00583D01"/>
    <w:rsid w:val="00584590"/>
    <w:rsid w:val="00584A21"/>
    <w:rsid w:val="00585268"/>
    <w:rsid w:val="0058528C"/>
    <w:rsid w:val="00585C90"/>
    <w:rsid w:val="00586110"/>
    <w:rsid w:val="0058657B"/>
    <w:rsid w:val="00586B4B"/>
    <w:rsid w:val="00586BD2"/>
    <w:rsid w:val="00586DAB"/>
    <w:rsid w:val="005902F5"/>
    <w:rsid w:val="00590373"/>
    <w:rsid w:val="005920CA"/>
    <w:rsid w:val="00593033"/>
    <w:rsid w:val="005935CF"/>
    <w:rsid w:val="00593A26"/>
    <w:rsid w:val="005940CE"/>
    <w:rsid w:val="00595172"/>
    <w:rsid w:val="005951B3"/>
    <w:rsid w:val="005952D3"/>
    <w:rsid w:val="005967A3"/>
    <w:rsid w:val="00596C5A"/>
    <w:rsid w:val="005978BC"/>
    <w:rsid w:val="00597AA1"/>
    <w:rsid w:val="00597CA4"/>
    <w:rsid w:val="005A0693"/>
    <w:rsid w:val="005A0C4F"/>
    <w:rsid w:val="005A13E2"/>
    <w:rsid w:val="005A1876"/>
    <w:rsid w:val="005A1956"/>
    <w:rsid w:val="005A3267"/>
    <w:rsid w:val="005A349A"/>
    <w:rsid w:val="005A38D6"/>
    <w:rsid w:val="005A470D"/>
    <w:rsid w:val="005A4B50"/>
    <w:rsid w:val="005A5EC6"/>
    <w:rsid w:val="005A65D4"/>
    <w:rsid w:val="005A690B"/>
    <w:rsid w:val="005A77E3"/>
    <w:rsid w:val="005B041A"/>
    <w:rsid w:val="005B062E"/>
    <w:rsid w:val="005B0EAE"/>
    <w:rsid w:val="005B1314"/>
    <w:rsid w:val="005B1EA0"/>
    <w:rsid w:val="005B2211"/>
    <w:rsid w:val="005B35AB"/>
    <w:rsid w:val="005B45F8"/>
    <w:rsid w:val="005B5D2A"/>
    <w:rsid w:val="005B5D32"/>
    <w:rsid w:val="005B6BCC"/>
    <w:rsid w:val="005B6E37"/>
    <w:rsid w:val="005C080A"/>
    <w:rsid w:val="005C0AEF"/>
    <w:rsid w:val="005C0D11"/>
    <w:rsid w:val="005C12D4"/>
    <w:rsid w:val="005C17E3"/>
    <w:rsid w:val="005C19BC"/>
    <w:rsid w:val="005C2D4B"/>
    <w:rsid w:val="005C3000"/>
    <w:rsid w:val="005C34E0"/>
    <w:rsid w:val="005C371E"/>
    <w:rsid w:val="005C489C"/>
    <w:rsid w:val="005C4B20"/>
    <w:rsid w:val="005C4DCD"/>
    <w:rsid w:val="005C4EFD"/>
    <w:rsid w:val="005C51EE"/>
    <w:rsid w:val="005C7344"/>
    <w:rsid w:val="005C76DD"/>
    <w:rsid w:val="005D24C7"/>
    <w:rsid w:val="005D377E"/>
    <w:rsid w:val="005D4A7A"/>
    <w:rsid w:val="005D4F0A"/>
    <w:rsid w:val="005D5814"/>
    <w:rsid w:val="005D68B2"/>
    <w:rsid w:val="005D729A"/>
    <w:rsid w:val="005E048F"/>
    <w:rsid w:val="005E0F89"/>
    <w:rsid w:val="005E1BF0"/>
    <w:rsid w:val="005E4483"/>
    <w:rsid w:val="005E5A64"/>
    <w:rsid w:val="005E5CF5"/>
    <w:rsid w:val="005E5F74"/>
    <w:rsid w:val="005E6576"/>
    <w:rsid w:val="005E6812"/>
    <w:rsid w:val="005E6B72"/>
    <w:rsid w:val="005E7127"/>
    <w:rsid w:val="005F0E94"/>
    <w:rsid w:val="005F1203"/>
    <w:rsid w:val="005F1491"/>
    <w:rsid w:val="005F1876"/>
    <w:rsid w:val="005F18FE"/>
    <w:rsid w:val="005F3D9C"/>
    <w:rsid w:val="005F3FE3"/>
    <w:rsid w:val="005F46F0"/>
    <w:rsid w:val="005F4A50"/>
    <w:rsid w:val="005F6CED"/>
    <w:rsid w:val="005F6E76"/>
    <w:rsid w:val="005F738E"/>
    <w:rsid w:val="005F7965"/>
    <w:rsid w:val="005F7C24"/>
    <w:rsid w:val="005F7D6C"/>
    <w:rsid w:val="00600108"/>
    <w:rsid w:val="00600372"/>
    <w:rsid w:val="00600C83"/>
    <w:rsid w:val="00600DE1"/>
    <w:rsid w:val="0060413E"/>
    <w:rsid w:val="00604AFE"/>
    <w:rsid w:val="00604C54"/>
    <w:rsid w:val="00605288"/>
    <w:rsid w:val="006055B4"/>
    <w:rsid w:val="00605CC0"/>
    <w:rsid w:val="006060C4"/>
    <w:rsid w:val="006068D9"/>
    <w:rsid w:val="006069DE"/>
    <w:rsid w:val="0060702E"/>
    <w:rsid w:val="0060780B"/>
    <w:rsid w:val="00607DAA"/>
    <w:rsid w:val="0061001D"/>
    <w:rsid w:val="006101F6"/>
    <w:rsid w:val="00612295"/>
    <w:rsid w:val="0061251F"/>
    <w:rsid w:val="00612736"/>
    <w:rsid w:val="0061278C"/>
    <w:rsid w:val="006135AB"/>
    <w:rsid w:val="00613C23"/>
    <w:rsid w:val="00613E37"/>
    <w:rsid w:val="00614500"/>
    <w:rsid w:val="006152C4"/>
    <w:rsid w:val="00615655"/>
    <w:rsid w:val="00615C89"/>
    <w:rsid w:val="00616140"/>
    <w:rsid w:val="00616319"/>
    <w:rsid w:val="006170BA"/>
    <w:rsid w:val="00617B53"/>
    <w:rsid w:val="0062061D"/>
    <w:rsid w:val="00622316"/>
    <w:rsid w:val="00623B9C"/>
    <w:rsid w:val="00625781"/>
    <w:rsid w:val="00626C56"/>
    <w:rsid w:val="00630BA9"/>
    <w:rsid w:val="006314DA"/>
    <w:rsid w:val="00631656"/>
    <w:rsid w:val="00631955"/>
    <w:rsid w:val="006325A4"/>
    <w:rsid w:val="00632C95"/>
    <w:rsid w:val="00632F7C"/>
    <w:rsid w:val="006333E9"/>
    <w:rsid w:val="00633557"/>
    <w:rsid w:val="0063355B"/>
    <w:rsid w:val="00633861"/>
    <w:rsid w:val="006346DB"/>
    <w:rsid w:val="006348B2"/>
    <w:rsid w:val="00634E55"/>
    <w:rsid w:val="0063506B"/>
    <w:rsid w:val="00635B21"/>
    <w:rsid w:val="00636ACE"/>
    <w:rsid w:val="0063711F"/>
    <w:rsid w:val="0063744D"/>
    <w:rsid w:val="006406A6"/>
    <w:rsid w:val="00640806"/>
    <w:rsid w:val="00640F5B"/>
    <w:rsid w:val="006416AE"/>
    <w:rsid w:val="006433EF"/>
    <w:rsid w:val="00643CDE"/>
    <w:rsid w:val="00644365"/>
    <w:rsid w:val="006452D3"/>
    <w:rsid w:val="00645504"/>
    <w:rsid w:val="00645796"/>
    <w:rsid w:val="00646E0A"/>
    <w:rsid w:val="00646FBF"/>
    <w:rsid w:val="006477B4"/>
    <w:rsid w:val="00647A52"/>
    <w:rsid w:val="00647D4E"/>
    <w:rsid w:val="00650210"/>
    <w:rsid w:val="00650B25"/>
    <w:rsid w:val="006512DF"/>
    <w:rsid w:val="00651A08"/>
    <w:rsid w:val="0065223E"/>
    <w:rsid w:val="006522D4"/>
    <w:rsid w:val="0065262D"/>
    <w:rsid w:val="00652C91"/>
    <w:rsid w:val="00653A91"/>
    <w:rsid w:val="00655384"/>
    <w:rsid w:val="006556A8"/>
    <w:rsid w:val="00656A1C"/>
    <w:rsid w:val="006604E2"/>
    <w:rsid w:val="00660E47"/>
    <w:rsid w:val="00661581"/>
    <w:rsid w:val="00662C46"/>
    <w:rsid w:val="00662DCF"/>
    <w:rsid w:val="0066300C"/>
    <w:rsid w:val="0066352B"/>
    <w:rsid w:val="00663CBC"/>
    <w:rsid w:val="006641C2"/>
    <w:rsid w:val="006645D5"/>
    <w:rsid w:val="006645F2"/>
    <w:rsid w:val="00664F2E"/>
    <w:rsid w:val="00665040"/>
    <w:rsid w:val="00665167"/>
    <w:rsid w:val="0066711F"/>
    <w:rsid w:val="00667BDC"/>
    <w:rsid w:val="00667F71"/>
    <w:rsid w:val="006701F2"/>
    <w:rsid w:val="00670DB9"/>
    <w:rsid w:val="0067216A"/>
    <w:rsid w:val="006728A4"/>
    <w:rsid w:val="00672B68"/>
    <w:rsid w:val="00673CB2"/>
    <w:rsid w:val="00674E0D"/>
    <w:rsid w:val="00675139"/>
    <w:rsid w:val="006756B5"/>
    <w:rsid w:val="00675B77"/>
    <w:rsid w:val="00675C84"/>
    <w:rsid w:val="00675E77"/>
    <w:rsid w:val="006760D4"/>
    <w:rsid w:val="006764E1"/>
    <w:rsid w:val="006769EC"/>
    <w:rsid w:val="00676B78"/>
    <w:rsid w:val="0067706D"/>
    <w:rsid w:val="00680250"/>
    <w:rsid w:val="00680468"/>
    <w:rsid w:val="00680476"/>
    <w:rsid w:val="0068098A"/>
    <w:rsid w:val="006818C0"/>
    <w:rsid w:val="0068271B"/>
    <w:rsid w:val="00682F21"/>
    <w:rsid w:val="00682F9C"/>
    <w:rsid w:val="00683965"/>
    <w:rsid w:val="00683D01"/>
    <w:rsid w:val="006840E7"/>
    <w:rsid w:val="006849D0"/>
    <w:rsid w:val="00684BAB"/>
    <w:rsid w:val="00685B08"/>
    <w:rsid w:val="00686EDC"/>
    <w:rsid w:val="006875EE"/>
    <w:rsid w:val="00687948"/>
    <w:rsid w:val="00690DD5"/>
    <w:rsid w:val="00691494"/>
    <w:rsid w:val="006917D9"/>
    <w:rsid w:val="00691CC9"/>
    <w:rsid w:val="00693F55"/>
    <w:rsid w:val="00693F70"/>
    <w:rsid w:val="00693FEC"/>
    <w:rsid w:val="00695D0F"/>
    <w:rsid w:val="006962A1"/>
    <w:rsid w:val="00696AC8"/>
    <w:rsid w:val="00696BA6"/>
    <w:rsid w:val="00697A3B"/>
    <w:rsid w:val="00697B71"/>
    <w:rsid w:val="00697BEE"/>
    <w:rsid w:val="00697F84"/>
    <w:rsid w:val="006A004D"/>
    <w:rsid w:val="006A0B6E"/>
    <w:rsid w:val="006A0BF0"/>
    <w:rsid w:val="006A0F9A"/>
    <w:rsid w:val="006A1196"/>
    <w:rsid w:val="006A1891"/>
    <w:rsid w:val="006A397E"/>
    <w:rsid w:val="006A4A5D"/>
    <w:rsid w:val="006A4F43"/>
    <w:rsid w:val="006A5129"/>
    <w:rsid w:val="006A5D37"/>
    <w:rsid w:val="006A5D40"/>
    <w:rsid w:val="006A66FA"/>
    <w:rsid w:val="006A6969"/>
    <w:rsid w:val="006A7882"/>
    <w:rsid w:val="006A7E57"/>
    <w:rsid w:val="006B0698"/>
    <w:rsid w:val="006B07F0"/>
    <w:rsid w:val="006B31FE"/>
    <w:rsid w:val="006B3423"/>
    <w:rsid w:val="006B49D5"/>
    <w:rsid w:val="006B5DF1"/>
    <w:rsid w:val="006B6320"/>
    <w:rsid w:val="006B6A54"/>
    <w:rsid w:val="006B6C0F"/>
    <w:rsid w:val="006B6D9C"/>
    <w:rsid w:val="006C0A13"/>
    <w:rsid w:val="006C0DFB"/>
    <w:rsid w:val="006C1DFA"/>
    <w:rsid w:val="006C561D"/>
    <w:rsid w:val="006C589F"/>
    <w:rsid w:val="006C5A64"/>
    <w:rsid w:val="006C5C55"/>
    <w:rsid w:val="006C614A"/>
    <w:rsid w:val="006C6C08"/>
    <w:rsid w:val="006C6FAE"/>
    <w:rsid w:val="006C71C1"/>
    <w:rsid w:val="006C7733"/>
    <w:rsid w:val="006C787C"/>
    <w:rsid w:val="006D03AB"/>
    <w:rsid w:val="006D0927"/>
    <w:rsid w:val="006D0E77"/>
    <w:rsid w:val="006D15EB"/>
    <w:rsid w:val="006D232C"/>
    <w:rsid w:val="006D2683"/>
    <w:rsid w:val="006D27FC"/>
    <w:rsid w:val="006D2969"/>
    <w:rsid w:val="006D3015"/>
    <w:rsid w:val="006D37E5"/>
    <w:rsid w:val="006D5CA4"/>
    <w:rsid w:val="006D6315"/>
    <w:rsid w:val="006D6ED3"/>
    <w:rsid w:val="006D7258"/>
    <w:rsid w:val="006D725A"/>
    <w:rsid w:val="006E0197"/>
    <w:rsid w:val="006E03EA"/>
    <w:rsid w:val="006E0764"/>
    <w:rsid w:val="006E1435"/>
    <w:rsid w:val="006E1C56"/>
    <w:rsid w:val="006E285F"/>
    <w:rsid w:val="006E30DC"/>
    <w:rsid w:val="006E45EB"/>
    <w:rsid w:val="006E5548"/>
    <w:rsid w:val="006E70CC"/>
    <w:rsid w:val="006E7433"/>
    <w:rsid w:val="006E79E9"/>
    <w:rsid w:val="006F0018"/>
    <w:rsid w:val="006F0902"/>
    <w:rsid w:val="006F15E9"/>
    <w:rsid w:val="006F16C6"/>
    <w:rsid w:val="006F1826"/>
    <w:rsid w:val="006F2460"/>
    <w:rsid w:val="006F26C5"/>
    <w:rsid w:val="006F28D3"/>
    <w:rsid w:val="006F6DCC"/>
    <w:rsid w:val="00700340"/>
    <w:rsid w:val="00700BF4"/>
    <w:rsid w:val="0070192A"/>
    <w:rsid w:val="0070206D"/>
    <w:rsid w:val="00702B5C"/>
    <w:rsid w:val="00703FA1"/>
    <w:rsid w:val="007048DD"/>
    <w:rsid w:val="007053C1"/>
    <w:rsid w:val="00705E3A"/>
    <w:rsid w:val="00705FF0"/>
    <w:rsid w:val="00706862"/>
    <w:rsid w:val="00706951"/>
    <w:rsid w:val="00706A4B"/>
    <w:rsid w:val="00706BA8"/>
    <w:rsid w:val="007070EB"/>
    <w:rsid w:val="0070795F"/>
    <w:rsid w:val="00707E7A"/>
    <w:rsid w:val="00710ABC"/>
    <w:rsid w:val="00711867"/>
    <w:rsid w:val="00711D76"/>
    <w:rsid w:val="007121F2"/>
    <w:rsid w:val="007123FC"/>
    <w:rsid w:val="00712B14"/>
    <w:rsid w:val="00712CC9"/>
    <w:rsid w:val="00712D29"/>
    <w:rsid w:val="00713B3B"/>
    <w:rsid w:val="00713F9D"/>
    <w:rsid w:val="007150FA"/>
    <w:rsid w:val="007151BC"/>
    <w:rsid w:val="00715FE0"/>
    <w:rsid w:val="00716C73"/>
    <w:rsid w:val="00717262"/>
    <w:rsid w:val="00720284"/>
    <w:rsid w:val="0072071B"/>
    <w:rsid w:val="00720ECF"/>
    <w:rsid w:val="00721A31"/>
    <w:rsid w:val="00722609"/>
    <w:rsid w:val="00722FE3"/>
    <w:rsid w:val="00724899"/>
    <w:rsid w:val="007249B1"/>
    <w:rsid w:val="00724A37"/>
    <w:rsid w:val="00724B96"/>
    <w:rsid w:val="00724EED"/>
    <w:rsid w:val="007256DA"/>
    <w:rsid w:val="007263A4"/>
    <w:rsid w:val="007265BC"/>
    <w:rsid w:val="00726B95"/>
    <w:rsid w:val="007275E6"/>
    <w:rsid w:val="0073004B"/>
    <w:rsid w:val="0073018C"/>
    <w:rsid w:val="00730CF8"/>
    <w:rsid w:val="00731464"/>
    <w:rsid w:val="007330E5"/>
    <w:rsid w:val="007340AF"/>
    <w:rsid w:val="007349AB"/>
    <w:rsid w:val="0073511B"/>
    <w:rsid w:val="0073576B"/>
    <w:rsid w:val="007360B8"/>
    <w:rsid w:val="00736852"/>
    <w:rsid w:val="00736A72"/>
    <w:rsid w:val="0073727B"/>
    <w:rsid w:val="00737515"/>
    <w:rsid w:val="00737AD3"/>
    <w:rsid w:val="00737C40"/>
    <w:rsid w:val="00740192"/>
    <w:rsid w:val="00740E93"/>
    <w:rsid w:val="00741C38"/>
    <w:rsid w:val="00741ED0"/>
    <w:rsid w:val="00741F5F"/>
    <w:rsid w:val="007420FA"/>
    <w:rsid w:val="0074243E"/>
    <w:rsid w:val="0074269E"/>
    <w:rsid w:val="00743483"/>
    <w:rsid w:val="00743606"/>
    <w:rsid w:val="00744350"/>
    <w:rsid w:val="0074456F"/>
    <w:rsid w:val="007445A0"/>
    <w:rsid w:val="007448CC"/>
    <w:rsid w:val="00745BC6"/>
    <w:rsid w:val="00746A02"/>
    <w:rsid w:val="00747A32"/>
    <w:rsid w:val="0075063A"/>
    <w:rsid w:val="00751282"/>
    <w:rsid w:val="00751569"/>
    <w:rsid w:val="00751CE1"/>
    <w:rsid w:val="00753761"/>
    <w:rsid w:val="00753D1F"/>
    <w:rsid w:val="00754189"/>
    <w:rsid w:val="00754A76"/>
    <w:rsid w:val="00754C65"/>
    <w:rsid w:val="00754E3C"/>
    <w:rsid w:val="00756449"/>
    <w:rsid w:val="00756B06"/>
    <w:rsid w:val="00756DDD"/>
    <w:rsid w:val="00757493"/>
    <w:rsid w:val="00757EE4"/>
    <w:rsid w:val="00760E24"/>
    <w:rsid w:val="007612C0"/>
    <w:rsid w:val="0076164C"/>
    <w:rsid w:val="007619CD"/>
    <w:rsid w:val="0076241E"/>
    <w:rsid w:val="007641DD"/>
    <w:rsid w:val="00764F4B"/>
    <w:rsid w:val="0076503B"/>
    <w:rsid w:val="00765491"/>
    <w:rsid w:val="00765FF0"/>
    <w:rsid w:val="007660BB"/>
    <w:rsid w:val="0076735F"/>
    <w:rsid w:val="00767832"/>
    <w:rsid w:val="00767896"/>
    <w:rsid w:val="0077137C"/>
    <w:rsid w:val="00771A08"/>
    <w:rsid w:val="00771CD0"/>
    <w:rsid w:val="00772546"/>
    <w:rsid w:val="00773610"/>
    <w:rsid w:val="00773726"/>
    <w:rsid w:val="00774643"/>
    <w:rsid w:val="00774977"/>
    <w:rsid w:val="00774F83"/>
    <w:rsid w:val="007769E3"/>
    <w:rsid w:val="00776E8A"/>
    <w:rsid w:val="00777978"/>
    <w:rsid w:val="00777ACB"/>
    <w:rsid w:val="007808A6"/>
    <w:rsid w:val="007808A7"/>
    <w:rsid w:val="00781174"/>
    <w:rsid w:val="007815A9"/>
    <w:rsid w:val="007819EE"/>
    <w:rsid w:val="00783BC0"/>
    <w:rsid w:val="00784B31"/>
    <w:rsid w:val="00784FE7"/>
    <w:rsid w:val="0078562C"/>
    <w:rsid w:val="007868A9"/>
    <w:rsid w:val="00786986"/>
    <w:rsid w:val="00787215"/>
    <w:rsid w:val="007872E5"/>
    <w:rsid w:val="0079008B"/>
    <w:rsid w:val="007903D1"/>
    <w:rsid w:val="0079066B"/>
    <w:rsid w:val="00791134"/>
    <w:rsid w:val="0079162F"/>
    <w:rsid w:val="007932F5"/>
    <w:rsid w:val="00793829"/>
    <w:rsid w:val="00794759"/>
    <w:rsid w:val="00794C6E"/>
    <w:rsid w:val="007957A0"/>
    <w:rsid w:val="00795AA3"/>
    <w:rsid w:val="00795AD0"/>
    <w:rsid w:val="00796267"/>
    <w:rsid w:val="007965A1"/>
    <w:rsid w:val="00796817"/>
    <w:rsid w:val="00796F19"/>
    <w:rsid w:val="00797895"/>
    <w:rsid w:val="007A0654"/>
    <w:rsid w:val="007A0DBF"/>
    <w:rsid w:val="007A1023"/>
    <w:rsid w:val="007A1315"/>
    <w:rsid w:val="007A1D58"/>
    <w:rsid w:val="007A264E"/>
    <w:rsid w:val="007A30E8"/>
    <w:rsid w:val="007A3C7A"/>
    <w:rsid w:val="007A3CC9"/>
    <w:rsid w:val="007A3E21"/>
    <w:rsid w:val="007A437F"/>
    <w:rsid w:val="007A51FC"/>
    <w:rsid w:val="007A548E"/>
    <w:rsid w:val="007A57F0"/>
    <w:rsid w:val="007A64D1"/>
    <w:rsid w:val="007A6899"/>
    <w:rsid w:val="007A7D76"/>
    <w:rsid w:val="007B0368"/>
    <w:rsid w:val="007B05D3"/>
    <w:rsid w:val="007B087A"/>
    <w:rsid w:val="007B0F52"/>
    <w:rsid w:val="007B0F54"/>
    <w:rsid w:val="007B2088"/>
    <w:rsid w:val="007B3C09"/>
    <w:rsid w:val="007B3E45"/>
    <w:rsid w:val="007B459D"/>
    <w:rsid w:val="007B480F"/>
    <w:rsid w:val="007B4820"/>
    <w:rsid w:val="007B51D7"/>
    <w:rsid w:val="007B53CF"/>
    <w:rsid w:val="007B581A"/>
    <w:rsid w:val="007B6A32"/>
    <w:rsid w:val="007B6EF7"/>
    <w:rsid w:val="007B6F4C"/>
    <w:rsid w:val="007C028C"/>
    <w:rsid w:val="007C1311"/>
    <w:rsid w:val="007C16D6"/>
    <w:rsid w:val="007C1CC6"/>
    <w:rsid w:val="007C2310"/>
    <w:rsid w:val="007C2CD3"/>
    <w:rsid w:val="007C2D07"/>
    <w:rsid w:val="007C3461"/>
    <w:rsid w:val="007C4609"/>
    <w:rsid w:val="007C5D3D"/>
    <w:rsid w:val="007C5F1D"/>
    <w:rsid w:val="007C6024"/>
    <w:rsid w:val="007C6357"/>
    <w:rsid w:val="007C7105"/>
    <w:rsid w:val="007D03DF"/>
    <w:rsid w:val="007D14C2"/>
    <w:rsid w:val="007D1985"/>
    <w:rsid w:val="007D20F1"/>
    <w:rsid w:val="007D2180"/>
    <w:rsid w:val="007D218C"/>
    <w:rsid w:val="007D2506"/>
    <w:rsid w:val="007D269C"/>
    <w:rsid w:val="007D2E4D"/>
    <w:rsid w:val="007D34F5"/>
    <w:rsid w:val="007D3EAF"/>
    <w:rsid w:val="007D4AD1"/>
    <w:rsid w:val="007D54A7"/>
    <w:rsid w:val="007D5559"/>
    <w:rsid w:val="007D55AF"/>
    <w:rsid w:val="007D61C1"/>
    <w:rsid w:val="007D6692"/>
    <w:rsid w:val="007D7183"/>
    <w:rsid w:val="007D75B6"/>
    <w:rsid w:val="007E0354"/>
    <w:rsid w:val="007E038D"/>
    <w:rsid w:val="007E0651"/>
    <w:rsid w:val="007E0829"/>
    <w:rsid w:val="007E19DE"/>
    <w:rsid w:val="007E1CFE"/>
    <w:rsid w:val="007E29B9"/>
    <w:rsid w:val="007E3213"/>
    <w:rsid w:val="007E380A"/>
    <w:rsid w:val="007E3E1D"/>
    <w:rsid w:val="007E4208"/>
    <w:rsid w:val="007E4909"/>
    <w:rsid w:val="007E5786"/>
    <w:rsid w:val="007E6AC0"/>
    <w:rsid w:val="007E7714"/>
    <w:rsid w:val="007E7891"/>
    <w:rsid w:val="007E7C95"/>
    <w:rsid w:val="007F0049"/>
    <w:rsid w:val="007F0556"/>
    <w:rsid w:val="007F0705"/>
    <w:rsid w:val="007F0849"/>
    <w:rsid w:val="007F0CF0"/>
    <w:rsid w:val="007F0E02"/>
    <w:rsid w:val="007F0E94"/>
    <w:rsid w:val="007F317A"/>
    <w:rsid w:val="007F3320"/>
    <w:rsid w:val="007F339F"/>
    <w:rsid w:val="007F380D"/>
    <w:rsid w:val="007F389B"/>
    <w:rsid w:val="007F3DFE"/>
    <w:rsid w:val="007F5708"/>
    <w:rsid w:val="007F593C"/>
    <w:rsid w:val="007F6775"/>
    <w:rsid w:val="007F67A6"/>
    <w:rsid w:val="007F7A28"/>
    <w:rsid w:val="008017F4"/>
    <w:rsid w:val="008019B2"/>
    <w:rsid w:val="00801C89"/>
    <w:rsid w:val="0080201E"/>
    <w:rsid w:val="008021AA"/>
    <w:rsid w:val="00802365"/>
    <w:rsid w:val="0080307D"/>
    <w:rsid w:val="00803406"/>
    <w:rsid w:val="008050A3"/>
    <w:rsid w:val="00805124"/>
    <w:rsid w:val="00805418"/>
    <w:rsid w:val="00805480"/>
    <w:rsid w:val="0080549E"/>
    <w:rsid w:val="00805B6F"/>
    <w:rsid w:val="00805F1D"/>
    <w:rsid w:val="00805FFC"/>
    <w:rsid w:val="00806FA1"/>
    <w:rsid w:val="00807704"/>
    <w:rsid w:val="0080777B"/>
    <w:rsid w:val="008077B8"/>
    <w:rsid w:val="00810797"/>
    <w:rsid w:val="00810A43"/>
    <w:rsid w:val="00810C3D"/>
    <w:rsid w:val="0081129B"/>
    <w:rsid w:val="0081171D"/>
    <w:rsid w:val="008123F8"/>
    <w:rsid w:val="008126B4"/>
    <w:rsid w:val="00812ACA"/>
    <w:rsid w:val="008130AF"/>
    <w:rsid w:val="008155C6"/>
    <w:rsid w:val="0081581A"/>
    <w:rsid w:val="00815A04"/>
    <w:rsid w:val="00815A33"/>
    <w:rsid w:val="00816BE3"/>
    <w:rsid w:val="0081710F"/>
    <w:rsid w:val="0081764C"/>
    <w:rsid w:val="008179EC"/>
    <w:rsid w:val="00817FE2"/>
    <w:rsid w:val="0082039D"/>
    <w:rsid w:val="0082065D"/>
    <w:rsid w:val="0082108D"/>
    <w:rsid w:val="00822CE5"/>
    <w:rsid w:val="00822F90"/>
    <w:rsid w:val="00823AC2"/>
    <w:rsid w:val="00823BBD"/>
    <w:rsid w:val="00823E67"/>
    <w:rsid w:val="008241EA"/>
    <w:rsid w:val="008257A8"/>
    <w:rsid w:val="008264DD"/>
    <w:rsid w:val="00826896"/>
    <w:rsid w:val="008269E8"/>
    <w:rsid w:val="00826A82"/>
    <w:rsid w:val="00826A8F"/>
    <w:rsid w:val="00826B5E"/>
    <w:rsid w:val="00826B96"/>
    <w:rsid w:val="008272CF"/>
    <w:rsid w:val="0082774A"/>
    <w:rsid w:val="008277A2"/>
    <w:rsid w:val="00827AAF"/>
    <w:rsid w:val="00827D83"/>
    <w:rsid w:val="008302D8"/>
    <w:rsid w:val="00830534"/>
    <w:rsid w:val="0083085A"/>
    <w:rsid w:val="008316FE"/>
    <w:rsid w:val="008323BB"/>
    <w:rsid w:val="00832435"/>
    <w:rsid w:val="00833844"/>
    <w:rsid w:val="00834197"/>
    <w:rsid w:val="00834DC2"/>
    <w:rsid w:val="00834DE4"/>
    <w:rsid w:val="008351C6"/>
    <w:rsid w:val="008352BF"/>
    <w:rsid w:val="008360F9"/>
    <w:rsid w:val="008362F8"/>
    <w:rsid w:val="00836AAD"/>
    <w:rsid w:val="00840122"/>
    <w:rsid w:val="00840B7D"/>
    <w:rsid w:val="00841049"/>
    <w:rsid w:val="00841982"/>
    <w:rsid w:val="00842075"/>
    <w:rsid w:val="0084232B"/>
    <w:rsid w:val="00842621"/>
    <w:rsid w:val="0084407B"/>
    <w:rsid w:val="008458C0"/>
    <w:rsid w:val="008468FA"/>
    <w:rsid w:val="00846A5B"/>
    <w:rsid w:val="00846BE0"/>
    <w:rsid w:val="00847462"/>
    <w:rsid w:val="00847AF4"/>
    <w:rsid w:val="00851139"/>
    <w:rsid w:val="008511F4"/>
    <w:rsid w:val="00851261"/>
    <w:rsid w:val="0085272C"/>
    <w:rsid w:val="00853EE0"/>
    <w:rsid w:val="00854483"/>
    <w:rsid w:val="00854510"/>
    <w:rsid w:val="00855E8E"/>
    <w:rsid w:val="00855EAE"/>
    <w:rsid w:val="0085664C"/>
    <w:rsid w:val="008573E5"/>
    <w:rsid w:val="00857D2B"/>
    <w:rsid w:val="00857EC1"/>
    <w:rsid w:val="008617E4"/>
    <w:rsid w:val="008625AC"/>
    <w:rsid w:val="00862FD6"/>
    <w:rsid w:val="0086399C"/>
    <w:rsid w:val="00864148"/>
    <w:rsid w:val="00864C88"/>
    <w:rsid w:val="00864E0D"/>
    <w:rsid w:val="00865B4E"/>
    <w:rsid w:val="008676F1"/>
    <w:rsid w:val="00870992"/>
    <w:rsid w:val="00870EBB"/>
    <w:rsid w:val="00871EF4"/>
    <w:rsid w:val="008739E4"/>
    <w:rsid w:val="008739F8"/>
    <w:rsid w:val="00874CC1"/>
    <w:rsid w:val="00875A69"/>
    <w:rsid w:val="00875EE4"/>
    <w:rsid w:val="00876124"/>
    <w:rsid w:val="00876752"/>
    <w:rsid w:val="0087714C"/>
    <w:rsid w:val="0087720C"/>
    <w:rsid w:val="00877568"/>
    <w:rsid w:val="00877CA0"/>
    <w:rsid w:val="00877D9D"/>
    <w:rsid w:val="00880436"/>
    <w:rsid w:val="0088097A"/>
    <w:rsid w:val="00881096"/>
    <w:rsid w:val="0088224C"/>
    <w:rsid w:val="008822C7"/>
    <w:rsid w:val="00882623"/>
    <w:rsid w:val="0088264B"/>
    <w:rsid w:val="00882A2F"/>
    <w:rsid w:val="00883A8A"/>
    <w:rsid w:val="00883EE0"/>
    <w:rsid w:val="00883F0C"/>
    <w:rsid w:val="00885003"/>
    <w:rsid w:val="00885498"/>
    <w:rsid w:val="008857E0"/>
    <w:rsid w:val="008858FD"/>
    <w:rsid w:val="008861B5"/>
    <w:rsid w:val="00887566"/>
    <w:rsid w:val="00887686"/>
    <w:rsid w:val="008877E5"/>
    <w:rsid w:val="0088796B"/>
    <w:rsid w:val="00891AEF"/>
    <w:rsid w:val="0089221E"/>
    <w:rsid w:val="00893445"/>
    <w:rsid w:val="00893B38"/>
    <w:rsid w:val="008940E7"/>
    <w:rsid w:val="00894600"/>
    <w:rsid w:val="00894B2B"/>
    <w:rsid w:val="00894B40"/>
    <w:rsid w:val="00895270"/>
    <w:rsid w:val="00895360"/>
    <w:rsid w:val="00896006"/>
    <w:rsid w:val="008964AB"/>
    <w:rsid w:val="0089664D"/>
    <w:rsid w:val="00896B0E"/>
    <w:rsid w:val="00896B6A"/>
    <w:rsid w:val="00896DC0"/>
    <w:rsid w:val="00897DB1"/>
    <w:rsid w:val="008A0CFB"/>
    <w:rsid w:val="008A12CF"/>
    <w:rsid w:val="008A1B14"/>
    <w:rsid w:val="008A1DA0"/>
    <w:rsid w:val="008A2985"/>
    <w:rsid w:val="008A4355"/>
    <w:rsid w:val="008A721C"/>
    <w:rsid w:val="008A73D0"/>
    <w:rsid w:val="008A77C6"/>
    <w:rsid w:val="008B030A"/>
    <w:rsid w:val="008B0C25"/>
    <w:rsid w:val="008B114C"/>
    <w:rsid w:val="008B150C"/>
    <w:rsid w:val="008B2319"/>
    <w:rsid w:val="008B268D"/>
    <w:rsid w:val="008B4E49"/>
    <w:rsid w:val="008B565E"/>
    <w:rsid w:val="008B63D9"/>
    <w:rsid w:val="008B6973"/>
    <w:rsid w:val="008B6CA8"/>
    <w:rsid w:val="008B7A95"/>
    <w:rsid w:val="008B7B51"/>
    <w:rsid w:val="008C0289"/>
    <w:rsid w:val="008C0DBC"/>
    <w:rsid w:val="008C0F4C"/>
    <w:rsid w:val="008C11D5"/>
    <w:rsid w:val="008C1F49"/>
    <w:rsid w:val="008C29E5"/>
    <w:rsid w:val="008C3469"/>
    <w:rsid w:val="008C3A25"/>
    <w:rsid w:val="008C3C23"/>
    <w:rsid w:val="008C3EAF"/>
    <w:rsid w:val="008C3F43"/>
    <w:rsid w:val="008C4687"/>
    <w:rsid w:val="008C4D8F"/>
    <w:rsid w:val="008C52AB"/>
    <w:rsid w:val="008C5303"/>
    <w:rsid w:val="008C66FD"/>
    <w:rsid w:val="008C6E42"/>
    <w:rsid w:val="008C72CC"/>
    <w:rsid w:val="008C75EF"/>
    <w:rsid w:val="008C7A29"/>
    <w:rsid w:val="008C7FDE"/>
    <w:rsid w:val="008D05D4"/>
    <w:rsid w:val="008D092A"/>
    <w:rsid w:val="008D0C6B"/>
    <w:rsid w:val="008D13CD"/>
    <w:rsid w:val="008D1B08"/>
    <w:rsid w:val="008D2AE4"/>
    <w:rsid w:val="008D2C2D"/>
    <w:rsid w:val="008D3756"/>
    <w:rsid w:val="008D440A"/>
    <w:rsid w:val="008D455A"/>
    <w:rsid w:val="008D4567"/>
    <w:rsid w:val="008D4D09"/>
    <w:rsid w:val="008D4D64"/>
    <w:rsid w:val="008D58AF"/>
    <w:rsid w:val="008D7AD5"/>
    <w:rsid w:val="008D7C61"/>
    <w:rsid w:val="008E033D"/>
    <w:rsid w:val="008E14CF"/>
    <w:rsid w:val="008E1D91"/>
    <w:rsid w:val="008E29BE"/>
    <w:rsid w:val="008E2EAB"/>
    <w:rsid w:val="008E3A6F"/>
    <w:rsid w:val="008E3E65"/>
    <w:rsid w:val="008E413F"/>
    <w:rsid w:val="008E457C"/>
    <w:rsid w:val="008E48C3"/>
    <w:rsid w:val="008E4DB6"/>
    <w:rsid w:val="008E4E6A"/>
    <w:rsid w:val="008E5B3E"/>
    <w:rsid w:val="008E5BB7"/>
    <w:rsid w:val="008E5E1A"/>
    <w:rsid w:val="008E70E2"/>
    <w:rsid w:val="008F0365"/>
    <w:rsid w:val="008F14F1"/>
    <w:rsid w:val="008F15C2"/>
    <w:rsid w:val="008F1F6B"/>
    <w:rsid w:val="008F2254"/>
    <w:rsid w:val="008F3005"/>
    <w:rsid w:val="008F40F8"/>
    <w:rsid w:val="008F4176"/>
    <w:rsid w:val="008F6AA4"/>
    <w:rsid w:val="008F7C4C"/>
    <w:rsid w:val="009006D0"/>
    <w:rsid w:val="00900BF4"/>
    <w:rsid w:val="009013D6"/>
    <w:rsid w:val="0090167D"/>
    <w:rsid w:val="00901B9B"/>
    <w:rsid w:val="00902475"/>
    <w:rsid w:val="009047C6"/>
    <w:rsid w:val="00904869"/>
    <w:rsid w:val="00904A5B"/>
    <w:rsid w:val="0090569B"/>
    <w:rsid w:val="00905E79"/>
    <w:rsid w:val="009062F9"/>
    <w:rsid w:val="00907130"/>
    <w:rsid w:val="00907F3E"/>
    <w:rsid w:val="00907F4C"/>
    <w:rsid w:val="009101A0"/>
    <w:rsid w:val="00910536"/>
    <w:rsid w:val="009113EF"/>
    <w:rsid w:val="009124E5"/>
    <w:rsid w:val="00913697"/>
    <w:rsid w:val="0091401F"/>
    <w:rsid w:val="00915DE8"/>
    <w:rsid w:val="00916C10"/>
    <w:rsid w:val="00916E6D"/>
    <w:rsid w:val="0091741D"/>
    <w:rsid w:val="00917790"/>
    <w:rsid w:val="00917BB1"/>
    <w:rsid w:val="0092086B"/>
    <w:rsid w:val="00921D13"/>
    <w:rsid w:val="00921F25"/>
    <w:rsid w:val="00921FFD"/>
    <w:rsid w:val="00922154"/>
    <w:rsid w:val="00922EA4"/>
    <w:rsid w:val="00923B60"/>
    <w:rsid w:val="009248FB"/>
    <w:rsid w:val="00925541"/>
    <w:rsid w:val="00925A9C"/>
    <w:rsid w:val="00925C30"/>
    <w:rsid w:val="0092600E"/>
    <w:rsid w:val="009260F5"/>
    <w:rsid w:val="0092736A"/>
    <w:rsid w:val="00927CA7"/>
    <w:rsid w:val="00927CC8"/>
    <w:rsid w:val="009301E0"/>
    <w:rsid w:val="00931109"/>
    <w:rsid w:val="00931139"/>
    <w:rsid w:val="00931223"/>
    <w:rsid w:val="00932555"/>
    <w:rsid w:val="0093268E"/>
    <w:rsid w:val="00932EAE"/>
    <w:rsid w:val="009332C9"/>
    <w:rsid w:val="00933892"/>
    <w:rsid w:val="00933A3E"/>
    <w:rsid w:val="0093400C"/>
    <w:rsid w:val="00934338"/>
    <w:rsid w:val="009349AC"/>
    <w:rsid w:val="00934E09"/>
    <w:rsid w:val="0093675F"/>
    <w:rsid w:val="009400A3"/>
    <w:rsid w:val="00940468"/>
    <w:rsid w:val="00940D2C"/>
    <w:rsid w:val="00941D4E"/>
    <w:rsid w:val="009421CC"/>
    <w:rsid w:val="00944EDA"/>
    <w:rsid w:val="009450E2"/>
    <w:rsid w:val="009453BA"/>
    <w:rsid w:val="00945ECB"/>
    <w:rsid w:val="00945F8D"/>
    <w:rsid w:val="009462B7"/>
    <w:rsid w:val="009463F4"/>
    <w:rsid w:val="0094680E"/>
    <w:rsid w:val="00946A0A"/>
    <w:rsid w:val="0094737F"/>
    <w:rsid w:val="0094744D"/>
    <w:rsid w:val="009474A6"/>
    <w:rsid w:val="00947C6F"/>
    <w:rsid w:val="00947DC2"/>
    <w:rsid w:val="009503BD"/>
    <w:rsid w:val="00950573"/>
    <w:rsid w:val="0095063B"/>
    <w:rsid w:val="00950825"/>
    <w:rsid w:val="00950856"/>
    <w:rsid w:val="009509AD"/>
    <w:rsid w:val="009514C4"/>
    <w:rsid w:val="0095153E"/>
    <w:rsid w:val="00952558"/>
    <w:rsid w:val="0095257E"/>
    <w:rsid w:val="00952A83"/>
    <w:rsid w:val="00953452"/>
    <w:rsid w:val="00953DCB"/>
    <w:rsid w:val="009542C4"/>
    <w:rsid w:val="009547CE"/>
    <w:rsid w:val="00954ED8"/>
    <w:rsid w:val="009559F8"/>
    <w:rsid w:val="009563AB"/>
    <w:rsid w:val="00957C7F"/>
    <w:rsid w:val="009604F9"/>
    <w:rsid w:val="0096052D"/>
    <w:rsid w:val="0096056C"/>
    <w:rsid w:val="00962001"/>
    <w:rsid w:val="00962049"/>
    <w:rsid w:val="0096243F"/>
    <w:rsid w:val="0096271D"/>
    <w:rsid w:val="00962FBF"/>
    <w:rsid w:val="00964831"/>
    <w:rsid w:val="00964D9E"/>
    <w:rsid w:val="0096531D"/>
    <w:rsid w:val="00965831"/>
    <w:rsid w:val="00966618"/>
    <w:rsid w:val="00966819"/>
    <w:rsid w:val="0096758E"/>
    <w:rsid w:val="00967C30"/>
    <w:rsid w:val="009700A2"/>
    <w:rsid w:val="0097190D"/>
    <w:rsid w:val="00972686"/>
    <w:rsid w:val="009736CB"/>
    <w:rsid w:val="00973746"/>
    <w:rsid w:val="009744C5"/>
    <w:rsid w:val="00975027"/>
    <w:rsid w:val="00975155"/>
    <w:rsid w:val="00975557"/>
    <w:rsid w:val="009757AD"/>
    <w:rsid w:val="009763EB"/>
    <w:rsid w:val="00976974"/>
    <w:rsid w:val="0097780F"/>
    <w:rsid w:val="00977BFD"/>
    <w:rsid w:val="009800DE"/>
    <w:rsid w:val="009806FB"/>
    <w:rsid w:val="009810C6"/>
    <w:rsid w:val="0098271C"/>
    <w:rsid w:val="009828FD"/>
    <w:rsid w:val="0098300E"/>
    <w:rsid w:val="00983C3F"/>
    <w:rsid w:val="00986F14"/>
    <w:rsid w:val="00987F82"/>
    <w:rsid w:val="009901D6"/>
    <w:rsid w:val="0099024A"/>
    <w:rsid w:val="00990D59"/>
    <w:rsid w:val="009918A3"/>
    <w:rsid w:val="00991AA5"/>
    <w:rsid w:val="009922BE"/>
    <w:rsid w:val="0099239E"/>
    <w:rsid w:val="00992431"/>
    <w:rsid w:val="009924A5"/>
    <w:rsid w:val="00992E4B"/>
    <w:rsid w:val="00993B8B"/>
    <w:rsid w:val="0099401A"/>
    <w:rsid w:val="009945D2"/>
    <w:rsid w:val="00995976"/>
    <w:rsid w:val="009969BD"/>
    <w:rsid w:val="00996D81"/>
    <w:rsid w:val="009970DD"/>
    <w:rsid w:val="00997232"/>
    <w:rsid w:val="00997241"/>
    <w:rsid w:val="0099750F"/>
    <w:rsid w:val="00997AB2"/>
    <w:rsid w:val="009A0320"/>
    <w:rsid w:val="009A05C9"/>
    <w:rsid w:val="009A10CC"/>
    <w:rsid w:val="009A153B"/>
    <w:rsid w:val="009A18E3"/>
    <w:rsid w:val="009A3000"/>
    <w:rsid w:val="009A3B2F"/>
    <w:rsid w:val="009A45DF"/>
    <w:rsid w:val="009A46A0"/>
    <w:rsid w:val="009A5231"/>
    <w:rsid w:val="009A6AEA"/>
    <w:rsid w:val="009A78E1"/>
    <w:rsid w:val="009A7B6B"/>
    <w:rsid w:val="009A7EF8"/>
    <w:rsid w:val="009B04B1"/>
    <w:rsid w:val="009B2620"/>
    <w:rsid w:val="009B26C0"/>
    <w:rsid w:val="009B2F8F"/>
    <w:rsid w:val="009B3FE7"/>
    <w:rsid w:val="009B4C9C"/>
    <w:rsid w:val="009B4CA9"/>
    <w:rsid w:val="009B4D20"/>
    <w:rsid w:val="009B5280"/>
    <w:rsid w:val="009B6314"/>
    <w:rsid w:val="009B6770"/>
    <w:rsid w:val="009B6C11"/>
    <w:rsid w:val="009B75A5"/>
    <w:rsid w:val="009B7CF3"/>
    <w:rsid w:val="009C074C"/>
    <w:rsid w:val="009C0DB1"/>
    <w:rsid w:val="009C1181"/>
    <w:rsid w:val="009C25F2"/>
    <w:rsid w:val="009C27C8"/>
    <w:rsid w:val="009C2B17"/>
    <w:rsid w:val="009C31EB"/>
    <w:rsid w:val="009C3786"/>
    <w:rsid w:val="009C5335"/>
    <w:rsid w:val="009C556B"/>
    <w:rsid w:val="009C58E8"/>
    <w:rsid w:val="009C60A7"/>
    <w:rsid w:val="009C6872"/>
    <w:rsid w:val="009C7D61"/>
    <w:rsid w:val="009D06BA"/>
    <w:rsid w:val="009D0F2A"/>
    <w:rsid w:val="009D2976"/>
    <w:rsid w:val="009D2B7B"/>
    <w:rsid w:val="009D3242"/>
    <w:rsid w:val="009D367C"/>
    <w:rsid w:val="009D373F"/>
    <w:rsid w:val="009D4A65"/>
    <w:rsid w:val="009D5633"/>
    <w:rsid w:val="009D56E0"/>
    <w:rsid w:val="009D58D5"/>
    <w:rsid w:val="009D617B"/>
    <w:rsid w:val="009D6433"/>
    <w:rsid w:val="009D6A8A"/>
    <w:rsid w:val="009D6DD1"/>
    <w:rsid w:val="009D6DDC"/>
    <w:rsid w:val="009D6EE3"/>
    <w:rsid w:val="009D7142"/>
    <w:rsid w:val="009D78FD"/>
    <w:rsid w:val="009E0205"/>
    <w:rsid w:val="009E020E"/>
    <w:rsid w:val="009E04E9"/>
    <w:rsid w:val="009E1366"/>
    <w:rsid w:val="009E1614"/>
    <w:rsid w:val="009E17E1"/>
    <w:rsid w:val="009E24C1"/>
    <w:rsid w:val="009E2688"/>
    <w:rsid w:val="009E3591"/>
    <w:rsid w:val="009E45CB"/>
    <w:rsid w:val="009E4E45"/>
    <w:rsid w:val="009E54E2"/>
    <w:rsid w:val="009E709C"/>
    <w:rsid w:val="009E71BE"/>
    <w:rsid w:val="009E73EB"/>
    <w:rsid w:val="009E7AF4"/>
    <w:rsid w:val="009E7BBE"/>
    <w:rsid w:val="009F0D29"/>
    <w:rsid w:val="009F126C"/>
    <w:rsid w:val="009F139D"/>
    <w:rsid w:val="009F3B03"/>
    <w:rsid w:val="009F4F18"/>
    <w:rsid w:val="009F5A65"/>
    <w:rsid w:val="009F69AE"/>
    <w:rsid w:val="00A0042E"/>
    <w:rsid w:val="00A01DE8"/>
    <w:rsid w:val="00A02135"/>
    <w:rsid w:val="00A023EC"/>
    <w:rsid w:val="00A02892"/>
    <w:rsid w:val="00A02B7B"/>
    <w:rsid w:val="00A0321C"/>
    <w:rsid w:val="00A03F9D"/>
    <w:rsid w:val="00A046AA"/>
    <w:rsid w:val="00A0482D"/>
    <w:rsid w:val="00A054CC"/>
    <w:rsid w:val="00A0593A"/>
    <w:rsid w:val="00A05D87"/>
    <w:rsid w:val="00A063C5"/>
    <w:rsid w:val="00A06E67"/>
    <w:rsid w:val="00A071AE"/>
    <w:rsid w:val="00A10002"/>
    <w:rsid w:val="00A108DF"/>
    <w:rsid w:val="00A126D3"/>
    <w:rsid w:val="00A12F67"/>
    <w:rsid w:val="00A13424"/>
    <w:rsid w:val="00A134B0"/>
    <w:rsid w:val="00A14B50"/>
    <w:rsid w:val="00A14CA8"/>
    <w:rsid w:val="00A156F0"/>
    <w:rsid w:val="00A15A1A"/>
    <w:rsid w:val="00A160C6"/>
    <w:rsid w:val="00A16371"/>
    <w:rsid w:val="00A16E23"/>
    <w:rsid w:val="00A175E2"/>
    <w:rsid w:val="00A1774E"/>
    <w:rsid w:val="00A2043B"/>
    <w:rsid w:val="00A21884"/>
    <w:rsid w:val="00A21CC3"/>
    <w:rsid w:val="00A225BE"/>
    <w:rsid w:val="00A227EC"/>
    <w:rsid w:val="00A22977"/>
    <w:rsid w:val="00A2354C"/>
    <w:rsid w:val="00A2372D"/>
    <w:rsid w:val="00A247D9"/>
    <w:rsid w:val="00A2500C"/>
    <w:rsid w:val="00A2513B"/>
    <w:rsid w:val="00A26037"/>
    <w:rsid w:val="00A26362"/>
    <w:rsid w:val="00A27A1B"/>
    <w:rsid w:val="00A27B71"/>
    <w:rsid w:val="00A27C4C"/>
    <w:rsid w:val="00A30938"/>
    <w:rsid w:val="00A31206"/>
    <w:rsid w:val="00A31A28"/>
    <w:rsid w:val="00A323C8"/>
    <w:rsid w:val="00A32AF0"/>
    <w:rsid w:val="00A32B03"/>
    <w:rsid w:val="00A332E5"/>
    <w:rsid w:val="00A332EB"/>
    <w:rsid w:val="00A365C4"/>
    <w:rsid w:val="00A36E36"/>
    <w:rsid w:val="00A3778B"/>
    <w:rsid w:val="00A377ED"/>
    <w:rsid w:val="00A37FC3"/>
    <w:rsid w:val="00A40E26"/>
    <w:rsid w:val="00A4103C"/>
    <w:rsid w:val="00A42312"/>
    <w:rsid w:val="00A42875"/>
    <w:rsid w:val="00A42BF3"/>
    <w:rsid w:val="00A42D61"/>
    <w:rsid w:val="00A43C0C"/>
    <w:rsid w:val="00A44994"/>
    <w:rsid w:val="00A44BFF"/>
    <w:rsid w:val="00A45DDC"/>
    <w:rsid w:val="00A46536"/>
    <w:rsid w:val="00A4660F"/>
    <w:rsid w:val="00A47192"/>
    <w:rsid w:val="00A50543"/>
    <w:rsid w:val="00A50ACF"/>
    <w:rsid w:val="00A51279"/>
    <w:rsid w:val="00A51C05"/>
    <w:rsid w:val="00A51CD6"/>
    <w:rsid w:val="00A5229F"/>
    <w:rsid w:val="00A5249C"/>
    <w:rsid w:val="00A52827"/>
    <w:rsid w:val="00A5311B"/>
    <w:rsid w:val="00A54385"/>
    <w:rsid w:val="00A54B74"/>
    <w:rsid w:val="00A55480"/>
    <w:rsid w:val="00A56E19"/>
    <w:rsid w:val="00A572B3"/>
    <w:rsid w:val="00A578C5"/>
    <w:rsid w:val="00A57BA7"/>
    <w:rsid w:val="00A57C2B"/>
    <w:rsid w:val="00A609BA"/>
    <w:rsid w:val="00A60B6B"/>
    <w:rsid w:val="00A60F44"/>
    <w:rsid w:val="00A60FB4"/>
    <w:rsid w:val="00A611FD"/>
    <w:rsid w:val="00A61F6B"/>
    <w:rsid w:val="00A634D7"/>
    <w:rsid w:val="00A64AAD"/>
    <w:rsid w:val="00A64F2A"/>
    <w:rsid w:val="00A671BD"/>
    <w:rsid w:val="00A6736D"/>
    <w:rsid w:val="00A67F43"/>
    <w:rsid w:val="00A700F7"/>
    <w:rsid w:val="00A71B36"/>
    <w:rsid w:val="00A7277F"/>
    <w:rsid w:val="00A738EB"/>
    <w:rsid w:val="00A73BA6"/>
    <w:rsid w:val="00A73E34"/>
    <w:rsid w:val="00A740DC"/>
    <w:rsid w:val="00A74122"/>
    <w:rsid w:val="00A742A3"/>
    <w:rsid w:val="00A74449"/>
    <w:rsid w:val="00A744F4"/>
    <w:rsid w:val="00A74BFB"/>
    <w:rsid w:val="00A74F27"/>
    <w:rsid w:val="00A750B2"/>
    <w:rsid w:val="00A75F19"/>
    <w:rsid w:val="00A7635E"/>
    <w:rsid w:val="00A76D0A"/>
    <w:rsid w:val="00A81CE3"/>
    <w:rsid w:val="00A82355"/>
    <w:rsid w:val="00A8308B"/>
    <w:rsid w:val="00A83C72"/>
    <w:rsid w:val="00A83F3F"/>
    <w:rsid w:val="00A848EC"/>
    <w:rsid w:val="00A84C7F"/>
    <w:rsid w:val="00A85396"/>
    <w:rsid w:val="00A862BF"/>
    <w:rsid w:val="00A8643B"/>
    <w:rsid w:val="00A865FF"/>
    <w:rsid w:val="00A86753"/>
    <w:rsid w:val="00A8760D"/>
    <w:rsid w:val="00A878F2"/>
    <w:rsid w:val="00A878FD"/>
    <w:rsid w:val="00A87BEF"/>
    <w:rsid w:val="00A90890"/>
    <w:rsid w:val="00A9100A"/>
    <w:rsid w:val="00A91328"/>
    <w:rsid w:val="00A94102"/>
    <w:rsid w:val="00A946A0"/>
    <w:rsid w:val="00A94A8A"/>
    <w:rsid w:val="00A94CDB"/>
    <w:rsid w:val="00A9518B"/>
    <w:rsid w:val="00A95695"/>
    <w:rsid w:val="00A96E7F"/>
    <w:rsid w:val="00A979B3"/>
    <w:rsid w:val="00AA238A"/>
    <w:rsid w:val="00AA3442"/>
    <w:rsid w:val="00AA3C1A"/>
    <w:rsid w:val="00AA41E1"/>
    <w:rsid w:val="00AA4B72"/>
    <w:rsid w:val="00AA5A76"/>
    <w:rsid w:val="00AA5DF4"/>
    <w:rsid w:val="00AA6113"/>
    <w:rsid w:val="00AA61A9"/>
    <w:rsid w:val="00AA718A"/>
    <w:rsid w:val="00AA7927"/>
    <w:rsid w:val="00AA7C86"/>
    <w:rsid w:val="00AA7D14"/>
    <w:rsid w:val="00AB1050"/>
    <w:rsid w:val="00AB1B2B"/>
    <w:rsid w:val="00AB1D40"/>
    <w:rsid w:val="00AB35A5"/>
    <w:rsid w:val="00AB4587"/>
    <w:rsid w:val="00AB4AA2"/>
    <w:rsid w:val="00AB4F49"/>
    <w:rsid w:val="00AB71BE"/>
    <w:rsid w:val="00AB7926"/>
    <w:rsid w:val="00AB7AE7"/>
    <w:rsid w:val="00AC0686"/>
    <w:rsid w:val="00AC07C0"/>
    <w:rsid w:val="00AC105C"/>
    <w:rsid w:val="00AC17EE"/>
    <w:rsid w:val="00AC2A2B"/>
    <w:rsid w:val="00AC3392"/>
    <w:rsid w:val="00AC3855"/>
    <w:rsid w:val="00AC5AED"/>
    <w:rsid w:val="00AC5B85"/>
    <w:rsid w:val="00AC5BE9"/>
    <w:rsid w:val="00AC6B0E"/>
    <w:rsid w:val="00AC778A"/>
    <w:rsid w:val="00AC7BC4"/>
    <w:rsid w:val="00AD0911"/>
    <w:rsid w:val="00AD0E3F"/>
    <w:rsid w:val="00AD1C9F"/>
    <w:rsid w:val="00AD22F5"/>
    <w:rsid w:val="00AD2827"/>
    <w:rsid w:val="00AD297C"/>
    <w:rsid w:val="00AD2B4C"/>
    <w:rsid w:val="00AD2F26"/>
    <w:rsid w:val="00AD3A80"/>
    <w:rsid w:val="00AD3C2B"/>
    <w:rsid w:val="00AD4E55"/>
    <w:rsid w:val="00AD52AC"/>
    <w:rsid w:val="00AD53F0"/>
    <w:rsid w:val="00AD5787"/>
    <w:rsid w:val="00AD580C"/>
    <w:rsid w:val="00AD60AB"/>
    <w:rsid w:val="00AD61AE"/>
    <w:rsid w:val="00AD65E4"/>
    <w:rsid w:val="00AD7383"/>
    <w:rsid w:val="00AD76AC"/>
    <w:rsid w:val="00AD7BD9"/>
    <w:rsid w:val="00AE009C"/>
    <w:rsid w:val="00AE06FC"/>
    <w:rsid w:val="00AE1061"/>
    <w:rsid w:val="00AE134B"/>
    <w:rsid w:val="00AE1717"/>
    <w:rsid w:val="00AE19E8"/>
    <w:rsid w:val="00AE21B6"/>
    <w:rsid w:val="00AE5251"/>
    <w:rsid w:val="00AE6184"/>
    <w:rsid w:val="00AE6653"/>
    <w:rsid w:val="00AE6800"/>
    <w:rsid w:val="00AF191D"/>
    <w:rsid w:val="00AF1D3A"/>
    <w:rsid w:val="00AF1EA3"/>
    <w:rsid w:val="00AF240A"/>
    <w:rsid w:val="00AF2448"/>
    <w:rsid w:val="00AF365F"/>
    <w:rsid w:val="00AF3EEC"/>
    <w:rsid w:val="00AF439E"/>
    <w:rsid w:val="00AF5421"/>
    <w:rsid w:val="00AF5A10"/>
    <w:rsid w:val="00AF5F91"/>
    <w:rsid w:val="00AF6570"/>
    <w:rsid w:val="00AF74B9"/>
    <w:rsid w:val="00AF7B62"/>
    <w:rsid w:val="00AF7C09"/>
    <w:rsid w:val="00B00164"/>
    <w:rsid w:val="00B006C1"/>
    <w:rsid w:val="00B009E4"/>
    <w:rsid w:val="00B0148D"/>
    <w:rsid w:val="00B01638"/>
    <w:rsid w:val="00B01A42"/>
    <w:rsid w:val="00B01F73"/>
    <w:rsid w:val="00B02745"/>
    <w:rsid w:val="00B02801"/>
    <w:rsid w:val="00B02A7F"/>
    <w:rsid w:val="00B03355"/>
    <w:rsid w:val="00B03431"/>
    <w:rsid w:val="00B03B07"/>
    <w:rsid w:val="00B04125"/>
    <w:rsid w:val="00B04567"/>
    <w:rsid w:val="00B046F8"/>
    <w:rsid w:val="00B04BFF"/>
    <w:rsid w:val="00B057CB"/>
    <w:rsid w:val="00B06704"/>
    <w:rsid w:val="00B069DC"/>
    <w:rsid w:val="00B07275"/>
    <w:rsid w:val="00B0730C"/>
    <w:rsid w:val="00B1080A"/>
    <w:rsid w:val="00B11439"/>
    <w:rsid w:val="00B12AD8"/>
    <w:rsid w:val="00B12B24"/>
    <w:rsid w:val="00B144AC"/>
    <w:rsid w:val="00B14745"/>
    <w:rsid w:val="00B1596B"/>
    <w:rsid w:val="00B15EF1"/>
    <w:rsid w:val="00B15FF7"/>
    <w:rsid w:val="00B16322"/>
    <w:rsid w:val="00B17704"/>
    <w:rsid w:val="00B17A09"/>
    <w:rsid w:val="00B21981"/>
    <w:rsid w:val="00B21E79"/>
    <w:rsid w:val="00B225A4"/>
    <w:rsid w:val="00B2264E"/>
    <w:rsid w:val="00B22734"/>
    <w:rsid w:val="00B22CAD"/>
    <w:rsid w:val="00B23368"/>
    <w:rsid w:val="00B23442"/>
    <w:rsid w:val="00B23726"/>
    <w:rsid w:val="00B245C5"/>
    <w:rsid w:val="00B24840"/>
    <w:rsid w:val="00B24C9F"/>
    <w:rsid w:val="00B24CB7"/>
    <w:rsid w:val="00B256B5"/>
    <w:rsid w:val="00B25CA4"/>
    <w:rsid w:val="00B26475"/>
    <w:rsid w:val="00B264C5"/>
    <w:rsid w:val="00B27105"/>
    <w:rsid w:val="00B27A3F"/>
    <w:rsid w:val="00B317E0"/>
    <w:rsid w:val="00B31B33"/>
    <w:rsid w:val="00B32A7C"/>
    <w:rsid w:val="00B33526"/>
    <w:rsid w:val="00B335D6"/>
    <w:rsid w:val="00B3470A"/>
    <w:rsid w:val="00B35164"/>
    <w:rsid w:val="00B353F3"/>
    <w:rsid w:val="00B358F2"/>
    <w:rsid w:val="00B360D9"/>
    <w:rsid w:val="00B36446"/>
    <w:rsid w:val="00B3667E"/>
    <w:rsid w:val="00B36A5B"/>
    <w:rsid w:val="00B37053"/>
    <w:rsid w:val="00B37363"/>
    <w:rsid w:val="00B403AD"/>
    <w:rsid w:val="00B406CB"/>
    <w:rsid w:val="00B4079B"/>
    <w:rsid w:val="00B40903"/>
    <w:rsid w:val="00B41148"/>
    <w:rsid w:val="00B419BF"/>
    <w:rsid w:val="00B420AB"/>
    <w:rsid w:val="00B43037"/>
    <w:rsid w:val="00B43196"/>
    <w:rsid w:val="00B438B0"/>
    <w:rsid w:val="00B43B3C"/>
    <w:rsid w:val="00B43D19"/>
    <w:rsid w:val="00B44F17"/>
    <w:rsid w:val="00B451DA"/>
    <w:rsid w:val="00B4581D"/>
    <w:rsid w:val="00B4639E"/>
    <w:rsid w:val="00B46EE5"/>
    <w:rsid w:val="00B502DA"/>
    <w:rsid w:val="00B50337"/>
    <w:rsid w:val="00B518C9"/>
    <w:rsid w:val="00B51C8E"/>
    <w:rsid w:val="00B525BC"/>
    <w:rsid w:val="00B5323C"/>
    <w:rsid w:val="00B538B4"/>
    <w:rsid w:val="00B53BB6"/>
    <w:rsid w:val="00B545D0"/>
    <w:rsid w:val="00B5470F"/>
    <w:rsid w:val="00B55CCE"/>
    <w:rsid w:val="00B565D9"/>
    <w:rsid w:val="00B56C8D"/>
    <w:rsid w:val="00B572F4"/>
    <w:rsid w:val="00B5745D"/>
    <w:rsid w:val="00B575EB"/>
    <w:rsid w:val="00B57A4F"/>
    <w:rsid w:val="00B60ABD"/>
    <w:rsid w:val="00B61227"/>
    <w:rsid w:val="00B61583"/>
    <w:rsid w:val="00B623C7"/>
    <w:rsid w:val="00B62F6D"/>
    <w:rsid w:val="00B634DC"/>
    <w:rsid w:val="00B6365F"/>
    <w:rsid w:val="00B63A3F"/>
    <w:rsid w:val="00B63EC9"/>
    <w:rsid w:val="00B645C7"/>
    <w:rsid w:val="00B64A81"/>
    <w:rsid w:val="00B65586"/>
    <w:rsid w:val="00B656B4"/>
    <w:rsid w:val="00B656E7"/>
    <w:rsid w:val="00B65B77"/>
    <w:rsid w:val="00B66560"/>
    <w:rsid w:val="00B66CC1"/>
    <w:rsid w:val="00B66E09"/>
    <w:rsid w:val="00B67150"/>
    <w:rsid w:val="00B6720F"/>
    <w:rsid w:val="00B67603"/>
    <w:rsid w:val="00B67938"/>
    <w:rsid w:val="00B67B27"/>
    <w:rsid w:val="00B67C3B"/>
    <w:rsid w:val="00B67E85"/>
    <w:rsid w:val="00B7018E"/>
    <w:rsid w:val="00B70448"/>
    <w:rsid w:val="00B70E45"/>
    <w:rsid w:val="00B71F03"/>
    <w:rsid w:val="00B72412"/>
    <w:rsid w:val="00B727B7"/>
    <w:rsid w:val="00B72958"/>
    <w:rsid w:val="00B72CE1"/>
    <w:rsid w:val="00B72D30"/>
    <w:rsid w:val="00B738FE"/>
    <w:rsid w:val="00B741FF"/>
    <w:rsid w:val="00B744A8"/>
    <w:rsid w:val="00B749F4"/>
    <w:rsid w:val="00B7534E"/>
    <w:rsid w:val="00B758DC"/>
    <w:rsid w:val="00B75E93"/>
    <w:rsid w:val="00B76E2D"/>
    <w:rsid w:val="00B771FE"/>
    <w:rsid w:val="00B77439"/>
    <w:rsid w:val="00B77C4C"/>
    <w:rsid w:val="00B8008E"/>
    <w:rsid w:val="00B806EA"/>
    <w:rsid w:val="00B82864"/>
    <w:rsid w:val="00B82A26"/>
    <w:rsid w:val="00B833FE"/>
    <w:rsid w:val="00B835D2"/>
    <w:rsid w:val="00B83CE7"/>
    <w:rsid w:val="00B84666"/>
    <w:rsid w:val="00B861FC"/>
    <w:rsid w:val="00B867E7"/>
    <w:rsid w:val="00B8682C"/>
    <w:rsid w:val="00B917BF"/>
    <w:rsid w:val="00B91F3F"/>
    <w:rsid w:val="00B924EC"/>
    <w:rsid w:val="00B92ADC"/>
    <w:rsid w:val="00B92C85"/>
    <w:rsid w:val="00B92CC9"/>
    <w:rsid w:val="00B92E5F"/>
    <w:rsid w:val="00B933A9"/>
    <w:rsid w:val="00B94174"/>
    <w:rsid w:val="00B94824"/>
    <w:rsid w:val="00B94F5A"/>
    <w:rsid w:val="00B95CD5"/>
    <w:rsid w:val="00BA0380"/>
    <w:rsid w:val="00BA09E3"/>
    <w:rsid w:val="00BA25A7"/>
    <w:rsid w:val="00BA274C"/>
    <w:rsid w:val="00BA2DBB"/>
    <w:rsid w:val="00BA2E75"/>
    <w:rsid w:val="00BA52D1"/>
    <w:rsid w:val="00BA5322"/>
    <w:rsid w:val="00BA58EF"/>
    <w:rsid w:val="00BA5CE0"/>
    <w:rsid w:val="00BA6E87"/>
    <w:rsid w:val="00BB0414"/>
    <w:rsid w:val="00BB04C9"/>
    <w:rsid w:val="00BB0746"/>
    <w:rsid w:val="00BB0922"/>
    <w:rsid w:val="00BB1098"/>
    <w:rsid w:val="00BB1273"/>
    <w:rsid w:val="00BB14CF"/>
    <w:rsid w:val="00BB276C"/>
    <w:rsid w:val="00BB2A84"/>
    <w:rsid w:val="00BB2EC2"/>
    <w:rsid w:val="00BB3466"/>
    <w:rsid w:val="00BB3609"/>
    <w:rsid w:val="00BB390F"/>
    <w:rsid w:val="00BB3B4D"/>
    <w:rsid w:val="00BB3D10"/>
    <w:rsid w:val="00BB4FAE"/>
    <w:rsid w:val="00BB5950"/>
    <w:rsid w:val="00BB60E3"/>
    <w:rsid w:val="00BB6E67"/>
    <w:rsid w:val="00BB7124"/>
    <w:rsid w:val="00BC0629"/>
    <w:rsid w:val="00BC1B49"/>
    <w:rsid w:val="00BC22F4"/>
    <w:rsid w:val="00BC24BB"/>
    <w:rsid w:val="00BC2735"/>
    <w:rsid w:val="00BC3535"/>
    <w:rsid w:val="00BC43A8"/>
    <w:rsid w:val="00BC4E6E"/>
    <w:rsid w:val="00BC5581"/>
    <w:rsid w:val="00BC6BFD"/>
    <w:rsid w:val="00BC7B71"/>
    <w:rsid w:val="00BD003C"/>
    <w:rsid w:val="00BD065F"/>
    <w:rsid w:val="00BD0E70"/>
    <w:rsid w:val="00BD0F57"/>
    <w:rsid w:val="00BD24F5"/>
    <w:rsid w:val="00BD2673"/>
    <w:rsid w:val="00BD4F6E"/>
    <w:rsid w:val="00BD517A"/>
    <w:rsid w:val="00BD53A5"/>
    <w:rsid w:val="00BD5569"/>
    <w:rsid w:val="00BD5577"/>
    <w:rsid w:val="00BE0957"/>
    <w:rsid w:val="00BE1D4C"/>
    <w:rsid w:val="00BE21BE"/>
    <w:rsid w:val="00BE2F81"/>
    <w:rsid w:val="00BE4F56"/>
    <w:rsid w:val="00BE5BCE"/>
    <w:rsid w:val="00BE5DB6"/>
    <w:rsid w:val="00BE6B98"/>
    <w:rsid w:val="00BE6E74"/>
    <w:rsid w:val="00BE7658"/>
    <w:rsid w:val="00BE7C67"/>
    <w:rsid w:val="00BE7D82"/>
    <w:rsid w:val="00BE7EE0"/>
    <w:rsid w:val="00BF0C06"/>
    <w:rsid w:val="00BF1C38"/>
    <w:rsid w:val="00BF244C"/>
    <w:rsid w:val="00BF2BA5"/>
    <w:rsid w:val="00BF2C11"/>
    <w:rsid w:val="00BF3F74"/>
    <w:rsid w:val="00BF4C85"/>
    <w:rsid w:val="00BF4F3C"/>
    <w:rsid w:val="00BF652C"/>
    <w:rsid w:val="00BF6AA5"/>
    <w:rsid w:val="00BF6D63"/>
    <w:rsid w:val="00BF7D2B"/>
    <w:rsid w:val="00C0071D"/>
    <w:rsid w:val="00C010DB"/>
    <w:rsid w:val="00C01E26"/>
    <w:rsid w:val="00C02217"/>
    <w:rsid w:val="00C0246B"/>
    <w:rsid w:val="00C0293A"/>
    <w:rsid w:val="00C03175"/>
    <w:rsid w:val="00C04871"/>
    <w:rsid w:val="00C064CD"/>
    <w:rsid w:val="00C06653"/>
    <w:rsid w:val="00C069EA"/>
    <w:rsid w:val="00C06D37"/>
    <w:rsid w:val="00C06D9B"/>
    <w:rsid w:val="00C076F5"/>
    <w:rsid w:val="00C102DA"/>
    <w:rsid w:val="00C107D8"/>
    <w:rsid w:val="00C10FF6"/>
    <w:rsid w:val="00C11F39"/>
    <w:rsid w:val="00C1211E"/>
    <w:rsid w:val="00C12457"/>
    <w:rsid w:val="00C1317F"/>
    <w:rsid w:val="00C13FA8"/>
    <w:rsid w:val="00C14922"/>
    <w:rsid w:val="00C15A5C"/>
    <w:rsid w:val="00C163E9"/>
    <w:rsid w:val="00C164BB"/>
    <w:rsid w:val="00C23087"/>
    <w:rsid w:val="00C2309E"/>
    <w:rsid w:val="00C23683"/>
    <w:rsid w:val="00C23E86"/>
    <w:rsid w:val="00C24ED8"/>
    <w:rsid w:val="00C25DD9"/>
    <w:rsid w:val="00C26102"/>
    <w:rsid w:val="00C26F4F"/>
    <w:rsid w:val="00C274DC"/>
    <w:rsid w:val="00C301CA"/>
    <w:rsid w:val="00C306D1"/>
    <w:rsid w:val="00C30B32"/>
    <w:rsid w:val="00C3118A"/>
    <w:rsid w:val="00C31B32"/>
    <w:rsid w:val="00C3387A"/>
    <w:rsid w:val="00C3401A"/>
    <w:rsid w:val="00C34890"/>
    <w:rsid w:val="00C3503C"/>
    <w:rsid w:val="00C35148"/>
    <w:rsid w:val="00C36202"/>
    <w:rsid w:val="00C37735"/>
    <w:rsid w:val="00C37D45"/>
    <w:rsid w:val="00C40AC4"/>
    <w:rsid w:val="00C410A3"/>
    <w:rsid w:val="00C413D3"/>
    <w:rsid w:val="00C4247C"/>
    <w:rsid w:val="00C42CF9"/>
    <w:rsid w:val="00C4329E"/>
    <w:rsid w:val="00C43DE4"/>
    <w:rsid w:val="00C446B3"/>
    <w:rsid w:val="00C44E9D"/>
    <w:rsid w:val="00C45C92"/>
    <w:rsid w:val="00C47782"/>
    <w:rsid w:val="00C47C21"/>
    <w:rsid w:val="00C5098E"/>
    <w:rsid w:val="00C50AF1"/>
    <w:rsid w:val="00C52153"/>
    <w:rsid w:val="00C52478"/>
    <w:rsid w:val="00C53490"/>
    <w:rsid w:val="00C54635"/>
    <w:rsid w:val="00C549B0"/>
    <w:rsid w:val="00C5538B"/>
    <w:rsid w:val="00C56020"/>
    <w:rsid w:val="00C56892"/>
    <w:rsid w:val="00C56A89"/>
    <w:rsid w:val="00C57123"/>
    <w:rsid w:val="00C57319"/>
    <w:rsid w:val="00C57644"/>
    <w:rsid w:val="00C6048B"/>
    <w:rsid w:val="00C605CE"/>
    <w:rsid w:val="00C60DCE"/>
    <w:rsid w:val="00C61C97"/>
    <w:rsid w:val="00C61D9F"/>
    <w:rsid w:val="00C62770"/>
    <w:rsid w:val="00C62BBB"/>
    <w:rsid w:val="00C62CA7"/>
    <w:rsid w:val="00C63477"/>
    <w:rsid w:val="00C6378F"/>
    <w:rsid w:val="00C6441A"/>
    <w:rsid w:val="00C64466"/>
    <w:rsid w:val="00C64B08"/>
    <w:rsid w:val="00C66162"/>
    <w:rsid w:val="00C6661C"/>
    <w:rsid w:val="00C67020"/>
    <w:rsid w:val="00C67236"/>
    <w:rsid w:val="00C6734D"/>
    <w:rsid w:val="00C67A2F"/>
    <w:rsid w:val="00C70DFB"/>
    <w:rsid w:val="00C7222E"/>
    <w:rsid w:val="00C7351C"/>
    <w:rsid w:val="00C73ACA"/>
    <w:rsid w:val="00C747BF"/>
    <w:rsid w:val="00C74B65"/>
    <w:rsid w:val="00C767CF"/>
    <w:rsid w:val="00C7734B"/>
    <w:rsid w:val="00C7781C"/>
    <w:rsid w:val="00C77CFA"/>
    <w:rsid w:val="00C80790"/>
    <w:rsid w:val="00C80A83"/>
    <w:rsid w:val="00C80DC9"/>
    <w:rsid w:val="00C81229"/>
    <w:rsid w:val="00C81799"/>
    <w:rsid w:val="00C8193F"/>
    <w:rsid w:val="00C81AE8"/>
    <w:rsid w:val="00C81E4A"/>
    <w:rsid w:val="00C821EB"/>
    <w:rsid w:val="00C82290"/>
    <w:rsid w:val="00C82592"/>
    <w:rsid w:val="00C832C1"/>
    <w:rsid w:val="00C8363D"/>
    <w:rsid w:val="00C8402D"/>
    <w:rsid w:val="00C8554B"/>
    <w:rsid w:val="00C8599B"/>
    <w:rsid w:val="00C8746F"/>
    <w:rsid w:val="00C87545"/>
    <w:rsid w:val="00C91CBC"/>
    <w:rsid w:val="00C9284A"/>
    <w:rsid w:val="00C92AE3"/>
    <w:rsid w:val="00C93363"/>
    <w:rsid w:val="00C93BAA"/>
    <w:rsid w:val="00C95257"/>
    <w:rsid w:val="00C95A2F"/>
    <w:rsid w:val="00C95F03"/>
    <w:rsid w:val="00C96ACA"/>
    <w:rsid w:val="00C96B86"/>
    <w:rsid w:val="00C96D07"/>
    <w:rsid w:val="00C978EB"/>
    <w:rsid w:val="00C97BD9"/>
    <w:rsid w:val="00CA01D8"/>
    <w:rsid w:val="00CA0346"/>
    <w:rsid w:val="00CA043B"/>
    <w:rsid w:val="00CA146E"/>
    <w:rsid w:val="00CA28E0"/>
    <w:rsid w:val="00CA30EE"/>
    <w:rsid w:val="00CA3E84"/>
    <w:rsid w:val="00CA3E8E"/>
    <w:rsid w:val="00CA456B"/>
    <w:rsid w:val="00CA51FC"/>
    <w:rsid w:val="00CA5F9A"/>
    <w:rsid w:val="00CA66BF"/>
    <w:rsid w:val="00CA7BCC"/>
    <w:rsid w:val="00CA7EE3"/>
    <w:rsid w:val="00CB03FE"/>
    <w:rsid w:val="00CB0DA8"/>
    <w:rsid w:val="00CB0EC1"/>
    <w:rsid w:val="00CB145A"/>
    <w:rsid w:val="00CB2724"/>
    <w:rsid w:val="00CB280A"/>
    <w:rsid w:val="00CB2EED"/>
    <w:rsid w:val="00CB393C"/>
    <w:rsid w:val="00CB3D44"/>
    <w:rsid w:val="00CB4248"/>
    <w:rsid w:val="00CB4C50"/>
    <w:rsid w:val="00CB4D24"/>
    <w:rsid w:val="00CB565A"/>
    <w:rsid w:val="00CB590C"/>
    <w:rsid w:val="00CB707A"/>
    <w:rsid w:val="00CC0111"/>
    <w:rsid w:val="00CC0755"/>
    <w:rsid w:val="00CC1772"/>
    <w:rsid w:val="00CC18D4"/>
    <w:rsid w:val="00CC1BDA"/>
    <w:rsid w:val="00CC24F3"/>
    <w:rsid w:val="00CC29A6"/>
    <w:rsid w:val="00CC2C77"/>
    <w:rsid w:val="00CC2F12"/>
    <w:rsid w:val="00CC30F1"/>
    <w:rsid w:val="00CC3216"/>
    <w:rsid w:val="00CC3303"/>
    <w:rsid w:val="00CC405F"/>
    <w:rsid w:val="00CC4085"/>
    <w:rsid w:val="00CC4573"/>
    <w:rsid w:val="00CC5172"/>
    <w:rsid w:val="00CC523A"/>
    <w:rsid w:val="00CC5295"/>
    <w:rsid w:val="00CC5C21"/>
    <w:rsid w:val="00CC5F92"/>
    <w:rsid w:val="00CC62DB"/>
    <w:rsid w:val="00CC69D0"/>
    <w:rsid w:val="00CC6F31"/>
    <w:rsid w:val="00CC7275"/>
    <w:rsid w:val="00CD050F"/>
    <w:rsid w:val="00CD0B52"/>
    <w:rsid w:val="00CD0CC2"/>
    <w:rsid w:val="00CD0EDA"/>
    <w:rsid w:val="00CD1175"/>
    <w:rsid w:val="00CD1C5E"/>
    <w:rsid w:val="00CD25B9"/>
    <w:rsid w:val="00CD2967"/>
    <w:rsid w:val="00CD2BB2"/>
    <w:rsid w:val="00CD3688"/>
    <w:rsid w:val="00CD3897"/>
    <w:rsid w:val="00CD39CF"/>
    <w:rsid w:val="00CD3DB8"/>
    <w:rsid w:val="00CD51EE"/>
    <w:rsid w:val="00CD5286"/>
    <w:rsid w:val="00CD5478"/>
    <w:rsid w:val="00CD5935"/>
    <w:rsid w:val="00CD5BFC"/>
    <w:rsid w:val="00CD6C47"/>
    <w:rsid w:val="00CD72DA"/>
    <w:rsid w:val="00CD7A6F"/>
    <w:rsid w:val="00CD7B8E"/>
    <w:rsid w:val="00CE0CDB"/>
    <w:rsid w:val="00CE121A"/>
    <w:rsid w:val="00CE1579"/>
    <w:rsid w:val="00CE16FA"/>
    <w:rsid w:val="00CE246F"/>
    <w:rsid w:val="00CE28F2"/>
    <w:rsid w:val="00CE2CD3"/>
    <w:rsid w:val="00CE40B0"/>
    <w:rsid w:val="00CE43F2"/>
    <w:rsid w:val="00CE4FB3"/>
    <w:rsid w:val="00CE5390"/>
    <w:rsid w:val="00CE56D8"/>
    <w:rsid w:val="00CE78AE"/>
    <w:rsid w:val="00CF07CB"/>
    <w:rsid w:val="00CF1020"/>
    <w:rsid w:val="00CF1F6B"/>
    <w:rsid w:val="00CF234D"/>
    <w:rsid w:val="00CF3711"/>
    <w:rsid w:val="00CF3840"/>
    <w:rsid w:val="00CF3939"/>
    <w:rsid w:val="00CF3C5F"/>
    <w:rsid w:val="00CF3FEC"/>
    <w:rsid w:val="00CF43B7"/>
    <w:rsid w:val="00CF4702"/>
    <w:rsid w:val="00CF5DCB"/>
    <w:rsid w:val="00CF5ED7"/>
    <w:rsid w:val="00D00F67"/>
    <w:rsid w:val="00D0151F"/>
    <w:rsid w:val="00D02689"/>
    <w:rsid w:val="00D0283D"/>
    <w:rsid w:val="00D03617"/>
    <w:rsid w:val="00D049FF"/>
    <w:rsid w:val="00D04A4A"/>
    <w:rsid w:val="00D04D70"/>
    <w:rsid w:val="00D051F1"/>
    <w:rsid w:val="00D05874"/>
    <w:rsid w:val="00D067B2"/>
    <w:rsid w:val="00D07032"/>
    <w:rsid w:val="00D073E1"/>
    <w:rsid w:val="00D07DF9"/>
    <w:rsid w:val="00D07FDD"/>
    <w:rsid w:val="00D10AAC"/>
    <w:rsid w:val="00D10DBA"/>
    <w:rsid w:val="00D120B0"/>
    <w:rsid w:val="00D1265E"/>
    <w:rsid w:val="00D13A5D"/>
    <w:rsid w:val="00D13FF8"/>
    <w:rsid w:val="00D14716"/>
    <w:rsid w:val="00D14982"/>
    <w:rsid w:val="00D151E0"/>
    <w:rsid w:val="00D153D2"/>
    <w:rsid w:val="00D15E60"/>
    <w:rsid w:val="00D1612C"/>
    <w:rsid w:val="00D17B8A"/>
    <w:rsid w:val="00D17F30"/>
    <w:rsid w:val="00D2108F"/>
    <w:rsid w:val="00D21214"/>
    <w:rsid w:val="00D21E9C"/>
    <w:rsid w:val="00D226C6"/>
    <w:rsid w:val="00D227B3"/>
    <w:rsid w:val="00D23289"/>
    <w:rsid w:val="00D236E7"/>
    <w:rsid w:val="00D24285"/>
    <w:rsid w:val="00D2587B"/>
    <w:rsid w:val="00D26220"/>
    <w:rsid w:val="00D26869"/>
    <w:rsid w:val="00D26C9C"/>
    <w:rsid w:val="00D30D5E"/>
    <w:rsid w:val="00D30E4B"/>
    <w:rsid w:val="00D311E1"/>
    <w:rsid w:val="00D32790"/>
    <w:rsid w:val="00D33D2A"/>
    <w:rsid w:val="00D342F1"/>
    <w:rsid w:val="00D34435"/>
    <w:rsid w:val="00D353E3"/>
    <w:rsid w:val="00D368DF"/>
    <w:rsid w:val="00D36C3C"/>
    <w:rsid w:val="00D37241"/>
    <w:rsid w:val="00D40BF6"/>
    <w:rsid w:val="00D412C6"/>
    <w:rsid w:val="00D4141C"/>
    <w:rsid w:val="00D42352"/>
    <w:rsid w:val="00D42384"/>
    <w:rsid w:val="00D42450"/>
    <w:rsid w:val="00D4275C"/>
    <w:rsid w:val="00D432A3"/>
    <w:rsid w:val="00D44079"/>
    <w:rsid w:val="00D4411F"/>
    <w:rsid w:val="00D4474B"/>
    <w:rsid w:val="00D45823"/>
    <w:rsid w:val="00D46B6A"/>
    <w:rsid w:val="00D471E5"/>
    <w:rsid w:val="00D478B6"/>
    <w:rsid w:val="00D51053"/>
    <w:rsid w:val="00D510C8"/>
    <w:rsid w:val="00D515D1"/>
    <w:rsid w:val="00D5183F"/>
    <w:rsid w:val="00D51AE3"/>
    <w:rsid w:val="00D5265F"/>
    <w:rsid w:val="00D52C9E"/>
    <w:rsid w:val="00D5388A"/>
    <w:rsid w:val="00D54BF2"/>
    <w:rsid w:val="00D54CFE"/>
    <w:rsid w:val="00D55902"/>
    <w:rsid w:val="00D559E8"/>
    <w:rsid w:val="00D562FC"/>
    <w:rsid w:val="00D5639B"/>
    <w:rsid w:val="00D567B3"/>
    <w:rsid w:val="00D56C84"/>
    <w:rsid w:val="00D56F16"/>
    <w:rsid w:val="00D577B4"/>
    <w:rsid w:val="00D57B3B"/>
    <w:rsid w:val="00D605E1"/>
    <w:rsid w:val="00D611C7"/>
    <w:rsid w:val="00D61274"/>
    <w:rsid w:val="00D621FF"/>
    <w:rsid w:val="00D63371"/>
    <w:rsid w:val="00D63589"/>
    <w:rsid w:val="00D63BEB"/>
    <w:rsid w:val="00D63C81"/>
    <w:rsid w:val="00D649A7"/>
    <w:rsid w:val="00D64C08"/>
    <w:rsid w:val="00D66143"/>
    <w:rsid w:val="00D66696"/>
    <w:rsid w:val="00D66A62"/>
    <w:rsid w:val="00D67ABD"/>
    <w:rsid w:val="00D70991"/>
    <w:rsid w:val="00D709C2"/>
    <w:rsid w:val="00D70F81"/>
    <w:rsid w:val="00D72786"/>
    <w:rsid w:val="00D7278D"/>
    <w:rsid w:val="00D73EC8"/>
    <w:rsid w:val="00D75082"/>
    <w:rsid w:val="00D758A1"/>
    <w:rsid w:val="00D75B3E"/>
    <w:rsid w:val="00D80D09"/>
    <w:rsid w:val="00D80E5F"/>
    <w:rsid w:val="00D81BC8"/>
    <w:rsid w:val="00D8289F"/>
    <w:rsid w:val="00D82DEE"/>
    <w:rsid w:val="00D842FD"/>
    <w:rsid w:val="00D8503C"/>
    <w:rsid w:val="00D85CF4"/>
    <w:rsid w:val="00D85FEE"/>
    <w:rsid w:val="00D866EC"/>
    <w:rsid w:val="00D86D3A"/>
    <w:rsid w:val="00D86D62"/>
    <w:rsid w:val="00D87CEC"/>
    <w:rsid w:val="00D903B5"/>
    <w:rsid w:val="00D904E5"/>
    <w:rsid w:val="00D90CEC"/>
    <w:rsid w:val="00D92063"/>
    <w:rsid w:val="00D92D51"/>
    <w:rsid w:val="00D93391"/>
    <w:rsid w:val="00D93921"/>
    <w:rsid w:val="00D94C73"/>
    <w:rsid w:val="00D951CB"/>
    <w:rsid w:val="00D9546B"/>
    <w:rsid w:val="00D95DD3"/>
    <w:rsid w:val="00D96BD1"/>
    <w:rsid w:val="00D96CCC"/>
    <w:rsid w:val="00D979FB"/>
    <w:rsid w:val="00D97C33"/>
    <w:rsid w:val="00DA0A26"/>
    <w:rsid w:val="00DA0A3E"/>
    <w:rsid w:val="00DA0C23"/>
    <w:rsid w:val="00DA0FB3"/>
    <w:rsid w:val="00DA2AB3"/>
    <w:rsid w:val="00DA2E89"/>
    <w:rsid w:val="00DA3D12"/>
    <w:rsid w:val="00DA3E05"/>
    <w:rsid w:val="00DA494B"/>
    <w:rsid w:val="00DA4B38"/>
    <w:rsid w:val="00DA4F6D"/>
    <w:rsid w:val="00DA575B"/>
    <w:rsid w:val="00DA5F82"/>
    <w:rsid w:val="00DA6636"/>
    <w:rsid w:val="00DA71AF"/>
    <w:rsid w:val="00DA7843"/>
    <w:rsid w:val="00DB128F"/>
    <w:rsid w:val="00DB1648"/>
    <w:rsid w:val="00DB1CDB"/>
    <w:rsid w:val="00DB21C9"/>
    <w:rsid w:val="00DB2B89"/>
    <w:rsid w:val="00DB31B6"/>
    <w:rsid w:val="00DB36C3"/>
    <w:rsid w:val="00DB4269"/>
    <w:rsid w:val="00DB48CD"/>
    <w:rsid w:val="00DB52B7"/>
    <w:rsid w:val="00DB5C2C"/>
    <w:rsid w:val="00DB5E7C"/>
    <w:rsid w:val="00DB5F82"/>
    <w:rsid w:val="00DB756B"/>
    <w:rsid w:val="00DC0C4C"/>
    <w:rsid w:val="00DC0F89"/>
    <w:rsid w:val="00DC1CD9"/>
    <w:rsid w:val="00DC1EE8"/>
    <w:rsid w:val="00DC2E59"/>
    <w:rsid w:val="00DC3834"/>
    <w:rsid w:val="00DC475B"/>
    <w:rsid w:val="00DC5080"/>
    <w:rsid w:val="00DC56F1"/>
    <w:rsid w:val="00DC576A"/>
    <w:rsid w:val="00DC5D54"/>
    <w:rsid w:val="00DC60A9"/>
    <w:rsid w:val="00DC652D"/>
    <w:rsid w:val="00DC6D5A"/>
    <w:rsid w:val="00DC7716"/>
    <w:rsid w:val="00DC78CC"/>
    <w:rsid w:val="00DD03D3"/>
    <w:rsid w:val="00DD078A"/>
    <w:rsid w:val="00DD082F"/>
    <w:rsid w:val="00DD098B"/>
    <w:rsid w:val="00DD0C8D"/>
    <w:rsid w:val="00DD1215"/>
    <w:rsid w:val="00DD1381"/>
    <w:rsid w:val="00DD2073"/>
    <w:rsid w:val="00DD21F2"/>
    <w:rsid w:val="00DD2D7E"/>
    <w:rsid w:val="00DD37D3"/>
    <w:rsid w:val="00DD383E"/>
    <w:rsid w:val="00DD446E"/>
    <w:rsid w:val="00DD4D18"/>
    <w:rsid w:val="00DD50F0"/>
    <w:rsid w:val="00DD5668"/>
    <w:rsid w:val="00DD5AAB"/>
    <w:rsid w:val="00DD6FBA"/>
    <w:rsid w:val="00DD796F"/>
    <w:rsid w:val="00DD79EF"/>
    <w:rsid w:val="00DE148E"/>
    <w:rsid w:val="00DE24A2"/>
    <w:rsid w:val="00DE2C42"/>
    <w:rsid w:val="00DE3173"/>
    <w:rsid w:val="00DE3319"/>
    <w:rsid w:val="00DE3ABD"/>
    <w:rsid w:val="00DE3BF6"/>
    <w:rsid w:val="00DE4CDA"/>
    <w:rsid w:val="00DE5700"/>
    <w:rsid w:val="00DE5B84"/>
    <w:rsid w:val="00DE60B1"/>
    <w:rsid w:val="00DE6308"/>
    <w:rsid w:val="00DE7170"/>
    <w:rsid w:val="00DF039B"/>
    <w:rsid w:val="00DF2090"/>
    <w:rsid w:val="00DF293F"/>
    <w:rsid w:val="00DF4B27"/>
    <w:rsid w:val="00DF6179"/>
    <w:rsid w:val="00DF7477"/>
    <w:rsid w:val="00DF767A"/>
    <w:rsid w:val="00DF7C3A"/>
    <w:rsid w:val="00E007C4"/>
    <w:rsid w:val="00E00C88"/>
    <w:rsid w:val="00E01A78"/>
    <w:rsid w:val="00E01B01"/>
    <w:rsid w:val="00E02BEB"/>
    <w:rsid w:val="00E02C5B"/>
    <w:rsid w:val="00E02E59"/>
    <w:rsid w:val="00E03052"/>
    <w:rsid w:val="00E0306C"/>
    <w:rsid w:val="00E0339F"/>
    <w:rsid w:val="00E03A9B"/>
    <w:rsid w:val="00E05486"/>
    <w:rsid w:val="00E055DF"/>
    <w:rsid w:val="00E05624"/>
    <w:rsid w:val="00E05863"/>
    <w:rsid w:val="00E06BFE"/>
    <w:rsid w:val="00E0729C"/>
    <w:rsid w:val="00E102A4"/>
    <w:rsid w:val="00E102DA"/>
    <w:rsid w:val="00E1054D"/>
    <w:rsid w:val="00E10697"/>
    <w:rsid w:val="00E107E0"/>
    <w:rsid w:val="00E10E0C"/>
    <w:rsid w:val="00E11376"/>
    <w:rsid w:val="00E12085"/>
    <w:rsid w:val="00E12340"/>
    <w:rsid w:val="00E13021"/>
    <w:rsid w:val="00E13AC7"/>
    <w:rsid w:val="00E13B60"/>
    <w:rsid w:val="00E14685"/>
    <w:rsid w:val="00E14E19"/>
    <w:rsid w:val="00E15F2F"/>
    <w:rsid w:val="00E161ED"/>
    <w:rsid w:val="00E16366"/>
    <w:rsid w:val="00E1666F"/>
    <w:rsid w:val="00E16CE1"/>
    <w:rsid w:val="00E1756D"/>
    <w:rsid w:val="00E1798C"/>
    <w:rsid w:val="00E20538"/>
    <w:rsid w:val="00E20FAF"/>
    <w:rsid w:val="00E225BC"/>
    <w:rsid w:val="00E23107"/>
    <w:rsid w:val="00E23B0C"/>
    <w:rsid w:val="00E23EDD"/>
    <w:rsid w:val="00E240AB"/>
    <w:rsid w:val="00E240AC"/>
    <w:rsid w:val="00E25115"/>
    <w:rsid w:val="00E25A4D"/>
    <w:rsid w:val="00E2645F"/>
    <w:rsid w:val="00E2677B"/>
    <w:rsid w:val="00E269D0"/>
    <w:rsid w:val="00E26D0D"/>
    <w:rsid w:val="00E2707D"/>
    <w:rsid w:val="00E273E8"/>
    <w:rsid w:val="00E27457"/>
    <w:rsid w:val="00E27E91"/>
    <w:rsid w:val="00E301BC"/>
    <w:rsid w:val="00E3070E"/>
    <w:rsid w:val="00E31988"/>
    <w:rsid w:val="00E32C9F"/>
    <w:rsid w:val="00E32FE7"/>
    <w:rsid w:val="00E34048"/>
    <w:rsid w:val="00E3485B"/>
    <w:rsid w:val="00E34E46"/>
    <w:rsid w:val="00E35E11"/>
    <w:rsid w:val="00E409C3"/>
    <w:rsid w:val="00E41ABF"/>
    <w:rsid w:val="00E42107"/>
    <w:rsid w:val="00E4266D"/>
    <w:rsid w:val="00E42737"/>
    <w:rsid w:val="00E44586"/>
    <w:rsid w:val="00E4467D"/>
    <w:rsid w:val="00E44A22"/>
    <w:rsid w:val="00E44FDD"/>
    <w:rsid w:val="00E45296"/>
    <w:rsid w:val="00E45401"/>
    <w:rsid w:val="00E45501"/>
    <w:rsid w:val="00E46728"/>
    <w:rsid w:val="00E46D63"/>
    <w:rsid w:val="00E501DB"/>
    <w:rsid w:val="00E50349"/>
    <w:rsid w:val="00E50379"/>
    <w:rsid w:val="00E50793"/>
    <w:rsid w:val="00E507F8"/>
    <w:rsid w:val="00E5237C"/>
    <w:rsid w:val="00E5237E"/>
    <w:rsid w:val="00E52EB0"/>
    <w:rsid w:val="00E54AF3"/>
    <w:rsid w:val="00E54F41"/>
    <w:rsid w:val="00E55779"/>
    <w:rsid w:val="00E558A1"/>
    <w:rsid w:val="00E56C35"/>
    <w:rsid w:val="00E56EDD"/>
    <w:rsid w:val="00E6010F"/>
    <w:rsid w:val="00E61095"/>
    <w:rsid w:val="00E61162"/>
    <w:rsid w:val="00E613BC"/>
    <w:rsid w:val="00E61884"/>
    <w:rsid w:val="00E61B94"/>
    <w:rsid w:val="00E62FF0"/>
    <w:rsid w:val="00E6306E"/>
    <w:rsid w:val="00E632C4"/>
    <w:rsid w:val="00E638F2"/>
    <w:rsid w:val="00E63DC5"/>
    <w:rsid w:val="00E64382"/>
    <w:rsid w:val="00E65510"/>
    <w:rsid w:val="00E65581"/>
    <w:rsid w:val="00E65C83"/>
    <w:rsid w:val="00E66352"/>
    <w:rsid w:val="00E668F5"/>
    <w:rsid w:val="00E67422"/>
    <w:rsid w:val="00E67A95"/>
    <w:rsid w:val="00E67EB1"/>
    <w:rsid w:val="00E70CF1"/>
    <w:rsid w:val="00E70D1B"/>
    <w:rsid w:val="00E7158A"/>
    <w:rsid w:val="00E71AFE"/>
    <w:rsid w:val="00E72DC8"/>
    <w:rsid w:val="00E72F62"/>
    <w:rsid w:val="00E73EBD"/>
    <w:rsid w:val="00E73F26"/>
    <w:rsid w:val="00E7420C"/>
    <w:rsid w:val="00E74857"/>
    <w:rsid w:val="00E760DA"/>
    <w:rsid w:val="00E76317"/>
    <w:rsid w:val="00E777EE"/>
    <w:rsid w:val="00E80465"/>
    <w:rsid w:val="00E807E4"/>
    <w:rsid w:val="00E80F4E"/>
    <w:rsid w:val="00E8101E"/>
    <w:rsid w:val="00E814C4"/>
    <w:rsid w:val="00E81A71"/>
    <w:rsid w:val="00E829FD"/>
    <w:rsid w:val="00E82D9C"/>
    <w:rsid w:val="00E83761"/>
    <w:rsid w:val="00E83776"/>
    <w:rsid w:val="00E8383F"/>
    <w:rsid w:val="00E83BBD"/>
    <w:rsid w:val="00E8541D"/>
    <w:rsid w:val="00E86344"/>
    <w:rsid w:val="00E863CF"/>
    <w:rsid w:val="00E8761A"/>
    <w:rsid w:val="00E87BEB"/>
    <w:rsid w:val="00E90C8F"/>
    <w:rsid w:val="00E91AF2"/>
    <w:rsid w:val="00E922C8"/>
    <w:rsid w:val="00E9295C"/>
    <w:rsid w:val="00E92E56"/>
    <w:rsid w:val="00E93086"/>
    <w:rsid w:val="00E939EF"/>
    <w:rsid w:val="00E93E86"/>
    <w:rsid w:val="00E95A3F"/>
    <w:rsid w:val="00E9635D"/>
    <w:rsid w:val="00E963C8"/>
    <w:rsid w:val="00E96591"/>
    <w:rsid w:val="00E96CD6"/>
    <w:rsid w:val="00E97083"/>
    <w:rsid w:val="00E97EBA"/>
    <w:rsid w:val="00EA0CBC"/>
    <w:rsid w:val="00EA0FF5"/>
    <w:rsid w:val="00EA17C2"/>
    <w:rsid w:val="00EA19E1"/>
    <w:rsid w:val="00EA1A74"/>
    <w:rsid w:val="00EA20D0"/>
    <w:rsid w:val="00EA39F6"/>
    <w:rsid w:val="00EA3ABD"/>
    <w:rsid w:val="00EA3F2C"/>
    <w:rsid w:val="00EA5424"/>
    <w:rsid w:val="00EA54AB"/>
    <w:rsid w:val="00EA54E5"/>
    <w:rsid w:val="00EA5DEE"/>
    <w:rsid w:val="00EA6CB2"/>
    <w:rsid w:val="00EB11AA"/>
    <w:rsid w:val="00EB3480"/>
    <w:rsid w:val="00EB3902"/>
    <w:rsid w:val="00EB3968"/>
    <w:rsid w:val="00EB3B52"/>
    <w:rsid w:val="00EB4F04"/>
    <w:rsid w:val="00EB5595"/>
    <w:rsid w:val="00EB575C"/>
    <w:rsid w:val="00EB5983"/>
    <w:rsid w:val="00EB6547"/>
    <w:rsid w:val="00EB7149"/>
    <w:rsid w:val="00EB779C"/>
    <w:rsid w:val="00EB7B32"/>
    <w:rsid w:val="00EB7E11"/>
    <w:rsid w:val="00EC1259"/>
    <w:rsid w:val="00EC3162"/>
    <w:rsid w:val="00EC4819"/>
    <w:rsid w:val="00EC5396"/>
    <w:rsid w:val="00EC5E7B"/>
    <w:rsid w:val="00EC6093"/>
    <w:rsid w:val="00EC60C5"/>
    <w:rsid w:val="00EC6604"/>
    <w:rsid w:val="00EC6BFD"/>
    <w:rsid w:val="00EC6CCE"/>
    <w:rsid w:val="00EC7252"/>
    <w:rsid w:val="00EC7581"/>
    <w:rsid w:val="00ED1858"/>
    <w:rsid w:val="00ED3D82"/>
    <w:rsid w:val="00ED410B"/>
    <w:rsid w:val="00ED574F"/>
    <w:rsid w:val="00ED6106"/>
    <w:rsid w:val="00ED61E9"/>
    <w:rsid w:val="00ED7065"/>
    <w:rsid w:val="00ED72D7"/>
    <w:rsid w:val="00ED79D8"/>
    <w:rsid w:val="00EE03F7"/>
    <w:rsid w:val="00EE0904"/>
    <w:rsid w:val="00EE0F22"/>
    <w:rsid w:val="00EE17FC"/>
    <w:rsid w:val="00EE18F8"/>
    <w:rsid w:val="00EE1F96"/>
    <w:rsid w:val="00EE2098"/>
    <w:rsid w:val="00EE2DB0"/>
    <w:rsid w:val="00EE3CAD"/>
    <w:rsid w:val="00EE45A9"/>
    <w:rsid w:val="00EE570B"/>
    <w:rsid w:val="00EE601E"/>
    <w:rsid w:val="00EE6D6D"/>
    <w:rsid w:val="00EE6EE1"/>
    <w:rsid w:val="00EE729E"/>
    <w:rsid w:val="00EE73E9"/>
    <w:rsid w:val="00EF07AA"/>
    <w:rsid w:val="00EF19F1"/>
    <w:rsid w:val="00EF23BC"/>
    <w:rsid w:val="00EF31DA"/>
    <w:rsid w:val="00EF33F8"/>
    <w:rsid w:val="00EF485F"/>
    <w:rsid w:val="00EF616B"/>
    <w:rsid w:val="00EF64B0"/>
    <w:rsid w:val="00EF6DB2"/>
    <w:rsid w:val="00EF74A5"/>
    <w:rsid w:val="00EF7C25"/>
    <w:rsid w:val="00F00077"/>
    <w:rsid w:val="00F00CB9"/>
    <w:rsid w:val="00F00E40"/>
    <w:rsid w:val="00F01736"/>
    <w:rsid w:val="00F01C4C"/>
    <w:rsid w:val="00F01FE3"/>
    <w:rsid w:val="00F020D1"/>
    <w:rsid w:val="00F02D11"/>
    <w:rsid w:val="00F03019"/>
    <w:rsid w:val="00F0306D"/>
    <w:rsid w:val="00F037BA"/>
    <w:rsid w:val="00F0415C"/>
    <w:rsid w:val="00F04B81"/>
    <w:rsid w:val="00F04C7B"/>
    <w:rsid w:val="00F051C7"/>
    <w:rsid w:val="00F05B92"/>
    <w:rsid w:val="00F05DD4"/>
    <w:rsid w:val="00F063A3"/>
    <w:rsid w:val="00F06809"/>
    <w:rsid w:val="00F10B38"/>
    <w:rsid w:val="00F119F1"/>
    <w:rsid w:val="00F125BA"/>
    <w:rsid w:val="00F12C6D"/>
    <w:rsid w:val="00F12CE7"/>
    <w:rsid w:val="00F13458"/>
    <w:rsid w:val="00F1363D"/>
    <w:rsid w:val="00F13710"/>
    <w:rsid w:val="00F13BD6"/>
    <w:rsid w:val="00F13C4A"/>
    <w:rsid w:val="00F143EE"/>
    <w:rsid w:val="00F14418"/>
    <w:rsid w:val="00F148D1"/>
    <w:rsid w:val="00F14FB9"/>
    <w:rsid w:val="00F1531B"/>
    <w:rsid w:val="00F1643A"/>
    <w:rsid w:val="00F17E21"/>
    <w:rsid w:val="00F17E74"/>
    <w:rsid w:val="00F201B0"/>
    <w:rsid w:val="00F20537"/>
    <w:rsid w:val="00F207B9"/>
    <w:rsid w:val="00F21B7D"/>
    <w:rsid w:val="00F22077"/>
    <w:rsid w:val="00F221C6"/>
    <w:rsid w:val="00F2294E"/>
    <w:rsid w:val="00F23464"/>
    <w:rsid w:val="00F238AE"/>
    <w:rsid w:val="00F24116"/>
    <w:rsid w:val="00F24DA7"/>
    <w:rsid w:val="00F2510C"/>
    <w:rsid w:val="00F275ED"/>
    <w:rsid w:val="00F27A3B"/>
    <w:rsid w:val="00F27D33"/>
    <w:rsid w:val="00F30695"/>
    <w:rsid w:val="00F3069E"/>
    <w:rsid w:val="00F319D3"/>
    <w:rsid w:val="00F325E6"/>
    <w:rsid w:val="00F32FD6"/>
    <w:rsid w:val="00F337AD"/>
    <w:rsid w:val="00F33A44"/>
    <w:rsid w:val="00F351D5"/>
    <w:rsid w:val="00F35579"/>
    <w:rsid w:val="00F35F38"/>
    <w:rsid w:val="00F40645"/>
    <w:rsid w:val="00F40C3D"/>
    <w:rsid w:val="00F41286"/>
    <w:rsid w:val="00F4128C"/>
    <w:rsid w:val="00F41307"/>
    <w:rsid w:val="00F41543"/>
    <w:rsid w:val="00F416D8"/>
    <w:rsid w:val="00F4194F"/>
    <w:rsid w:val="00F421C9"/>
    <w:rsid w:val="00F423D3"/>
    <w:rsid w:val="00F424B3"/>
    <w:rsid w:val="00F42723"/>
    <w:rsid w:val="00F439AF"/>
    <w:rsid w:val="00F46167"/>
    <w:rsid w:val="00F4676A"/>
    <w:rsid w:val="00F4698B"/>
    <w:rsid w:val="00F477B0"/>
    <w:rsid w:val="00F47F81"/>
    <w:rsid w:val="00F501F4"/>
    <w:rsid w:val="00F505BD"/>
    <w:rsid w:val="00F514B1"/>
    <w:rsid w:val="00F51AE2"/>
    <w:rsid w:val="00F51BE8"/>
    <w:rsid w:val="00F52801"/>
    <w:rsid w:val="00F5284C"/>
    <w:rsid w:val="00F53ACA"/>
    <w:rsid w:val="00F53D1B"/>
    <w:rsid w:val="00F5414B"/>
    <w:rsid w:val="00F543B0"/>
    <w:rsid w:val="00F54510"/>
    <w:rsid w:val="00F5507A"/>
    <w:rsid w:val="00F55EEB"/>
    <w:rsid w:val="00F56027"/>
    <w:rsid w:val="00F566CD"/>
    <w:rsid w:val="00F56D69"/>
    <w:rsid w:val="00F57682"/>
    <w:rsid w:val="00F60D13"/>
    <w:rsid w:val="00F60D27"/>
    <w:rsid w:val="00F60F70"/>
    <w:rsid w:val="00F61D20"/>
    <w:rsid w:val="00F62524"/>
    <w:rsid w:val="00F62E0A"/>
    <w:rsid w:val="00F62E63"/>
    <w:rsid w:val="00F62EB6"/>
    <w:rsid w:val="00F64453"/>
    <w:rsid w:val="00F6463A"/>
    <w:rsid w:val="00F648B5"/>
    <w:rsid w:val="00F64A90"/>
    <w:rsid w:val="00F65E21"/>
    <w:rsid w:val="00F66633"/>
    <w:rsid w:val="00F66ED5"/>
    <w:rsid w:val="00F7015C"/>
    <w:rsid w:val="00F70A1F"/>
    <w:rsid w:val="00F71264"/>
    <w:rsid w:val="00F71327"/>
    <w:rsid w:val="00F719E1"/>
    <w:rsid w:val="00F71D4F"/>
    <w:rsid w:val="00F735D6"/>
    <w:rsid w:val="00F742FA"/>
    <w:rsid w:val="00F7472A"/>
    <w:rsid w:val="00F751CC"/>
    <w:rsid w:val="00F753E8"/>
    <w:rsid w:val="00F75B8B"/>
    <w:rsid w:val="00F766CD"/>
    <w:rsid w:val="00F76CED"/>
    <w:rsid w:val="00F77811"/>
    <w:rsid w:val="00F77FC8"/>
    <w:rsid w:val="00F807D1"/>
    <w:rsid w:val="00F8097B"/>
    <w:rsid w:val="00F80E98"/>
    <w:rsid w:val="00F81148"/>
    <w:rsid w:val="00F81948"/>
    <w:rsid w:val="00F82904"/>
    <w:rsid w:val="00F83B5B"/>
    <w:rsid w:val="00F840D7"/>
    <w:rsid w:val="00F8449B"/>
    <w:rsid w:val="00F84C04"/>
    <w:rsid w:val="00F85219"/>
    <w:rsid w:val="00F85C88"/>
    <w:rsid w:val="00F86523"/>
    <w:rsid w:val="00F87050"/>
    <w:rsid w:val="00F87A5B"/>
    <w:rsid w:val="00F9106F"/>
    <w:rsid w:val="00F91DA8"/>
    <w:rsid w:val="00F92A84"/>
    <w:rsid w:val="00F9353A"/>
    <w:rsid w:val="00F94B6F"/>
    <w:rsid w:val="00F95235"/>
    <w:rsid w:val="00F958DA"/>
    <w:rsid w:val="00F95BAD"/>
    <w:rsid w:val="00FA02B5"/>
    <w:rsid w:val="00FA05A9"/>
    <w:rsid w:val="00FA16BF"/>
    <w:rsid w:val="00FA1DD0"/>
    <w:rsid w:val="00FA20C1"/>
    <w:rsid w:val="00FA20E7"/>
    <w:rsid w:val="00FA22D4"/>
    <w:rsid w:val="00FA2508"/>
    <w:rsid w:val="00FA36A1"/>
    <w:rsid w:val="00FA38FB"/>
    <w:rsid w:val="00FA3DB8"/>
    <w:rsid w:val="00FA44AA"/>
    <w:rsid w:val="00FA54E6"/>
    <w:rsid w:val="00FA5610"/>
    <w:rsid w:val="00FA63FD"/>
    <w:rsid w:val="00FA6749"/>
    <w:rsid w:val="00FA7484"/>
    <w:rsid w:val="00FA749E"/>
    <w:rsid w:val="00FA7634"/>
    <w:rsid w:val="00FA7680"/>
    <w:rsid w:val="00FB0828"/>
    <w:rsid w:val="00FB09D3"/>
    <w:rsid w:val="00FB0A8B"/>
    <w:rsid w:val="00FB131E"/>
    <w:rsid w:val="00FB15AA"/>
    <w:rsid w:val="00FB1802"/>
    <w:rsid w:val="00FB2ED3"/>
    <w:rsid w:val="00FB33FF"/>
    <w:rsid w:val="00FB3405"/>
    <w:rsid w:val="00FB3840"/>
    <w:rsid w:val="00FB38F9"/>
    <w:rsid w:val="00FB4215"/>
    <w:rsid w:val="00FB46ED"/>
    <w:rsid w:val="00FB471D"/>
    <w:rsid w:val="00FB48BB"/>
    <w:rsid w:val="00FB4D60"/>
    <w:rsid w:val="00FB4DFC"/>
    <w:rsid w:val="00FB4E9A"/>
    <w:rsid w:val="00FB5000"/>
    <w:rsid w:val="00FB5B27"/>
    <w:rsid w:val="00FB642B"/>
    <w:rsid w:val="00FB675E"/>
    <w:rsid w:val="00FB6CC6"/>
    <w:rsid w:val="00FB77A2"/>
    <w:rsid w:val="00FC11FC"/>
    <w:rsid w:val="00FC1353"/>
    <w:rsid w:val="00FC25B4"/>
    <w:rsid w:val="00FC25C7"/>
    <w:rsid w:val="00FC2752"/>
    <w:rsid w:val="00FC2B73"/>
    <w:rsid w:val="00FC2D2F"/>
    <w:rsid w:val="00FC3EBB"/>
    <w:rsid w:val="00FC47EE"/>
    <w:rsid w:val="00FC5174"/>
    <w:rsid w:val="00FC52FB"/>
    <w:rsid w:val="00FC5C9F"/>
    <w:rsid w:val="00FC5E75"/>
    <w:rsid w:val="00FC63C1"/>
    <w:rsid w:val="00FC6A1A"/>
    <w:rsid w:val="00FC6C6C"/>
    <w:rsid w:val="00FC6F35"/>
    <w:rsid w:val="00FC70B7"/>
    <w:rsid w:val="00FC7F67"/>
    <w:rsid w:val="00FD0519"/>
    <w:rsid w:val="00FD08B5"/>
    <w:rsid w:val="00FD09F7"/>
    <w:rsid w:val="00FD1CB2"/>
    <w:rsid w:val="00FD2254"/>
    <w:rsid w:val="00FD235A"/>
    <w:rsid w:val="00FD2422"/>
    <w:rsid w:val="00FD508C"/>
    <w:rsid w:val="00FD55AC"/>
    <w:rsid w:val="00FD5C2A"/>
    <w:rsid w:val="00FD6CDB"/>
    <w:rsid w:val="00FE0019"/>
    <w:rsid w:val="00FE021C"/>
    <w:rsid w:val="00FE06A1"/>
    <w:rsid w:val="00FE092D"/>
    <w:rsid w:val="00FE0951"/>
    <w:rsid w:val="00FE09FD"/>
    <w:rsid w:val="00FE0A96"/>
    <w:rsid w:val="00FE1506"/>
    <w:rsid w:val="00FE1570"/>
    <w:rsid w:val="00FE269E"/>
    <w:rsid w:val="00FE2728"/>
    <w:rsid w:val="00FE34CB"/>
    <w:rsid w:val="00FE35DA"/>
    <w:rsid w:val="00FE4796"/>
    <w:rsid w:val="00FE48AF"/>
    <w:rsid w:val="00FE50AF"/>
    <w:rsid w:val="00FE5144"/>
    <w:rsid w:val="00FE5E9B"/>
    <w:rsid w:val="00FE610F"/>
    <w:rsid w:val="00FE66FB"/>
    <w:rsid w:val="00FE67B5"/>
    <w:rsid w:val="00FE73CD"/>
    <w:rsid w:val="00FE7D9F"/>
    <w:rsid w:val="00FF0534"/>
    <w:rsid w:val="00FF0B4F"/>
    <w:rsid w:val="00FF1B22"/>
    <w:rsid w:val="00FF1D5A"/>
    <w:rsid w:val="00FF20DE"/>
    <w:rsid w:val="00FF2662"/>
    <w:rsid w:val="00FF3786"/>
    <w:rsid w:val="00FF3CC9"/>
    <w:rsid w:val="00FF53E7"/>
    <w:rsid w:val="00FF5B8F"/>
    <w:rsid w:val="00FF5D6B"/>
    <w:rsid w:val="00FF61D2"/>
    <w:rsid w:val="00FF67CA"/>
    <w:rsid w:val="00FF6CC5"/>
    <w:rsid w:val="00FF6EB7"/>
    <w:rsid w:val="00FF70FB"/>
    <w:rsid w:val="00FF7A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AC7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libri" w:hAnsi="Cambria"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322"/>
    <w:pPr>
      <w:spacing w:before="120" w:line="276" w:lineRule="auto"/>
    </w:pPr>
    <w:rPr>
      <w:rFonts w:ascii="Calibri" w:hAnsi="Calibri"/>
      <w:sz w:val="24"/>
      <w:szCs w:val="24"/>
      <w:lang w:eastAsia="en-US"/>
    </w:rPr>
  </w:style>
  <w:style w:type="paragraph" w:styleId="Heading1">
    <w:name w:val="heading 1"/>
    <w:next w:val="BodyText"/>
    <w:link w:val="Heading1Char"/>
    <w:uiPriority w:val="9"/>
    <w:qFormat/>
    <w:rsid w:val="00C23683"/>
    <w:pPr>
      <w:pageBreakBefore/>
      <w:numPr>
        <w:numId w:val="9"/>
      </w:numPr>
      <w:spacing w:before="200" w:after="240"/>
      <w:jc w:val="both"/>
      <w:outlineLvl w:val="0"/>
    </w:pPr>
    <w:rPr>
      <w:rFonts w:asciiTheme="minorHAnsi" w:eastAsia="Times New Roman" w:hAnsiTheme="minorHAnsi"/>
      <w:b/>
      <w:color w:val="4F81BD"/>
      <w:sz w:val="40"/>
      <w:szCs w:val="32"/>
      <w:lang w:eastAsia="en-US"/>
    </w:rPr>
  </w:style>
  <w:style w:type="paragraph" w:styleId="Heading2">
    <w:name w:val="heading 2"/>
    <w:next w:val="Normal"/>
    <w:link w:val="Heading2Char"/>
    <w:uiPriority w:val="9"/>
    <w:unhideWhenUsed/>
    <w:qFormat/>
    <w:rsid w:val="00C23683"/>
    <w:pPr>
      <w:keepNext/>
      <w:numPr>
        <w:ilvl w:val="1"/>
        <w:numId w:val="9"/>
      </w:numPr>
      <w:spacing w:before="200" w:after="240"/>
      <w:jc w:val="both"/>
      <w:outlineLvl w:val="1"/>
    </w:pPr>
    <w:rPr>
      <w:rFonts w:asciiTheme="minorHAnsi" w:eastAsia="Times New Roman" w:hAnsiTheme="minorHAnsi"/>
      <w:b/>
      <w:color w:val="4F81BD"/>
      <w:sz w:val="32"/>
      <w:szCs w:val="26"/>
      <w:lang w:eastAsia="en-US"/>
    </w:rPr>
  </w:style>
  <w:style w:type="paragraph" w:styleId="Heading3">
    <w:name w:val="heading 3"/>
    <w:next w:val="BodyText"/>
    <w:link w:val="Heading3Char"/>
    <w:uiPriority w:val="9"/>
    <w:unhideWhenUsed/>
    <w:qFormat/>
    <w:rsid w:val="00522F52"/>
    <w:pPr>
      <w:keepNext/>
      <w:numPr>
        <w:ilvl w:val="2"/>
        <w:numId w:val="9"/>
      </w:numPr>
      <w:spacing w:after="200"/>
      <w:jc w:val="both"/>
      <w:outlineLvl w:val="2"/>
    </w:pPr>
    <w:rPr>
      <w:rFonts w:asciiTheme="minorHAnsi" w:eastAsia="Times New Roman" w:hAnsiTheme="minorHAnsi"/>
      <w:b/>
      <w:i/>
      <w:sz w:val="30"/>
      <w:szCs w:val="24"/>
      <w:lang w:eastAsia="en-US"/>
    </w:rPr>
  </w:style>
  <w:style w:type="paragraph" w:styleId="Heading4">
    <w:name w:val="heading 4"/>
    <w:next w:val="BodyText"/>
    <w:link w:val="Heading4Char"/>
    <w:uiPriority w:val="9"/>
    <w:unhideWhenUsed/>
    <w:qFormat/>
    <w:rsid w:val="00153E18"/>
    <w:pPr>
      <w:keepNext/>
      <w:keepLines/>
      <w:numPr>
        <w:ilvl w:val="3"/>
        <w:numId w:val="9"/>
      </w:numPr>
      <w:spacing w:before="240" w:line="276" w:lineRule="auto"/>
      <w:jc w:val="both"/>
      <w:outlineLvl w:val="3"/>
    </w:pPr>
    <w:rPr>
      <w:rFonts w:asciiTheme="minorHAnsi" w:eastAsia="Times New Roman" w:hAnsiTheme="minorHAnsi"/>
      <w:b/>
      <w:iCs/>
      <w:sz w:val="24"/>
      <w:szCs w:val="24"/>
      <w:lang w:eastAsia="en-US"/>
    </w:rPr>
  </w:style>
  <w:style w:type="paragraph" w:styleId="Heading5">
    <w:name w:val="heading 5"/>
    <w:next w:val="BodyText"/>
    <w:link w:val="Heading5Char"/>
    <w:uiPriority w:val="9"/>
    <w:unhideWhenUsed/>
    <w:qFormat/>
    <w:rsid w:val="006068D9"/>
    <w:pPr>
      <w:keepNext/>
      <w:numPr>
        <w:ilvl w:val="4"/>
        <w:numId w:val="9"/>
      </w:numPr>
      <w:spacing w:before="120" w:line="276" w:lineRule="auto"/>
      <w:jc w:val="both"/>
      <w:outlineLvl w:val="4"/>
    </w:pPr>
    <w:rPr>
      <w:rFonts w:eastAsia="Times New Roman"/>
      <w:sz w:val="24"/>
      <w:szCs w:val="24"/>
      <w:u w:val="single"/>
      <w:lang w:eastAsia="en-US"/>
    </w:rPr>
  </w:style>
  <w:style w:type="paragraph" w:styleId="Heading6">
    <w:name w:val="heading 6"/>
    <w:next w:val="BodyText"/>
    <w:link w:val="Heading6Char"/>
    <w:uiPriority w:val="9"/>
    <w:unhideWhenUsed/>
    <w:qFormat/>
    <w:rsid w:val="006068D9"/>
    <w:pPr>
      <w:keepNext/>
      <w:keepLines/>
      <w:numPr>
        <w:ilvl w:val="5"/>
        <w:numId w:val="9"/>
      </w:numPr>
      <w:spacing w:before="40"/>
      <w:outlineLvl w:val="5"/>
    </w:pPr>
    <w:rPr>
      <w:rFonts w:ascii="Calibri" w:eastAsia="Times New Roman" w:hAnsi="Calibri"/>
      <w:i/>
      <w:sz w:val="24"/>
      <w:szCs w:val="24"/>
      <w:lang w:eastAsia="en-US"/>
    </w:rPr>
  </w:style>
  <w:style w:type="paragraph" w:styleId="Heading7">
    <w:name w:val="heading 7"/>
    <w:aliases w:val="App Heading 1"/>
    <w:next w:val="BodyText"/>
    <w:link w:val="Heading7Char"/>
    <w:uiPriority w:val="9"/>
    <w:unhideWhenUsed/>
    <w:qFormat/>
    <w:rsid w:val="006068D9"/>
    <w:pPr>
      <w:pageBreakBefore/>
      <w:numPr>
        <w:ilvl w:val="6"/>
        <w:numId w:val="9"/>
      </w:numPr>
      <w:tabs>
        <w:tab w:val="left" w:pos="2268"/>
      </w:tabs>
      <w:spacing w:after="360" w:line="276" w:lineRule="auto"/>
      <w:ind w:left="0"/>
      <w:jc w:val="both"/>
      <w:outlineLvl w:val="6"/>
    </w:pPr>
    <w:rPr>
      <w:rFonts w:eastAsia="Times New Roman"/>
      <w:b/>
      <w:iCs/>
      <w:color w:val="4F81BD"/>
      <w:sz w:val="36"/>
      <w:szCs w:val="24"/>
      <w:lang w:eastAsia="en-US"/>
    </w:rPr>
  </w:style>
  <w:style w:type="paragraph" w:styleId="Heading8">
    <w:name w:val="heading 8"/>
    <w:aliases w:val="App Heading 2"/>
    <w:next w:val="BodyText"/>
    <w:link w:val="Heading8Char"/>
    <w:uiPriority w:val="9"/>
    <w:unhideWhenUsed/>
    <w:qFormat/>
    <w:rsid w:val="006068D9"/>
    <w:pPr>
      <w:keepNext/>
      <w:numPr>
        <w:ilvl w:val="7"/>
        <w:numId w:val="9"/>
      </w:numPr>
      <w:tabs>
        <w:tab w:val="left" w:pos="851"/>
      </w:tabs>
      <w:spacing w:before="360" w:line="276" w:lineRule="auto"/>
      <w:jc w:val="both"/>
      <w:outlineLvl w:val="7"/>
    </w:pPr>
    <w:rPr>
      <w:rFonts w:eastAsia="Times New Roman"/>
      <w:color w:val="4F81BD"/>
      <w:sz w:val="32"/>
      <w:szCs w:val="21"/>
      <w:lang w:eastAsia="en-US"/>
    </w:rPr>
  </w:style>
  <w:style w:type="paragraph" w:styleId="Heading9">
    <w:name w:val="heading 9"/>
    <w:aliases w:val="App Heading 3"/>
    <w:next w:val="BodyText"/>
    <w:link w:val="Heading9Char"/>
    <w:uiPriority w:val="9"/>
    <w:unhideWhenUsed/>
    <w:qFormat/>
    <w:rsid w:val="006068D9"/>
    <w:pPr>
      <w:keepNext/>
      <w:numPr>
        <w:ilvl w:val="8"/>
        <w:numId w:val="9"/>
      </w:numPr>
      <w:tabs>
        <w:tab w:val="left" w:pos="851"/>
      </w:tabs>
      <w:spacing w:before="360" w:line="276" w:lineRule="auto"/>
      <w:jc w:val="both"/>
      <w:outlineLvl w:val="8"/>
    </w:pPr>
    <w:rPr>
      <w:rFonts w:eastAsia="Times New Roman"/>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23683"/>
    <w:rPr>
      <w:rFonts w:asciiTheme="minorHAnsi" w:eastAsia="Times New Roman" w:hAnsiTheme="minorHAnsi"/>
      <w:b/>
      <w:color w:val="4F81BD"/>
      <w:sz w:val="40"/>
      <w:szCs w:val="32"/>
      <w:lang w:eastAsia="en-US"/>
    </w:rPr>
  </w:style>
  <w:style w:type="paragraph" w:customStyle="1" w:styleId="ToR">
    <w:name w:val="ToR"/>
    <w:next w:val="BodyText"/>
    <w:qFormat/>
    <w:rsid w:val="003F03FF"/>
    <w:pPr>
      <w:tabs>
        <w:tab w:val="left" w:pos="794"/>
      </w:tabs>
      <w:spacing w:before="240" w:line="276" w:lineRule="auto"/>
      <w:jc w:val="both"/>
    </w:pPr>
    <w:rPr>
      <w:i/>
      <w:sz w:val="24"/>
      <w:szCs w:val="24"/>
      <w:lang w:eastAsia="en-US"/>
    </w:rPr>
  </w:style>
  <w:style w:type="paragraph" w:styleId="BodyText">
    <w:name w:val="Body Text"/>
    <w:link w:val="BodyTextChar"/>
    <w:uiPriority w:val="99"/>
    <w:unhideWhenUsed/>
    <w:rsid w:val="008E29BE"/>
    <w:pPr>
      <w:spacing w:before="240" w:line="276" w:lineRule="auto"/>
      <w:jc w:val="both"/>
    </w:pPr>
    <w:rPr>
      <w:sz w:val="24"/>
      <w:szCs w:val="24"/>
      <w:lang w:eastAsia="en-US"/>
    </w:rPr>
  </w:style>
  <w:style w:type="character" w:customStyle="1" w:styleId="BodyTextChar">
    <w:name w:val="Body Text Char"/>
    <w:basedOn w:val="DefaultParagraphFont"/>
    <w:link w:val="BodyText"/>
    <w:uiPriority w:val="99"/>
    <w:rsid w:val="008E29BE"/>
  </w:style>
  <w:style w:type="paragraph" w:customStyle="1" w:styleId="ToRsinboxwithhangingindent">
    <w:name w:val="ToRs in box with hanging indent"/>
    <w:qFormat/>
    <w:rsid w:val="005B5D2A"/>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sz w:val="24"/>
      <w:szCs w:val="24"/>
      <w:lang w:eastAsia="en-US"/>
    </w:rPr>
  </w:style>
  <w:style w:type="character" w:customStyle="1" w:styleId="Heading2Char">
    <w:name w:val="Heading 2 Char"/>
    <w:link w:val="Heading2"/>
    <w:uiPriority w:val="9"/>
    <w:rsid w:val="00C23683"/>
    <w:rPr>
      <w:rFonts w:asciiTheme="minorHAnsi" w:eastAsia="Times New Roman" w:hAnsiTheme="minorHAnsi"/>
      <w:b/>
      <w:color w:val="4F81BD"/>
      <w:sz w:val="32"/>
      <w:szCs w:val="26"/>
      <w:lang w:eastAsia="en-US"/>
    </w:rPr>
  </w:style>
  <w:style w:type="paragraph" w:customStyle="1" w:styleId="ToRinbox">
    <w:name w:val="ToR in box"/>
    <w:basedOn w:val="ToRsinboxwithhangingindent"/>
    <w:qFormat/>
    <w:rsid w:val="00BB390F"/>
    <w:pPr>
      <w:pBdr>
        <w:top w:val="single" w:sz="4" w:space="6" w:color="auto"/>
        <w:bottom w:val="single" w:sz="4" w:space="6" w:color="auto"/>
      </w:pBdr>
      <w:tabs>
        <w:tab w:val="clear" w:pos="1304"/>
      </w:tabs>
      <w:ind w:left="0" w:firstLine="0"/>
    </w:pPr>
  </w:style>
  <w:style w:type="character" w:customStyle="1" w:styleId="Heading3Char">
    <w:name w:val="Heading 3 Char"/>
    <w:link w:val="Heading3"/>
    <w:uiPriority w:val="9"/>
    <w:rsid w:val="00522F52"/>
    <w:rPr>
      <w:rFonts w:asciiTheme="minorHAnsi" w:eastAsia="Times New Roman" w:hAnsiTheme="minorHAnsi"/>
      <w:b/>
      <w:i/>
      <w:sz w:val="30"/>
      <w:szCs w:val="24"/>
      <w:lang w:eastAsia="en-US"/>
    </w:rPr>
  </w:style>
  <w:style w:type="paragraph" w:customStyle="1" w:styleId="Bullettext">
    <w:name w:val="Bullet text"/>
    <w:link w:val="BullettextChar"/>
    <w:qFormat/>
    <w:rsid w:val="00907F4C"/>
    <w:pPr>
      <w:numPr>
        <w:numId w:val="10"/>
      </w:numPr>
      <w:spacing w:before="120" w:line="276" w:lineRule="auto"/>
      <w:contextualSpacing/>
      <w:jc w:val="both"/>
    </w:pPr>
    <w:rPr>
      <w:sz w:val="24"/>
      <w:szCs w:val="24"/>
      <w:lang w:eastAsia="en-US"/>
    </w:rPr>
  </w:style>
  <w:style w:type="paragraph" w:customStyle="1" w:styleId="Bullettextsecondlevel">
    <w:name w:val="Bullet text second level"/>
    <w:qFormat/>
    <w:rsid w:val="00907F4C"/>
    <w:pPr>
      <w:numPr>
        <w:numId w:val="1"/>
      </w:numPr>
      <w:spacing w:line="276" w:lineRule="auto"/>
      <w:ind w:left="851" w:hanging="284"/>
      <w:jc w:val="both"/>
    </w:pPr>
    <w:rPr>
      <w:sz w:val="24"/>
      <w:szCs w:val="24"/>
      <w:lang w:eastAsia="en-US"/>
    </w:rPr>
  </w:style>
  <w:style w:type="character" w:customStyle="1" w:styleId="Heading4Char">
    <w:name w:val="Heading 4 Char"/>
    <w:link w:val="Heading4"/>
    <w:uiPriority w:val="9"/>
    <w:rsid w:val="00153E18"/>
    <w:rPr>
      <w:rFonts w:asciiTheme="minorHAnsi" w:eastAsia="Times New Roman" w:hAnsiTheme="minorHAnsi"/>
      <w:b/>
      <w:iCs/>
      <w:sz w:val="24"/>
      <w:szCs w:val="24"/>
      <w:lang w:eastAsia="en-US"/>
    </w:rPr>
  </w:style>
  <w:style w:type="character" w:customStyle="1" w:styleId="Heading5Char">
    <w:name w:val="Heading 5 Char"/>
    <w:link w:val="Heading5"/>
    <w:uiPriority w:val="9"/>
    <w:rsid w:val="00D866EC"/>
    <w:rPr>
      <w:rFonts w:eastAsia="Times New Roman"/>
      <w:sz w:val="24"/>
      <w:szCs w:val="24"/>
      <w:u w:val="single"/>
      <w:lang w:eastAsia="en-US"/>
    </w:rPr>
  </w:style>
  <w:style w:type="paragraph" w:customStyle="1" w:styleId="BodyTextnospacebefore">
    <w:name w:val="Body Text – no space before"/>
    <w:next w:val="BodyText"/>
    <w:qFormat/>
    <w:rsid w:val="00E939EF"/>
    <w:pPr>
      <w:spacing w:after="200" w:line="276" w:lineRule="auto"/>
    </w:pPr>
    <w:rPr>
      <w:rFonts w:asciiTheme="minorHAnsi" w:hAnsiTheme="minorHAnsi"/>
      <w:sz w:val="24"/>
      <w:szCs w:val="24"/>
      <w:lang w:eastAsia="en-US"/>
    </w:rPr>
  </w:style>
  <w:style w:type="paragraph" w:styleId="TableofAuthorities">
    <w:name w:val="table of authorities"/>
    <w:basedOn w:val="Normal"/>
    <w:next w:val="Normal"/>
    <w:uiPriority w:val="99"/>
    <w:semiHidden/>
    <w:unhideWhenUsed/>
    <w:rsid w:val="00834197"/>
    <w:pPr>
      <w:ind w:left="240" w:hanging="240"/>
    </w:pPr>
  </w:style>
  <w:style w:type="paragraph" w:customStyle="1" w:styleId="05Tabletext">
    <w:name w:val="05 Table text"/>
    <w:next w:val="06Tabletextspacebefore"/>
    <w:qFormat/>
    <w:rsid w:val="005940CE"/>
    <w:pPr>
      <w:spacing w:before="20"/>
      <w:ind w:left="57" w:right="57"/>
    </w:pPr>
    <w:rPr>
      <w:rFonts w:ascii="Arial Narrow" w:hAnsi="Arial Narrow"/>
      <w:sz w:val="18"/>
      <w:szCs w:val="24"/>
      <w:lang w:eastAsia="en-US"/>
    </w:rPr>
  </w:style>
  <w:style w:type="table" w:styleId="TableGrid">
    <w:name w:val="Table Grid"/>
    <w:basedOn w:val="TableNormal"/>
    <w:rsid w:val="00E01A78"/>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w:next w:val="05Tabletext"/>
    <w:link w:val="CaptionChar"/>
    <w:uiPriority w:val="35"/>
    <w:unhideWhenUsed/>
    <w:qFormat/>
    <w:rsid w:val="00665040"/>
    <w:pPr>
      <w:keepNext/>
      <w:tabs>
        <w:tab w:val="left" w:pos="1134"/>
      </w:tabs>
      <w:spacing w:before="240" w:after="40"/>
      <w:ind w:left="1134" w:hanging="1134"/>
      <w:jc w:val="both"/>
    </w:pPr>
    <w:rPr>
      <w:rFonts w:asciiTheme="minorHAnsi" w:hAnsiTheme="minorHAnsi"/>
      <w:b/>
      <w:iCs/>
      <w:sz w:val="24"/>
      <w:szCs w:val="18"/>
      <w:lang w:eastAsia="en-US"/>
    </w:rPr>
  </w:style>
  <w:style w:type="paragraph" w:customStyle="1" w:styleId="06Tabletextspacebefore">
    <w:name w:val="06 Table text space before"/>
    <w:qFormat/>
    <w:rsid w:val="002C3009"/>
    <w:pPr>
      <w:spacing w:before="80"/>
      <w:ind w:left="57" w:right="57"/>
    </w:pPr>
    <w:rPr>
      <w:rFonts w:ascii="Arial" w:hAnsi="Arial"/>
      <w:szCs w:val="24"/>
      <w:lang w:eastAsia="en-US"/>
    </w:rPr>
  </w:style>
  <w:style w:type="paragraph" w:customStyle="1" w:styleId="10TableorFigurefootnote">
    <w:name w:val="10 Table or Figure footnote"/>
    <w:qFormat/>
    <w:rsid w:val="0063506B"/>
    <w:pPr>
      <w:keepNext/>
    </w:pPr>
    <w:rPr>
      <w:rFonts w:ascii="Arial Narrow" w:hAnsi="Arial Narrow"/>
      <w:sz w:val="16"/>
      <w:szCs w:val="24"/>
      <w:lang w:eastAsia="en-US"/>
    </w:rPr>
  </w:style>
  <w:style w:type="paragraph" w:customStyle="1" w:styleId="11TableorFigurefootnotenostick">
    <w:name w:val="11 Table or Figure footnote – no stick"/>
    <w:next w:val="BodyText"/>
    <w:qFormat/>
    <w:rsid w:val="0099024A"/>
    <w:pPr>
      <w:spacing w:after="360"/>
    </w:pPr>
    <w:rPr>
      <w:rFonts w:ascii="Arial Narrow" w:hAnsi="Arial Narrow"/>
      <w:sz w:val="16"/>
      <w:szCs w:val="24"/>
      <w:lang w:eastAsia="en-US"/>
    </w:rPr>
  </w:style>
  <w:style w:type="paragraph" w:customStyle="1" w:styleId="01TableHEADINGleftaligned">
    <w:name w:val="01 Table HEADING left aligned"/>
    <w:basedOn w:val="BodyText"/>
    <w:qFormat/>
    <w:rsid w:val="003D0211"/>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9800DE"/>
    <w:pPr>
      <w:keepNext/>
      <w:spacing w:before="60"/>
      <w:ind w:left="57" w:right="57"/>
      <w:jc w:val="center"/>
    </w:pPr>
    <w:rPr>
      <w:rFonts w:ascii="Arial Narrow" w:hAnsi="Arial Narrow"/>
      <w:b/>
      <w:sz w:val="18"/>
      <w:szCs w:val="24"/>
      <w:lang w:eastAsia="en-US"/>
    </w:rPr>
  </w:style>
  <w:style w:type="paragraph" w:customStyle="1" w:styleId="09Tablerightaligned">
    <w:name w:val="09 Table right aligned ($)"/>
    <w:qFormat/>
    <w:rsid w:val="00E01A78"/>
    <w:pPr>
      <w:spacing w:before="20"/>
      <w:ind w:left="57" w:right="170"/>
      <w:jc w:val="right"/>
    </w:pPr>
    <w:rPr>
      <w:rFonts w:ascii="Arial Narrow" w:hAnsi="Arial Narrow"/>
      <w:sz w:val="18"/>
      <w:szCs w:val="24"/>
      <w:lang w:eastAsia="en-US"/>
    </w:rPr>
  </w:style>
  <w:style w:type="paragraph" w:customStyle="1" w:styleId="07Tablebullet">
    <w:name w:val="07 Table bullet"/>
    <w:qFormat/>
    <w:rsid w:val="002C3009"/>
    <w:pPr>
      <w:numPr>
        <w:numId w:val="2"/>
      </w:numPr>
      <w:ind w:left="227" w:right="57" w:hanging="170"/>
    </w:pPr>
    <w:rPr>
      <w:rFonts w:ascii="Arial" w:hAnsi="Arial"/>
      <w:szCs w:val="24"/>
      <w:lang w:eastAsia="en-US"/>
    </w:rPr>
  </w:style>
  <w:style w:type="numbering" w:customStyle="1" w:styleId="Headings">
    <w:name w:val="Headings"/>
    <w:uiPriority w:val="99"/>
    <w:rsid w:val="006068D9"/>
    <w:pPr>
      <w:numPr>
        <w:numId w:val="11"/>
      </w:numPr>
    </w:pPr>
  </w:style>
  <w:style w:type="paragraph" w:styleId="TOC2">
    <w:name w:val="toc 2"/>
    <w:basedOn w:val="Normal"/>
    <w:next w:val="Normal"/>
    <w:autoRedefine/>
    <w:uiPriority w:val="39"/>
    <w:unhideWhenUsed/>
    <w:rsid w:val="00515169"/>
    <w:pPr>
      <w:tabs>
        <w:tab w:val="left" w:pos="1134"/>
        <w:tab w:val="right" w:leader="dot" w:pos="9628"/>
      </w:tabs>
      <w:spacing w:before="60"/>
      <w:ind w:left="1134" w:right="567" w:hanging="567"/>
    </w:pPr>
  </w:style>
  <w:style w:type="paragraph" w:styleId="TOC1">
    <w:name w:val="toc 1"/>
    <w:autoRedefine/>
    <w:uiPriority w:val="39"/>
    <w:unhideWhenUsed/>
    <w:rsid w:val="000C00F6"/>
    <w:pPr>
      <w:tabs>
        <w:tab w:val="right" w:leader="dot" w:pos="9628"/>
      </w:tabs>
      <w:spacing w:before="120" w:line="276" w:lineRule="auto"/>
      <w:ind w:left="1134" w:right="567" w:hanging="1134"/>
    </w:pPr>
    <w:rPr>
      <w:rFonts w:ascii="Calibri" w:hAnsi="Calibri"/>
      <w:noProof/>
      <w:sz w:val="24"/>
      <w:szCs w:val="24"/>
      <w:lang w:eastAsia="en-US"/>
    </w:rPr>
  </w:style>
  <w:style w:type="paragraph" w:styleId="TOC3">
    <w:name w:val="toc 3"/>
    <w:basedOn w:val="Normal"/>
    <w:next w:val="Normal"/>
    <w:autoRedefine/>
    <w:uiPriority w:val="39"/>
    <w:unhideWhenUsed/>
    <w:rsid w:val="00150D82"/>
    <w:pPr>
      <w:tabs>
        <w:tab w:val="left" w:pos="1320"/>
        <w:tab w:val="right" w:leader="dot" w:pos="9628"/>
      </w:tabs>
      <w:spacing w:before="0"/>
      <w:ind w:left="1701" w:right="567" w:hanging="567"/>
    </w:pPr>
  </w:style>
  <w:style w:type="character" w:styleId="Hyperlink">
    <w:name w:val="Hyperlink"/>
    <w:uiPriority w:val="99"/>
    <w:unhideWhenUsed/>
    <w:rsid w:val="00663CBC"/>
    <w:rPr>
      <w:color w:val="0000FF"/>
      <w:u w:val="single"/>
    </w:rPr>
  </w:style>
  <w:style w:type="paragraph" w:styleId="TOCHeading">
    <w:name w:val="TOC Heading"/>
    <w:next w:val="BodyText"/>
    <w:uiPriority w:val="39"/>
    <w:unhideWhenUsed/>
    <w:qFormat/>
    <w:rsid w:val="001C5235"/>
    <w:pPr>
      <w:pageBreakBefore/>
      <w:spacing w:before="360" w:after="360" w:line="276" w:lineRule="auto"/>
      <w:jc w:val="center"/>
    </w:pPr>
    <w:rPr>
      <w:rFonts w:eastAsia="Times New Roman"/>
      <w:b/>
      <w:color w:val="4F81BD"/>
      <w:sz w:val="40"/>
      <w:szCs w:val="32"/>
      <w:lang w:eastAsia="en-US"/>
    </w:rPr>
  </w:style>
  <w:style w:type="character" w:styleId="CommentReference">
    <w:name w:val="annotation reference"/>
    <w:aliases w:val="Table Title"/>
    <w:uiPriority w:val="99"/>
    <w:unhideWhenUsed/>
    <w:qFormat/>
    <w:rsid w:val="007C6357"/>
    <w:rPr>
      <w:sz w:val="16"/>
      <w:szCs w:val="16"/>
    </w:rPr>
  </w:style>
  <w:style w:type="paragraph" w:styleId="CommentText">
    <w:name w:val="annotation text"/>
    <w:basedOn w:val="Normal"/>
    <w:link w:val="CommentTextChar"/>
    <w:uiPriority w:val="99"/>
    <w:unhideWhenUsed/>
    <w:rsid w:val="007C6357"/>
    <w:pPr>
      <w:spacing w:line="240" w:lineRule="auto"/>
    </w:pPr>
    <w:rPr>
      <w:sz w:val="20"/>
      <w:szCs w:val="20"/>
    </w:rPr>
  </w:style>
  <w:style w:type="character" w:customStyle="1" w:styleId="CommentTextChar">
    <w:name w:val="Comment Text Char"/>
    <w:link w:val="CommentText"/>
    <w:uiPriority w:val="99"/>
    <w:rsid w:val="007C6357"/>
    <w:rPr>
      <w:sz w:val="20"/>
      <w:szCs w:val="20"/>
    </w:rPr>
  </w:style>
  <w:style w:type="paragraph" w:styleId="CommentSubject">
    <w:name w:val="annotation subject"/>
    <w:basedOn w:val="CommentText"/>
    <w:next w:val="CommentText"/>
    <w:link w:val="CommentSubjectChar"/>
    <w:uiPriority w:val="99"/>
    <w:semiHidden/>
    <w:unhideWhenUsed/>
    <w:rsid w:val="007C6357"/>
    <w:rPr>
      <w:b/>
      <w:bCs/>
    </w:rPr>
  </w:style>
  <w:style w:type="character" w:customStyle="1" w:styleId="CommentSubjectChar">
    <w:name w:val="Comment Subject Char"/>
    <w:link w:val="CommentSubject"/>
    <w:uiPriority w:val="99"/>
    <w:semiHidden/>
    <w:rsid w:val="007C6357"/>
    <w:rPr>
      <w:b/>
      <w:bCs/>
      <w:sz w:val="20"/>
      <w:szCs w:val="20"/>
    </w:rPr>
  </w:style>
  <w:style w:type="paragraph" w:styleId="BalloonText">
    <w:name w:val="Balloon Text"/>
    <w:basedOn w:val="Normal"/>
    <w:link w:val="BalloonTextChar"/>
    <w:uiPriority w:val="99"/>
    <w:semiHidden/>
    <w:unhideWhenUsed/>
    <w:rsid w:val="007C6357"/>
    <w:pPr>
      <w:spacing w:before="0" w:line="240" w:lineRule="auto"/>
    </w:pPr>
    <w:rPr>
      <w:rFonts w:ascii="Segoe UI" w:hAnsi="Segoe UI" w:cs="Segoe UI"/>
      <w:sz w:val="18"/>
      <w:szCs w:val="18"/>
    </w:rPr>
  </w:style>
  <w:style w:type="character" w:customStyle="1" w:styleId="BalloonTextChar">
    <w:name w:val="Balloon Text Char"/>
    <w:link w:val="BalloonText"/>
    <w:uiPriority w:val="99"/>
    <w:semiHidden/>
    <w:rsid w:val="007C6357"/>
    <w:rPr>
      <w:rFonts w:ascii="Segoe UI" w:hAnsi="Segoe UI" w:cs="Segoe UI"/>
      <w:sz w:val="18"/>
      <w:szCs w:val="18"/>
    </w:rPr>
  </w:style>
  <w:style w:type="paragraph" w:customStyle="1" w:styleId="Picturewithbox">
    <w:name w:val="Picture with box"/>
    <w:next w:val="11TableorFigurefootnotenostick"/>
    <w:qFormat/>
    <w:rsid w:val="00C076F5"/>
    <w:pPr>
      <w:pBdr>
        <w:top w:val="single" w:sz="4" w:space="4" w:color="auto"/>
        <w:left w:val="single" w:sz="4" w:space="0" w:color="auto"/>
        <w:bottom w:val="single" w:sz="4" w:space="4" w:color="auto"/>
        <w:right w:val="single" w:sz="4" w:space="0" w:color="auto"/>
      </w:pBdr>
      <w:jc w:val="center"/>
    </w:pPr>
    <w:rPr>
      <w:sz w:val="24"/>
      <w:szCs w:val="24"/>
      <w:lang w:eastAsia="en-US"/>
    </w:rPr>
  </w:style>
  <w:style w:type="paragraph" w:styleId="TableofFigures">
    <w:name w:val="table of figures"/>
    <w:aliases w:val="- TOC for list of Figures or Tables"/>
    <w:uiPriority w:val="99"/>
    <w:unhideWhenUsed/>
    <w:rsid w:val="00A54385"/>
    <w:pPr>
      <w:ind w:left="1418" w:right="567" w:hanging="1418"/>
    </w:pPr>
    <w:rPr>
      <w:sz w:val="24"/>
      <w:szCs w:val="24"/>
      <w:lang w:eastAsia="en-US"/>
    </w:rPr>
  </w:style>
  <w:style w:type="paragraph" w:customStyle="1" w:styleId="Titlepage">
    <w:name w:val="Title page"/>
    <w:qFormat/>
    <w:rsid w:val="005B5D2A"/>
    <w:pPr>
      <w:spacing w:before="120" w:line="276" w:lineRule="auto"/>
      <w:jc w:val="center"/>
    </w:pPr>
    <w:rPr>
      <w:sz w:val="40"/>
      <w:szCs w:val="40"/>
      <w:lang w:eastAsia="en-US"/>
    </w:rPr>
  </w:style>
  <w:style w:type="character" w:customStyle="1" w:styleId="Heading6Char">
    <w:name w:val="Heading 6 Char"/>
    <w:link w:val="Heading6"/>
    <w:uiPriority w:val="9"/>
    <w:rsid w:val="0088224C"/>
    <w:rPr>
      <w:rFonts w:ascii="Calibri" w:eastAsia="Times New Roman" w:hAnsi="Calibri"/>
      <w:i/>
      <w:sz w:val="24"/>
      <w:szCs w:val="24"/>
      <w:lang w:eastAsia="en-US"/>
    </w:rPr>
  </w:style>
  <w:style w:type="character" w:customStyle="1" w:styleId="Heading7Char">
    <w:name w:val="Heading 7 Char"/>
    <w:aliases w:val="App Heading 1 Char"/>
    <w:link w:val="Heading7"/>
    <w:uiPriority w:val="9"/>
    <w:rsid w:val="00683D01"/>
    <w:rPr>
      <w:rFonts w:eastAsia="Times New Roman"/>
      <w:b/>
      <w:iCs/>
      <w:color w:val="4F81BD"/>
      <w:sz w:val="36"/>
      <w:szCs w:val="24"/>
      <w:lang w:eastAsia="en-US"/>
    </w:rPr>
  </w:style>
  <w:style w:type="character" w:customStyle="1" w:styleId="Heading8Char">
    <w:name w:val="Heading 8 Char"/>
    <w:aliases w:val="App Heading 2 Char"/>
    <w:link w:val="Heading8"/>
    <w:uiPriority w:val="9"/>
    <w:rsid w:val="00916C10"/>
    <w:rPr>
      <w:rFonts w:eastAsia="Times New Roman"/>
      <w:color w:val="4F81BD"/>
      <w:sz w:val="32"/>
      <w:szCs w:val="21"/>
      <w:lang w:eastAsia="en-US"/>
    </w:rPr>
  </w:style>
  <w:style w:type="character" w:customStyle="1" w:styleId="Heading9Char">
    <w:name w:val="Heading 9 Char"/>
    <w:aliases w:val="App Heading 3 Char"/>
    <w:link w:val="Heading9"/>
    <w:uiPriority w:val="9"/>
    <w:rsid w:val="00343EB1"/>
    <w:rPr>
      <w:rFonts w:eastAsia="Times New Roman"/>
      <w:b/>
      <w:i/>
      <w:iCs/>
      <w:color w:val="272727"/>
      <w:sz w:val="28"/>
      <w:szCs w:val="21"/>
      <w:lang w:eastAsia="en-US"/>
    </w:rPr>
  </w:style>
  <w:style w:type="paragraph" w:styleId="Footer">
    <w:name w:val="footer"/>
    <w:link w:val="FooterChar"/>
    <w:uiPriority w:val="99"/>
    <w:unhideWhenUsed/>
    <w:rsid w:val="006C71C1"/>
    <w:pPr>
      <w:pBdr>
        <w:top w:val="single" w:sz="4" w:space="1" w:color="auto"/>
      </w:pBdr>
    </w:pPr>
    <w:rPr>
      <w:szCs w:val="24"/>
      <w:lang w:eastAsia="en-US"/>
    </w:rPr>
  </w:style>
  <w:style w:type="paragraph" w:styleId="Header">
    <w:name w:val="header"/>
    <w:link w:val="HeaderChar"/>
    <w:uiPriority w:val="99"/>
    <w:unhideWhenUsed/>
    <w:rsid w:val="008D13CD"/>
    <w:pPr>
      <w:pBdr>
        <w:bottom w:val="single" w:sz="4" w:space="1" w:color="auto"/>
      </w:pBdr>
      <w:tabs>
        <w:tab w:val="center" w:pos="4513"/>
        <w:tab w:val="right" w:pos="9026"/>
      </w:tabs>
      <w:spacing w:after="240"/>
    </w:pPr>
    <w:rPr>
      <w:szCs w:val="24"/>
      <w:lang w:eastAsia="en-US"/>
    </w:rPr>
  </w:style>
  <w:style w:type="character" w:customStyle="1" w:styleId="HeaderChar">
    <w:name w:val="Header Char"/>
    <w:link w:val="Header"/>
    <w:uiPriority w:val="99"/>
    <w:rsid w:val="008D13CD"/>
    <w:rPr>
      <w:sz w:val="20"/>
    </w:rPr>
  </w:style>
  <w:style w:type="character" w:customStyle="1" w:styleId="FooterChar">
    <w:name w:val="Footer Char"/>
    <w:link w:val="Footer"/>
    <w:uiPriority w:val="99"/>
    <w:rsid w:val="006C71C1"/>
    <w:rPr>
      <w:szCs w:val="24"/>
      <w:lang w:eastAsia="en-US"/>
    </w:rPr>
  </w:style>
  <w:style w:type="character" w:customStyle="1" w:styleId="BullettextChar">
    <w:name w:val="Bullet text Char"/>
    <w:link w:val="Bullettext"/>
    <w:rsid w:val="00DA3D12"/>
    <w:rPr>
      <w:sz w:val="24"/>
      <w:szCs w:val="24"/>
      <w:lang w:eastAsia="en-US"/>
    </w:rPr>
  </w:style>
  <w:style w:type="paragraph" w:styleId="FootnoteText">
    <w:name w:val="footnote text"/>
    <w:basedOn w:val="Normal"/>
    <w:link w:val="FootnoteTextChar"/>
    <w:uiPriority w:val="99"/>
    <w:unhideWhenUsed/>
    <w:rsid w:val="00CC24F3"/>
    <w:pPr>
      <w:spacing w:before="0" w:line="240" w:lineRule="auto"/>
    </w:pPr>
    <w:rPr>
      <w:rFonts w:ascii="Arial Narrow" w:hAnsi="Arial Narrow"/>
      <w:sz w:val="18"/>
      <w:szCs w:val="20"/>
    </w:rPr>
  </w:style>
  <w:style w:type="character" w:customStyle="1" w:styleId="FootnoteTextChar">
    <w:name w:val="Footnote Text Char"/>
    <w:link w:val="FootnoteText"/>
    <w:uiPriority w:val="99"/>
    <w:rsid w:val="00CC24F3"/>
    <w:rPr>
      <w:rFonts w:ascii="Arial Narrow" w:hAnsi="Arial Narrow"/>
      <w:sz w:val="18"/>
      <w:lang w:eastAsia="en-US"/>
    </w:rPr>
  </w:style>
  <w:style w:type="paragraph" w:styleId="TOAHeading">
    <w:name w:val="toa heading"/>
    <w:basedOn w:val="Normal"/>
    <w:next w:val="Normal"/>
    <w:uiPriority w:val="99"/>
    <w:semiHidden/>
    <w:unhideWhenUsed/>
    <w:rsid w:val="00834197"/>
    <w:rPr>
      <w:rFonts w:asciiTheme="majorHAnsi" w:eastAsiaTheme="majorEastAsia" w:hAnsiTheme="majorHAnsi" w:cstheme="majorBidi"/>
      <w:b/>
      <w:bCs/>
    </w:rPr>
  </w:style>
  <w:style w:type="paragraph" w:customStyle="1" w:styleId="TableorFigurefootnote">
    <w:name w:val="Table or Figure footnote"/>
    <w:next w:val="BodyText"/>
    <w:qFormat/>
    <w:rsid w:val="00ED6106"/>
    <w:pPr>
      <w:spacing w:after="240"/>
      <w:contextualSpacing/>
    </w:pPr>
    <w:rPr>
      <w:rFonts w:ascii="Garamond" w:hAnsi="Garamond"/>
      <w:sz w:val="16"/>
      <w:szCs w:val="22"/>
      <w:lang w:eastAsia="en-US"/>
    </w:rPr>
  </w:style>
  <w:style w:type="character" w:styleId="FootnoteReference">
    <w:name w:val="footnote reference"/>
    <w:uiPriority w:val="99"/>
    <w:unhideWhenUsed/>
    <w:rsid w:val="00A332EB"/>
    <w:rPr>
      <w:vertAlign w:val="superscript"/>
    </w:rPr>
  </w:style>
  <w:style w:type="paragraph" w:customStyle="1" w:styleId="08Tablebulletsecondlevel">
    <w:name w:val="08 Table bullet second level"/>
    <w:qFormat/>
    <w:rsid w:val="0029750E"/>
    <w:pPr>
      <w:numPr>
        <w:numId w:val="4"/>
      </w:numPr>
      <w:ind w:left="397" w:hanging="170"/>
    </w:pPr>
    <w:rPr>
      <w:rFonts w:ascii="Arial Narrow" w:hAnsi="Arial Narrow"/>
      <w:sz w:val="18"/>
      <w:szCs w:val="24"/>
      <w:lang w:eastAsia="en-US"/>
    </w:rPr>
  </w:style>
  <w:style w:type="paragraph" w:customStyle="1" w:styleId="03TableHEADINGrightaligned">
    <w:name w:val="03 Table HEADING right aligned ($)"/>
    <w:qFormat/>
    <w:rsid w:val="00241406"/>
    <w:pPr>
      <w:keepNext/>
      <w:spacing w:before="60"/>
      <w:ind w:left="57" w:right="170"/>
      <w:jc w:val="right"/>
    </w:pPr>
    <w:rPr>
      <w:rFonts w:ascii="Arial Narrow" w:hAnsi="Arial Narrow"/>
      <w:b/>
      <w:sz w:val="18"/>
      <w:szCs w:val="24"/>
      <w:lang w:eastAsia="en-US"/>
    </w:rPr>
  </w:style>
  <w:style w:type="paragraph" w:styleId="Revision">
    <w:name w:val="Revision"/>
    <w:hidden/>
    <w:uiPriority w:val="99"/>
    <w:semiHidden/>
    <w:rsid w:val="007660BB"/>
    <w:rPr>
      <w:sz w:val="24"/>
      <w:szCs w:val="24"/>
      <w:lang w:eastAsia="en-US"/>
    </w:rPr>
  </w:style>
  <w:style w:type="paragraph" w:styleId="EndnoteText">
    <w:name w:val="endnote text"/>
    <w:basedOn w:val="Normal"/>
    <w:link w:val="EndnoteTextChar"/>
    <w:unhideWhenUsed/>
    <w:rsid w:val="00A3778B"/>
    <w:pPr>
      <w:spacing w:before="0" w:line="240" w:lineRule="auto"/>
    </w:pPr>
    <w:rPr>
      <w:sz w:val="20"/>
      <w:szCs w:val="20"/>
    </w:rPr>
  </w:style>
  <w:style w:type="character" w:customStyle="1" w:styleId="EndnoteTextChar">
    <w:name w:val="Endnote Text Char"/>
    <w:link w:val="EndnoteText"/>
    <w:rsid w:val="00A3778B"/>
    <w:rPr>
      <w:sz w:val="20"/>
      <w:szCs w:val="20"/>
    </w:rPr>
  </w:style>
  <w:style w:type="character" w:styleId="EndnoteReference">
    <w:name w:val="endnote reference"/>
    <w:unhideWhenUsed/>
    <w:rsid w:val="00A3778B"/>
    <w:rPr>
      <w:vertAlign w:val="superscript"/>
    </w:rPr>
  </w:style>
  <w:style w:type="paragraph" w:customStyle="1" w:styleId="Default">
    <w:name w:val="Default"/>
    <w:rsid w:val="00E45401"/>
    <w:pPr>
      <w:autoSpaceDE w:val="0"/>
      <w:autoSpaceDN w:val="0"/>
      <w:adjustRightInd w:val="0"/>
    </w:pPr>
    <w:rPr>
      <w:rFonts w:ascii="Calibri" w:hAnsi="Calibri" w:cs="Calibri"/>
      <w:color w:val="000000"/>
      <w:sz w:val="24"/>
      <w:szCs w:val="24"/>
      <w:lang w:eastAsia="en-US"/>
    </w:rPr>
  </w:style>
  <w:style w:type="paragraph" w:customStyle="1" w:styleId="04Tablesubheading">
    <w:name w:val="04 Table subheading"/>
    <w:qFormat/>
    <w:rsid w:val="00055F77"/>
    <w:pPr>
      <w:keepNext/>
      <w:spacing w:before="20"/>
      <w:ind w:left="57" w:right="57"/>
    </w:pPr>
    <w:rPr>
      <w:rFonts w:ascii="Arial Narrow" w:hAnsi="Arial Narrow"/>
      <w:b/>
      <w:sz w:val="18"/>
      <w:szCs w:val="24"/>
      <w:lang w:eastAsia="en-US"/>
    </w:rPr>
  </w:style>
  <w:style w:type="paragraph" w:customStyle="1" w:styleId="FooterwithLandscape">
    <w:name w:val="Footer with # Landscape"/>
    <w:qFormat/>
    <w:rsid w:val="006C71C1"/>
    <w:pPr>
      <w:pBdr>
        <w:top w:val="single" w:sz="4" w:space="1" w:color="auto"/>
      </w:pBdr>
      <w:tabs>
        <w:tab w:val="right" w:pos="14572"/>
      </w:tabs>
      <w:spacing w:before="240"/>
    </w:pPr>
    <w:rPr>
      <w:szCs w:val="24"/>
      <w:lang w:eastAsia="en-US"/>
    </w:rPr>
  </w:style>
  <w:style w:type="paragraph" w:customStyle="1" w:styleId="FooterwithPortrait">
    <w:name w:val="Footer with # Portrait"/>
    <w:basedOn w:val="FooterwithLandscape"/>
    <w:qFormat/>
    <w:rsid w:val="006C71C1"/>
    <w:pPr>
      <w:tabs>
        <w:tab w:val="clear" w:pos="14572"/>
        <w:tab w:val="right" w:pos="9639"/>
      </w:tabs>
    </w:pPr>
  </w:style>
  <w:style w:type="character" w:styleId="FollowedHyperlink">
    <w:name w:val="FollowedHyperlink"/>
    <w:uiPriority w:val="99"/>
    <w:semiHidden/>
    <w:unhideWhenUsed/>
    <w:rsid w:val="00916E6D"/>
    <w:rPr>
      <w:color w:val="800080"/>
      <w:u w:val="single"/>
    </w:rPr>
  </w:style>
  <w:style w:type="paragraph" w:customStyle="1" w:styleId="08Bulletsseriesofsentences">
    <w:name w:val="08. Bullets – series of sentences"/>
    <w:link w:val="08BulletsseriesofsentencesChar"/>
    <w:autoRedefine/>
    <w:qFormat/>
    <w:rsid w:val="00A572B3"/>
    <w:pPr>
      <w:numPr>
        <w:numId w:val="5"/>
      </w:numPr>
      <w:spacing w:before="60" w:after="120"/>
    </w:pPr>
    <w:rPr>
      <w:rFonts w:asciiTheme="minorHAnsi" w:hAnsiTheme="minorHAnsi"/>
      <w:sz w:val="24"/>
      <w:szCs w:val="22"/>
      <w:lang w:eastAsia="en-US"/>
    </w:rPr>
  </w:style>
  <w:style w:type="character" w:customStyle="1" w:styleId="08BulletsseriesofsentencesChar">
    <w:name w:val="08. Bullets – series of sentences Char"/>
    <w:link w:val="08Bulletsseriesofsentences"/>
    <w:rsid w:val="00A572B3"/>
    <w:rPr>
      <w:rFonts w:asciiTheme="minorHAnsi" w:hAnsiTheme="minorHAnsi"/>
      <w:sz w:val="24"/>
      <w:szCs w:val="22"/>
      <w:lang w:eastAsia="en-US"/>
    </w:rPr>
  </w:style>
  <w:style w:type="numbering" w:customStyle="1" w:styleId="NoList1">
    <w:name w:val="No List1"/>
    <w:next w:val="NoList"/>
    <w:uiPriority w:val="99"/>
    <w:semiHidden/>
    <w:unhideWhenUsed/>
    <w:rsid w:val="00B92CC9"/>
  </w:style>
  <w:style w:type="table" w:customStyle="1" w:styleId="TableGrid1">
    <w:name w:val="Table Grid1"/>
    <w:basedOn w:val="TableNormal"/>
    <w:next w:val="TableGrid"/>
    <w:uiPriority w:val="59"/>
    <w:rsid w:val="00B9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92CC9"/>
    <w:pPr>
      <w:numPr>
        <w:numId w:val="6"/>
      </w:numPr>
    </w:pPr>
  </w:style>
  <w:style w:type="paragraph" w:styleId="ListParagraph">
    <w:name w:val="List Paragraph"/>
    <w:aliases w:val="Footnote,BulletPoints,List Paragraph1,Recommendation,Paragraph"/>
    <w:basedOn w:val="Normal"/>
    <w:link w:val="ListParagraphChar"/>
    <w:uiPriority w:val="34"/>
    <w:qFormat/>
    <w:rsid w:val="00B92CC9"/>
    <w:pPr>
      <w:ind w:left="720"/>
      <w:contextualSpacing/>
    </w:pPr>
  </w:style>
  <w:style w:type="numbering" w:styleId="111111">
    <w:name w:val="Outline List 2"/>
    <w:basedOn w:val="NoList"/>
    <w:uiPriority w:val="99"/>
    <w:semiHidden/>
    <w:unhideWhenUsed/>
    <w:rsid w:val="00B92CC9"/>
    <w:pPr>
      <w:numPr>
        <w:numId w:val="7"/>
      </w:numPr>
    </w:pPr>
  </w:style>
  <w:style w:type="character" w:styleId="Emphasis">
    <w:name w:val="Emphasis"/>
    <w:uiPriority w:val="20"/>
    <w:qFormat/>
    <w:rsid w:val="00B92CC9"/>
    <w:rPr>
      <w:i/>
      <w:iCs/>
    </w:rPr>
  </w:style>
  <w:style w:type="numbering" w:customStyle="1" w:styleId="NoList2">
    <w:name w:val="No List2"/>
    <w:next w:val="NoList"/>
    <w:uiPriority w:val="99"/>
    <w:semiHidden/>
    <w:unhideWhenUsed/>
    <w:rsid w:val="000E79FE"/>
  </w:style>
  <w:style w:type="table" w:customStyle="1" w:styleId="TableGrid2">
    <w:name w:val="Table Grid2"/>
    <w:basedOn w:val="TableNormal"/>
    <w:next w:val="TableGrid"/>
    <w:uiPriority w:val="59"/>
    <w:rsid w:val="000E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0E79FE"/>
    <w:pPr>
      <w:numPr>
        <w:numId w:val="3"/>
      </w:numPr>
    </w:pPr>
  </w:style>
  <w:style w:type="numbering" w:customStyle="1" w:styleId="1111111">
    <w:name w:val="1 / 1.1 / 1.1.11"/>
    <w:basedOn w:val="NoList"/>
    <w:next w:val="111111"/>
    <w:uiPriority w:val="99"/>
    <w:semiHidden/>
    <w:unhideWhenUsed/>
    <w:rsid w:val="000E79FE"/>
    <w:pPr>
      <w:numPr>
        <w:numId w:val="8"/>
      </w:numPr>
    </w:pPr>
  </w:style>
  <w:style w:type="paragraph" w:styleId="TOC4">
    <w:name w:val="toc 4"/>
    <w:basedOn w:val="Normal"/>
    <w:next w:val="Normal"/>
    <w:autoRedefine/>
    <w:uiPriority w:val="39"/>
    <w:unhideWhenUsed/>
    <w:rsid w:val="00D51AE3"/>
    <w:pPr>
      <w:tabs>
        <w:tab w:val="left" w:pos="1588"/>
        <w:tab w:val="right" w:leader="dot" w:pos="9639"/>
      </w:tabs>
      <w:ind w:left="680" w:right="-1" w:hanging="680"/>
    </w:pPr>
    <w:rPr>
      <w:rFonts w:eastAsia="Times New Roman"/>
      <w:szCs w:val="22"/>
      <w:lang w:eastAsia="en-AU"/>
    </w:rPr>
  </w:style>
  <w:style w:type="paragraph" w:styleId="TOC5">
    <w:name w:val="toc 5"/>
    <w:basedOn w:val="Normal"/>
    <w:next w:val="Normal"/>
    <w:autoRedefine/>
    <w:uiPriority w:val="39"/>
    <w:unhideWhenUsed/>
    <w:rsid w:val="00FA02B5"/>
    <w:pPr>
      <w:spacing w:before="0" w:after="100" w:line="259" w:lineRule="auto"/>
      <w:ind w:left="880"/>
    </w:pPr>
    <w:rPr>
      <w:rFonts w:eastAsia="Times New Roman"/>
      <w:sz w:val="22"/>
      <w:szCs w:val="22"/>
      <w:lang w:eastAsia="en-AU"/>
    </w:rPr>
  </w:style>
  <w:style w:type="paragraph" w:styleId="TOC6">
    <w:name w:val="toc 6"/>
    <w:basedOn w:val="Normal"/>
    <w:next w:val="Normal"/>
    <w:autoRedefine/>
    <w:uiPriority w:val="39"/>
    <w:unhideWhenUsed/>
    <w:rsid w:val="00FA02B5"/>
    <w:pPr>
      <w:spacing w:before="0" w:after="100" w:line="259" w:lineRule="auto"/>
      <w:ind w:left="1100"/>
    </w:pPr>
    <w:rPr>
      <w:rFonts w:eastAsia="Times New Roman"/>
      <w:sz w:val="22"/>
      <w:szCs w:val="22"/>
      <w:lang w:eastAsia="en-AU"/>
    </w:rPr>
  </w:style>
  <w:style w:type="paragraph" w:styleId="TOC7">
    <w:name w:val="toc 7"/>
    <w:basedOn w:val="Normal"/>
    <w:next w:val="Normal"/>
    <w:autoRedefine/>
    <w:uiPriority w:val="39"/>
    <w:unhideWhenUsed/>
    <w:rsid w:val="00FA02B5"/>
    <w:pPr>
      <w:spacing w:before="0" w:after="100" w:line="259" w:lineRule="auto"/>
      <w:ind w:left="1320"/>
    </w:pPr>
    <w:rPr>
      <w:rFonts w:eastAsia="Times New Roman"/>
      <w:sz w:val="22"/>
      <w:szCs w:val="22"/>
      <w:lang w:eastAsia="en-AU"/>
    </w:rPr>
  </w:style>
  <w:style w:type="paragraph" w:styleId="TOC8">
    <w:name w:val="toc 8"/>
    <w:basedOn w:val="Normal"/>
    <w:next w:val="Normal"/>
    <w:autoRedefine/>
    <w:uiPriority w:val="39"/>
    <w:unhideWhenUsed/>
    <w:rsid w:val="00FA02B5"/>
    <w:pPr>
      <w:spacing w:before="0" w:after="100" w:line="259" w:lineRule="auto"/>
      <w:ind w:left="1540"/>
    </w:pPr>
    <w:rPr>
      <w:rFonts w:eastAsia="Times New Roman"/>
      <w:sz w:val="22"/>
      <w:szCs w:val="22"/>
      <w:lang w:eastAsia="en-AU"/>
    </w:rPr>
  </w:style>
  <w:style w:type="paragraph" w:styleId="TOC9">
    <w:name w:val="toc 9"/>
    <w:basedOn w:val="Normal"/>
    <w:next w:val="Normal"/>
    <w:autoRedefine/>
    <w:uiPriority w:val="39"/>
    <w:unhideWhenUsed/>
    <w:rsid w:val="00FA02B5"/>
    <w:pPr>
      <w:spacing w:before="0" w:after="100" w:line="259" w:lineRule="auto"/>
      <w:ind w:left="1760"/>
    </w:pPr>
    <w:rPr>
      <w:rFonts w:eastAsia="Times New Roman"/>
      <w:sz w:val="22"/>
      <w:szCs w:val="22"/>
      <w:lang w:eastAsia="en-AU"/>
    </w:rPr>
  </w:style>
  <w:style w:type="paragraph" w:customStyle="1" w:styleId="References">
    <w:name w:val="References"/>
    <w:qFormat/>
    <w:rsid w:val="004504BE"/>
    <w:pPr>
      <w:spacing w:before="80"/>
      <w:ind w:left="284" w:hanging="284"/>
    </w:pPr>
    <w:rPr>
      <w:sz w:val="18"/>
      <w:szCs w:val="24"/>
      <w:lang w:eastAsia="en-US"/>
    </w:rPr>
  </w:style>
  <w:style w:type="paragraph" w:styleId="NormalWeb">
    <w:name w:val="Normal (Web)"/>
    <w:basedOn w:val="Normal"/>
    <w:uiPriority w:val="99"/>
    <w:semiHidden/>
    <w:unhideWhenUsed/>
    <w:rsid w:val="009D3242"/>
    <w:pPr>
      <w:spacing w:before="100" w:beforeAutospacing="1" w:after="100" w:afterAutospacing="1" w:line="240" w:lineRule="auto"/>
    </w:pPr>
    <w:rPr>
      <w:rFonts w:ascii="Times New Roman" w:eastAsia="Times New Roman" w:hAnsi="Times New Roman"/>
      <w:lang w:eastAsia="en-AU"/>
    </w:rPr>
  </w:style>
  <w:style w:type="character" w:styleId="IntenseEmphasis">
    <w:name w:val="Intense Emphasis"/>
    <w:basedOn w:val="DefaultParagraphFont"/>
    <w:uiPriority w:val="21"/>
    <w:qFormat/>
    <w:rsid w:val="00D32790"/>
    <w:rPr>
      <w:b/>
      <w:bCs/>
      <w:i/>
      <w:iCs/>
      <w:color w:val="4F81BD" w:themeColor="accent1"/>
    </w:rPr>
  </w:style>
  <w:style w:type="paragraph" w:styleId="Subtitle">
    <w:name w:val="Subtitle"/>
    <w:basedOn w:val="Normal"/>
    <w:next w:val="Normal"/>
    <w:link w:val="SubtitleChar"/>
    <w:qFormat/>
    <w:rsid w:val="00D32790"/>
    <w:pPr>
      <w:numPr>
        <w:ilvl w:val="1"/>
      </w:numPr>
      <w:spacing w:before="0" w:line="240" w:lineRule="auto"/>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D32790"/>
    <w:rPr>
      <w:rFonts w:asciiTheme="majorHAnsi" w:eastAsiaTheme="majorEastAsia" w:hAnsiTheme="majorHAnsi" w:cstheme="majorBidi"/>
      <w:iCs/>
      <w:spacing w:val="15"/>
      <w:sz w:val="24"/>
      <w:szCs w:val="24"/>
      <w:lang w:eastAsia="en-US"/>
    </w:rPr>
  </w:style>
  <w:style w:type="character" w:customStyle="1" w:styleId="ListParagraphChar">
    <w:name w:val="List Paragraph Char"/>
    <w:aliases w:val="Footnote Char,BulletPoints Char,List Paragraph1 Char,Recommendation Char,Paragraph Char"/>
    <w:basedOn w:val="DefaultParagraphFont"/>
    <w:link w:val="ListParagraph"/>
    <w:uiPriority w:val="34"/>
    <w:rsid w:val="00ED61E9"/>
    <w:rPr>
      <w:sz w:val="24"/>
      <w:szCs w:val="24"/>
      <w:lang w:eastAsia="en-US"/>
    </w:rPr>
  </w:style>
  <w:style w:type="paragraph" w:customStyle="1" w:styleId="ToR1TableHeader">
    <w:name w:val="ToR 1 Table Header"/>
    <w:basedOn w:val="Caption"/>
    <w:link w:val="ToR1TableHeaderChar"/>
    <w:qFormat/>
    <w:rsid w:val="00E939EF"/>
  </w:style>
  <w:style w:type="paragraph" w:customStyle="1" w:styleId="TOR1HeaderFigure">
    <w:name w:val="TOR 1 Header Figure"/>
    <w:basedOn w:val="Caption"/>
    <w:link w:val="TOR1HeaderFigureChar"/>
    <w:qFormat/>
    <w:rsid w:val="009D4A65"/>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w:basedOn w:val="DefaultParagraphFont"/>
    <w:link w:val="Caption"/>
    <w:uiPriority w:val="35"/>
    <w:rsid w:val="00665040"/>
    <w:rPr>
      <w:rFonts w:asciiTheme="minorHAnsi" w:hAnsiTheme="minorHAnsi"/>
      <w:b/>
      <w:iCs/>
      <w:sz w:val="24"/>
      <w:szCs w:val="18"/>
      <w:lang w:eastAsia="en-US"/>
    </w:rPr>
  </w:style>
  <w:style w:type="character" w:customStyle="1" w:styleId="ToR1TableHeaderChar">
    <w:name w:val="ToR 1 Table Header Char"/>
    <w:basedOn w:val="CaptionChar"/>
    <w:link w:val="ToR1TableHeader"/>
    <w:rsid w:val="00E939EF"/>
    <w:rPr>
      <w:rFonts w:asciiTheme="minorHAnsi" w:hAnsiTheme="minorHAnsi"/>
      <w:b/>
      <w:iCs/>
      <w:sz w:val="24"/>
      <w:szCs w:val="18"/>
      <w:lang w:eastAsia="en-US"/>
    </w:rPr>
  </w:style>
  <w:style w:type="paragraph" w:customStyle="1" w:styleId="BackgroundTable">
    <w:name w:val="Background Table"/>
    <w:basedOn w:val="Caption"/>
    <w:link w:val="BackgroundTableChar"/>
    <w:qFormat/>
    <w:rsid w:val="009D4A65"/>
    <w:pPr>
      <w:spacing w:before="0"/>
    </w:pPr>
  </w:style>
  <w:style w:type="character" w:customStyle="1" w:styleId="TOR1HeaderFigureChar">
    <w:name w:val="TOR 1 Header Figure Char"/>
    <w:basedOn w:val="CaptionChar"/>
    <w:link w:val="TOR1HeaderFigure"/>
    <w:rsid w:val="009D4A65"/>
    <w:rPr>
      <w:rFonts w:ascii="Arial" w:hAnsi="Arial"/>
      <w:b/>
      <w:iCs/>
      <w:sz w:val="24"/>
      <w:szCs w:val="18"/>
      <w:lang w:eastAsia="en-US"/>
    </w:rPr>
  </w:style>
  <w:style w:type="paragraph" w:customStyle="1" w:styleId="BackgroundFigure">
    <w:name w:val="Background Figure"/>
    <w:basedOn w:val="Caption"/>
    <w:link w:val="BackgroundFigureChar"/>
    <w:qFormat/>
    <w:rsid w:val="00A0482D"/>
  </w:style>
  <w:style w:type="character" w:customStyle="1" w:styleId="BackgroundTableChar">
    <w:name w:val="Background Table Char"/>
    <w:basedOn w:val="CaptionChar"/>
    <w:link w:val="BackgroundTable"/>
    <w:rsid w:val="009D4A65"/>
    <w:rPr>
      <w:rFonts w:ascii="Arial" w:hAnsi="Arial"/>
      <w:b/>
      <w:iCs/>
      <w:sz w:val="24"/>
      <w:szCs w:val="18"/>
      <w:lang w:eastAsia="en-US"/>
    </w:rPr>
  </w:style>
  <w:style w:type="character" w:customStyle="1" w:styleId="BackgroundFigureChar">
    <w:name w:val="Background Figure Char"/>
    <w:basedOn w:val="CaptionChar"/>
    <w:link w:val="BackgroundFigure"/>
    <w:rsid w:val="00A0482D"/>
    <w:rPr>
      <w:rFonts w:ascii="Arial" w:hAnsi="Arial"/>
      <w:b/>
      <w:iCs/>
      <w:sz w:val="24"/>
      <w:szCs w:val="18"/>
      <w:lang w:eastAsia="en-US"/>
    </w:rPr>
  </w:style>
  <w:style w:type="paragraph" w:customStyle="1" w:styleId="Tablenote">
    <w:name w:val="Table note"/>
    <w:basedOn w:val="Normal"/>
    <w:link w:val="TablenoteChar"/>
    <w:qFormat/>
    <w:rsid w:val="00EC7581"/>
    <w:pPr>
      <w:spacing w:before="0" w:after="200" w:line="240" w:lineRule="auto"/>
      <w:contextualSpacing/>
    </w:pPr>
    <w:rPr>
      <w:rFonts w:eastAsiaTheme="minorEastAsia" w:cs="Baskerville"/>
      <w:sz w:val="20"/>
      <w:szCs w:val="20"/>
      <w:lang w:eastAsia="en-AU"/>
    </w:rPr>
  </w:style>
  <w:style w:type="character" w:customStyle="1" w:styleId="TablenoteChar">
    <w:name w:val="Table note Char"/>
    <w:basedOn w:val="DefaultParagraphFont"/>
    <w:link w:val="Tablenote"/>
    <w:rsid w:val="00EC7581"/>
    <w:rPr>
      <w:rFonts w:ascii="Calibri" w:eastAsiaTheme="minorEastAsia" w:hAnsi="Calibri" w:cs="Baskerville"/>
    </w:rPr>
  </w:style>
  <w:style w:type="paragraph" w:customStyle="1" w:styleId="TableText">
    <w:name w:val="Table Text"/>
    <w:basedOn w:val="Normal"/>
    <w:qFormat/>
    <w:rsid w:val="00EC7581"/>
    <w:pPr>
      <w:spacing w:before="60" w:after="60" w:line="240" w:lineRule="auto"/>
    </w:pPr>
    <w:rPr>
      <w:rFonts w:eastAsia="Times New Roman" w:cs="Arial"/>
      <w:sz w:val="20"/>
      <w:szCs w:val="22"/>
      <w:lang w:eastAsia="en-AU"/>
    </w:rPr>
  </w:style>
  <w:style w:type="paragraph" w:customStyle="1" w:styleId="Tabletext0">
    <w:name w:val="Table text"/>
    <w:basedOn w:val="Normal"/>
    <w:link w:val="TabletextChar"/>
    <w:qFormat/>
    <w:rsid w:val="0056375C"/>
    <w:pPr>
      <w:autoSpaceDE w:val="0"/>
      <w:autoSpaceDN w:val="0"/>
      <w:adjustRightInd w:val="0"/>
      <w:spacing w:before="60" w:after="60" w:line="240" w:lineRule="auto"/>
    </w:pPr>
    <w:rPr>
      <w:rFonts w:eastAsiaTheme="minorEastAsia" w:cs="Calibri"/>
      <w:sz w:val="20"/>
      <w:szCs w:val="20"/>
      <w:lang w:eastAsia="en-AU"/>
    </w:rPr>
  </w:style>
  <w:style w:type="character" w:customStyle="1" w:styleId="TabletextChar">
    <w:name w:val="Table text Char"/>
    <w:basedOn w:val="DefaultParagraphFont"/>
    <w:link w:val="Tabletext0"/>
    <w:rsid w:val="0056375C"/>
    <w:rPr>
      <w:rFonts w:ascii="Calibri" w:eastAsiaTheme="minorEastAsia" w:hAnsi="Calibri" w:cs="Calibri"/>
    </w:rPr>
  </w:style>
  <w:style w:type="table" w:customStyle="1" w:styleId="TableGrid7">
    <w:name w:val="Table Grid7"/>
    <w:basedOn w:val="TableNormal"/>
    <w:next w:val="TableGrid"/>
    <w:uiPriority w:val="39"/>
    <w:rsid w:val="000F5DA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 text"/>
    <w:basedOn w:val="TableText"/>
    <w:rsid w:val="000F5DA6"/>
    <w:pPr>
      <w:keepNext/>
    </w:pPr>
    <w:rPr>
      <w:color w:val="000000"/>
      <w:szCs w:val="20"/>
    </w:rPr>
  </w:style>
  <w:style w:type="paragraph" w:customStyle="1" w:styleId="EndNoteBibliographyTitle">
    <w:name w:val="EndNote Bibliography Title"/>
    <w:basedOn w:val="Normal"/>
    <w:link w:val="EndNoteBibliographyTitleChar"/>
    <w:rsid w:val="00DC475B"/>
    <w:pPr>
      <w:jc w:val="center"/>
    </w:pPr>
    <w:rPr>
      <w:noProof/>
      <w:lang w:val="en-US"/>
    </w:rPr>
  </w:style>
  <w:style w:type="character" w:customStyle="1" w:styleId="EndNoteBibliographyTitleChar">
    <w:name w:val="EndNote Bibliography Title Char"/>
    <w:basedOn w:val="DefaultParagraphFont"/>
    <w:link w:val="EndNoteBibliographyTitle"/>
    <w:rsid w:val="00DC475B"/>
    <w:rPr>
      <w:noProof/>
      <w:sz w:val="24"/>
      <w:szCs w:val="24"/>
      <w:lang w:val="en-US" w:eastAsia="en-US"/>
    </w:rPr>
  </w:style>
  <w:style w:type="paragraph" w:customStyle="1" w:styleId="EndNoteBibliography">
    <w:name w:val="EndNote Bibliography"/>
    <w:basedOn w:val="Normal"/>
    <w:link w:val="EndNoteBibliographyChar"/>
    <w:rsid w:val="00DC475B"/>
    <w:pPr>
      <w:spacing w:line="240" w:lineRule="auto"/>
    </w:pPr>
    <w:rPr>
      <w:noProof/>
      <w:lang w:val="en-US"/>
    </w:rPr>
  </w:style>
  <w:style w:type="character" w:customStyle="1" w:styleId="EndNoteBibliographyChar">
    <w:name w:val="EndNote Bibliography Char"/>
    <w:basedOn w:val="DefaultParagraphFont"/>
    <w:link w:val="EndNoteBibliography"/>
    <w:rsid w:val="00DC475B"/>
    <w:rPr>
      <w:noProof/>
      <w:sz w:val="24"/>
      <w:szCs w:val="24"/>
      <w:lang w:val="en-US" w:eastAsia="en-US"/>
    </w:rPr>
  </w:style>
  <w:style w:type="character" w:customStyle="1" w:styleId="y0nh2b">
    <w:name w:val="y0nh2b"/>
    <w:basedOn w:val="DefaultParagraphFont"/>
    <w:rsid w:val="00F958DA"/>
  </w:style>
  <w:style w:type="paragraph" w:customStyle="1" w:styleId="MDsubHead3">
    <w:name w:val="MD sub Head 3"/>
    <w:basedOn w:val="Heading4"/>
    <w:link w:val="MDsubHead3Char"/>
    <w:qFormat/>
    <w:rsid w:val="00A57C2B"/>
    <w:pPr>
      <w:numPr>
        <w:ilvl w:val="0"/>
        <w:numId w:val="0"/>
      </w:numPr>
      <w:spacing w:before="200" w:line="240" w:lineRule="auto"/>
    </w:pPr>
    <w:rPr>
      <w:rFonts w:asciiTheme="majorHAnsi" w:eastAsiaTheme="majorEastAsia" w:hAnsiTheme="majorHAnsi" w:cstheme="majorBidi"/>
      <w:bCs/>
      <w:i/>
      <w:color w:val="4F81BD" w:themeColor="accent1"/>
      <w:szCs w:val="22"/>
      <w:lang w:val="en-GB" w:eastAsia="en-AU"/>
    </w:rPr>
  </w:style>
  <w:style w:type="character" w:customStyle="1" w:styleId="MDsubHead3Char">
    <w:name w:val="MD sub Head 3 Char"/>
    <w:basedOn w:val="DefaultParagraphFont"/>
    <w:link w:val="MDsubHead3"/>
    <w:rsid w:val="00A57C2B"/>
    <w:rPr>
      <w:rFonts w:asciiTheme="majorHAnsi" w:eastAsiaTheme="majorEastAsia" w:hAnsiTheme="majorHAnsi" w:cstheme="majorBidi"/>
      <w:b/>
      <w:bCs/>
      <w:i/>
      <w:iCs/>
      <w:color w:val="4F81BD" w:themeColor="accent1"/>
      <w:sz w:val="24"/>
      <w:szCs w:val="22"/>
      <w:lang w:val="en-GB"/>
    </w:rPr>
  </w:style>
  <w:style w:type="paragraph" w:styleId="NoSpacing">
    <w:name w:val="No Spacing"/>
    <w:uiPriority w:val="1"/>
    <w:qFormat/>
    <w:rsid w:val="001646A7"/>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1391">
      <w:bodyDiv w:val="1"/>
      <w:marLeft w:val="0"/>
      <w:marRight w:val="0"/>
      <w:marTop w:val="0"/>
      <w:marBottom w:val="0"/>
      <w:divBdr>
        <w:top w:val="none" w:sz="0" w:space="0" w:color="auto"/>
        <w:left w:val="none" w:sz="0" w:space="0" w:color="auto"/>
        <w:bottom w:val="none" w:sz="0" w:space="0" w:color="auto"/>
        <w:right w:val="none" w:sz="0" w:space="0" w:color="auto"/>
      </w:divBdr>
    </w:div>
    <w:div w:id="46535255">
      <w:bodyDiv w:val="1"/>
      <w:marLeft w:val="0"/>
      <w:marRight w:val="0"/>
      <w:marTop w:val="0"/>
      <w:marBottom w:val="0"/>
      <w:divBdr>
        <w:top w:val="none" w:sz="0" w:space="0" w:color="auto"/>
        <w:left w:val="none" w:sz="0" w:space="0" w:color="auto"/>
        <w:bottom w:val="none" w:sz="0" w:space="0" w:color="auto"/>
        <w:right w:val="none" w:sz="0" w:space="0" w:color="auto"/>
      </w:divBdr>
    </w:div>
    <w:div w:id="136264690">
      <w:bodyDiv w:val="1"/>
      <w:marLeft w:val="0"/>
      <w:marRight w:val="0"/>
      <w:marTop w:val="0"/>
      <w:marBottom w:val="0"/>
      <w:divBdr>
        <w:top w:val="none" w:sz="0" w:space="0" w:color="auto"/>
        <w:left w:val="none" w:sz="0" w:space="0" w:color="auto"/>
        <w:bottom w:val="none" w:sz="0" w:space="0" w:color="auto"/>
        <w:right w:val="none" w:sz="0" w:space="0" w:color="auto"/>
      </w:divBdr>
    </w:div>
    <w:div w:id="137768904">
      <w:bodyDiv w:val="1"/>
      <w:marLeft w:val="0"/>
      <w:marRight w:val="0"/>
      <w:marTop w:val="0"/>
      <w:marBottom w:val="0"/>
      <w:divBdr>
        <w:top w:val="none" w:sz="0" w:space="0" w:color="auto"/>
        <w:left w:val="none" w:sz="0" w:space="0" w:color="auto"/>
        <w:bottom w:val="none" w:sz="0" w:space="0" w:color="auto"/>
        <w:right w:val="none" w:sz="0" w:space="0" w:color="auto"/>
      </w:divBdr>
    </w:div>
    <w:div w:id="194924475">
      <w:bodyDiv w:val="1"/>
      <w:marLeft w:val="0"/>
      <w:marRight w:val="0"/>
      <w:marTop w:val="0"/>
      <w:marBottom w:val="0"/>
      <w:divBdr>
        <w:top w:val="none" w:sz="0" w:space="0" w:color="auto"/>
        <w:left w:val="none" w:sz="0" w:space="0" w:color="auto"/>
        <w:bottom w:val="none" w:sz="0" w:space="0" w:color="auto"/>
        <w:right w:val="none" w:sz="0" w:space="0" w:color="auto"/>
      </w:divBdr>
    </w:div>
    <w:div w:id="25416980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68">
          <w:marLeft w:val="0"/>
          <w:marRight w:val="0"/>
          <w:marTop w:val="0"/>
          <w:marBottom w:val="0"/>
          <w:divBdr>
            <w:top w:val="none" w:sz="0" w:space="0" w:color="auto"/>
            <w:left w:val="none" w:sz="0" w:space="0" w:color="auto"/>
            <w:bottom w:val="none" w:sz="0" w:space="0" w:color="auto"/>
            <w:right w:val="none" w:sz="0" w:space="0" w:color="auto"/>
          </w:divBdr>
        </w:div>
      </w:divsChild>
    </w:div>
    <w:div w:id="275870600">
      <w:bodyDiv w:val="1"/>
      <w:marLeft w:val="0"/>
      <w:marRight w:val="0"/>
      <w:marTop w:val="0"/>
      <w:marBottom w:val="0"/>
      <w:divBdr>
        <w:top w:val="none" w:sz="0" w:space="0" w:color="auto"/>
        <w:left w:val="none" w:sz="0" w:space="0" w:color="auto"/>
        <w:bottom w:val="none" w:sz="0" w:space="0" w:color="auto"/>
        <w:right w:val="none" w:sz="0" w:space="0" w:color="auto"/>
      </w:divBdr>
    </w:div>
    <w:div w:id="298925745">
      <w:bodyDiv w:val="1"/>
      <w:marLeft w:val="0"/>
      <w:marRight w:val="0"/>
      <w:marTop w:val="0"/>
      <w:marBottom w:val="0"/>
      <w:divBdr>
        <w:top w:val="none" w:sz="0" w:space="0" w:color="auto"/>
        <w:left w:val="none" w:sz="0" w:space="0" w:color="auto"/>
        <w:bottom w:val="none" w:sz="0" w:space="0" w:color="auto"/>
        <w:right w:val="none" w:sz="0" w:space="0" w:color="auto"/>
      </w:divBdr>
      <w:divsChild>
        <w:div w:id="2030259649">
          <w:marLeft w:val="0"/>
          <w:marRight w:val="0"/>
          <w:marTop w:val="0"/>
          <w:marBottom w:val="0"/>
          <w:divBdr>
            <w:top w:val="none" w:sz="0" w:space="0" w:color="auto"/>
            <w:left w:val="none" w:sz="0" w:space="0" w:color="auto"/>
            <w:bottom w:val="none" w:sz="0" w:space="0" w:color="auto"/>
            <w:right w:val="none" w:sz="0" w:space="0" w:color="auto"/>
          </w:divBdr>
          <w:divsChild>
            <w:div w:id="2043555930">
              <w:marLeft w:val="0"/>
              <w:marRight w:val="0"/>
              <w:marTop w:val="0"/>
              <w:marBottom w:val="0"/>
              <w:divBdr>
                <w:top w:val="none" w:sz="0" w:space="0" w:color="auto"/>
                <w:left w:val="none" w:sz="0" w:space="0" w:color="auto"/>
                <w:bottom w:val="none" w:sz="0" w:space="0" w:color="auto"/>
                <w:right w:val="none" w:sz="0" w:space="0" w:color="auto"/>
              </w:divBdr>
              <w:divsChild>
                <w:div w:id="1379431784">
                  <w:marLeft w:val="0"/>
                  <w:marRight w:val="0"/>
                  <w:marTop w:val="0"/>
                  <w:marBottom w:val="0"/>
                  <w:divBdr>
                    <w:top w:val="none" w:sz="0" w:space="0" w:color="auto"/>
                    <w:left w:val="none" w:sz="0" w:space="0" w:color="auto"/>
                    <w:bottom w:val="none" w:sz="0" w:space="0" w:color="auto"/>
                    <w:right w:val="none" w:sz="0" w:space="0" w:color="auto"/>
                  </w:divBdr>
                  <w:divsChild>
                    <w:div w:id="34623099">
                      <w:marLeft w:val="0"/>
                      <w:marRight w:val="0"/>
                      <w:marTop w:val="0"/>
                      <w:marBottom w:val="0"/>
                      <w:divBdr>
                        <w:top w:val="none" w:sz="0" w:space="0" w:color="auto"/>
                        <w:left w:val="none" w:sz="0" w:space="0" w:color="auto"/>
                        <w:bottom w:val="none" w:sz="0" w:space="0" w:color="auto"/>
                        <w:right w:val="none" w:sz="0" w:space="0" w:color="auto"/>
                      </w:divBdr>
                      <w:divsChild>
                        <w:div w:id="994912339">
                          <w:marLeft w:val="0"/>
                          <w:marRight w:val="0"/>
                          <w:marTop w:val="0"/>
                          <w:marBottom w:val="0"/>
                          <w:divBdr>
                            <w:top w:val="none" w:sz="0" w:space="0" w:color="auto"/>
                            <w:left w:val="none" w:sz="0" w:space="0" w:color="auto"/>
                            <w:bottom w:val="none" w:sz="0" w:space="0" w:color="auto"/>
                            <w:right w:val="none" w:sz="0" w:space="0" w:color="auto"/>
                          </w:divBdr>
                          <w:divsChild>
                            <w:div w:id="38923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782159">
      <w:bodyDiv w:val="1"/>
      <w:marLeft w:val="0"/>
      <w:marRight w:val="0"/>
      <w:marTop w:val="0"/>
      <w:marBottom w:val="0"/>
      <w:divBdr>
        <w:top w:val="none" w:sz="0" w:space="0" w:color="auto"/>
        <w:left w:val="none" w:sz="0" w:space="0" w:color="auto"/>
        <w:bottom w:val="none" w:sz="0" w:space="0" w:color="auto"/>
        <w:right w:val="none" w:sz="0" w:space="0" w:color="auto"/>
      </w:divBdr>
      <w:divsChild>
        <w:div w:id="1614819175">
          <w:marLeft w:val="0"/>
          <w:marRight w:val="0"/>
          <w:marTop w:val="0"/>
          <w:marBottom w:val="0"/>
          <w:divBdr>
            <w:top w:val="none" w:sz="0" w:space="0" w:color="auto"/>
            <w:left w:val="none" w:sz="0" w:space="0" w:color="auto"/>
            <w:bottom w:val="none" w:sz="0" w:space="0" w:color="auto"/>
            <w:right w:val="none" w:sz="0" w:space="0" w:color="auto"/>
          </w:divBdr>
        </w:div>
      </w:divsChild>
    </w:div>
    <w:div w:id="354815996">
      <w:bodyDiv w:val="1"/>
      <w:marLeft w:val="0"/>
      <w:marRight w:val="0"/>
      <w:marTop w:val="0"/>
      <w:marBottom w:val="0"/>
      <w:divBdr>
        <w:top w:val="none" w:sz="0" w:space="0" w:color="auto"/>
        <w:left w:val="none" w:sz="0" w:space="0" w:color="auto"/>
        <w:bottom w:val="none" w:sz="0" w:space="0" w:color="auto"/>
        <w:right w:val="none" w:sz="0" w:space="0" w:color="auto"/>
      </w:divBdr>
    </w:div>
    <w:div w:id="485778547">
      <w:bodyDiv w:val="1"/>
      <w:marLeft w:val="0"/>
      <w:marRight w:val="0"/>
      <w:marTop w:val="0"/>
      <w:marBottom w:val="0"/>
      <w:divBdr>
        <w:top w:val="none" w:sz="0" w:space="0" w:color="auto"/>
        <w:left w:val="none" w:sz="0" w:space="0" w:color="auto"/>
        <w:bottom w:val="none" w:sz="0" w:space="0" w:color="auto"/>
        <w:right w:val="none" w:sz="0" w:space="0" w:color="auto"/>
      </w:divBdr>
    </w:div>
    <w:div w:id="504513210">
      <w:bodyDiv w:val="1"/>
      <w:marLeft w:val="0"/>
      <w:marRight w:val="0"/>
      <w:marTop w:val="0"/>
      <w:marBottom w:val="0"/>
      <w:divBdr>
        <w:top w:val="none" w:sz="0" w:space="0" w:color="auto"/>
        <w:left w:val="none" w:sz="0" w:space="0" w:color="auto"/>
        <w:bottom w:val="none" w:sz="0" w:space="0" w:color="auto"/>
        <w:right w:val="none" w:sz="0" w:space="0" w:color="auto"/>
      </w:divBdr>
      <w:divsChild>
        <w:div w:id="539443492">
          <w:marLeft w:val="0"/>
          <w:marRight w:val="0"/>
          <w:marTop w:val="0"/>
          <w:marBottom w:val="0"/>
          <w:divBdr>
            <w:top w:val="none" w:sz="0" w:space="0" w:color="auto"/>
            <w:left w:val="none" w:sz="0" w:space="0" w:color="auto"/>
            <w:bottom w:val="none" w:sz="0" w:space="0" w:color="auto"/>
            <w:right w:val="none" w:sz="0" w:space="0" w:color="auto"/>
          </w:divBdr>
          <w:divsChild>
            <w:div w:id="920868941">
              <w:marLeft w:val="0"/>
              <w:marRight w:val="0"/>
              <w:marTop w:val="0"/>
              <w:marBottom w:val="0"/>
              <w:divBdr>
                <w:top w:val="none" w:sz="0" w:space="0" w:color="auto"/>
                <w:left w:val="none" w:sz="0" w:space="0" w:color="auto"/>
                <w:bottom w:val="none" w:sz="0" w:space="0" w:color="auto"/>
                <w:right w:val="none" w:sz="0" w:space="0" w:color="auto"/>
              </w:divBdr>
              <w:divsChild>
                <w:div w:id="448280151">
                  <w:marLeft w:val="0"/>
                  <w:marRight w:val="0"/>
                  <w:marTop w:val="0"/>
                  <w:marBottom w:val="0"/>
                  <w:divBdr>
                    <w:top w:val="none" w:sz="0" w:space="0" w:color="auto"/>
                    <w:left w:val="none" w:sz="0" w:space="0" w:color="auto"/>
                    <w:bottom w:val="none" w:sz="0" w:space="0" w:color="auto"/>
                    <w:right w:val="none" w:sz="0" w:space="0" w:color="auto"/>
                  </w:divBdr>
                  <w:divsChild>
                    <w:div w:id="156409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608629">
      <w:bodyDiv w:val="1"/>
      <w:marLeft w:val="0"/>
      <w:marRight w:val="0"/>
      <w:marTop w:val="0"/>
      <w:marBottom w:val="0"/>
      <w:divBdr>
        <w:top w:val="none" w:sz="0" w:space="0" w:color="auto"/>
        <w:left w:val="none" w:sz="0" w:space="0" w:color="auto"/>
        <w:bottom w:val="none" w:sz="0" w:space="0" w:color="auto"/>
        <w:right w:val="none" w:sz="0" w:space="0" w:color="auto"/>
      </w:divBdr>
    </w:div>
    <w:div w:id="520437451">
      <w:bodyDiv w:val="1"/>
      <w:marLeft w:val="0"/>
      <w:marRight w:val="0"/>
      <w:marTop w:val="0"/>
      <w:marBottom w:val="0"/>
      <w:divBdr>
        <w:top w:val="none" w:sz="0" w:space="0" w:color="auto"/>
        <w:left w:val="none" w:sz="0" w:space="0" w:color="auto"/>
        <w:bottom w:val="none" w:sz="0" w:space="0" w:color="auto"/>
        <w:right w:val="none" w:sz="0" w:space="0" w:color="auto"/>
      </w:divBdr>
    </w:div>
    <w:div w:id="527984166">
      <w:bodyDiv w:val="1"/>
      <w:marLeft w:val="0"/>
      <w:marRight w:val="0"/>
      <w:marTop w:val="0"/>
      <w:marBottom w:val="0"/>
      <w:divBdr>
        <w:top w:val="none" w:sz="0" w:space="0" w:color="auto"/>
        <w:left w:val="none" w:sz="0" w:space="0" w:color="auto"/>
        <w:bottom w:val="none" w:sz="0" w:space="0" w:color="auto"/>
        <w:right w:val="none" w:sz="0" w:space="0" w:color="auto"/>
      </w:divBdr>
    </w:div>
    <w:div w:id="543324030">
      <w:bodyDiv w:val="1"/>
      <w:marLeft w:val="0"/>
      <w:marRight w:val="0"/>
      <w:marTop w:val="0"/>
      <w:marBottom w:val="0"/>
      <w:divBdr>
        <w:top w:val="none" w:sz="0" w:space="0" w:color="auto"/>
        <w:left w:val="none" w:sz="0" w:space="0" w:color="auto"/>
        <w:bottom w:val="none" w:sz="0" w:space="0" w:color="auto"/>
        <w:right w:val="none" w:sz="0" w:space="0" w:color="auto"/>
      </w:divBdr>
    </w:div>
    <w:div w:id="611592893">
      <w:bodyDiv w:val="1"/>
      <w:marLeft w:val="0"/>
      <w:marRight w:val="0"/>
      <w:marTop w:val="0"/>
      <w:marBottom w:val="0"/>
      <w:divBdr>
        <w:top w:val="none" w:sz="0" w:space="0" w:color="auto"/>
        <w:left w:val="none" w:sz="0" w:space="0" w:color="auto"/>
        <w:bottom w:val="none" w:sz="0" w:space="0" w:color="auto"/>
        <w:right w:val="none" w:sz="0" w:space="0" w:color="auto"/>
      </w:divBdr>
    </w:div>
    <w:div w:id="613564777">
      <w:bodyDiv w:val="1"/>
      <w:marLeft w:val="0"/>
      <w:marRight w:val="0"/>
      <w:marTop w:val="0"/>
      <w:marBottom w:val="0"/>
      <w:divBdr>
        <w:top w:val="none" w:sz="0" w:space="0" w:color="auto"/>
        <w:left w:val="none" w:sz="0" w:space="0" w:color="auto"/>
        <w:bottom w:val="none" w:sz="0" w:space="0" w:color="auto"/>
        <w:right w:val="none" w:sz="0" w:space="0" w:color="auto"/>
      </w:divBdr>
    </w:div>
    <w:div w:id="627012483">
      <w:bodyDiv w:val="1"/>
      <w:marLeft w:val="0"/>
      <w:marRight w:val="0"/>
      <w:marTop w:val="0"/>
      <w:marBottom w:val="0"/>
      <w:divBdr>
        <w:top w:val="none" w:sz="0" w:space="0" w:color="auto"/>
        <w:left w:val="none" w:sz="0" w:space="0" w:color="auto"/>
        <w:bottom w:val="none" w:sz="0" w:space="0" w:color="auto"/>
        <w:right w:val="none" w:sz="0" w:space="0" w:color="auto"/>
      </w:divBdr>
    </w:div>
    <w:div w:id="677729229">
      <w:bodyDiv w:val="1"/>
      <w:marLeft w:val="0"/>
      <w:marRight w:val="0"/>
      <w:marTop w:val="0"/>
      <w:marBottom w:val="0"/>
      <w:divBdr>
        <w:top w:val="none" w:sz="0" w:space="0" w:color="auto"/>
        <w:left w:val="none" w:sz="0" w:space="0" w:color="auto"/>
        <w:bottom w:val="none" w:sz="0" w:space="0" w:color="auto"/>
        <w:right w:val="none" w:sz="0" w:space="0" w:color="auto"/>
      </w:divBdr>
    </w:div>
    <w:div w:id="761804994">
      <w:bodyDiv w:val="1"/>
      <w:marLeft w:val="0"/>
      <w:marRight w:val="0"/>
      <w:marTop w:val="0"/>
      <w:marBottom w:val="0"/>
      <w:divBdr>
        <w:top w:val="none" w:sz="0" w:space="0" w:color="auto"/>
        <w:left w:val="none" w:sz="0" w:space="0" w:color="auto"/>
        <w:bottom w:val="none" w:sz="0" w:space="0" w:color="auto"/>
        <w:right w:val="none" w:sz="0" w:space="0" w:color="auto"/>
      </w:divBdr>
      <w:divsChild>
        <w:div w:id="865023283">
          <w:marLeft w:val="0"/>
          <w:marRight w:val="0"/>
          <w:marTop w:val="0"/>
          <w:marBottom w:val="0"/>
          <w:divBdr>
            <w:top w:val="none" w:sz="0" w:space="0" w:color="auto"/>
            <w:left w:val="none" w:sz="0" w:space="0" w:color="auto"/>
            <w:bottom w:val="none" w:sz="0" w:space="0" w:color="auto"/>
            <w:right w:val="none" w:sz="0" w:space="0" w:color="auto"/>
          </w:divBdr>
        </w:div>
      </w:divsChild>
    </w:div>
    <w:div w:id="781457472">
      <w:bodyDiv w:val="1"/>
      <w:marLeft w:val="0"/>
      <w:marRight w:val="0"/>
      <w:marTop w:val="0"/>
      <w:marBottom w:val="0"/>
      <w:divBdr>
        <w:top w:val="none" w:sz="0" w:space="0" w:color="auto"/>
        <w:left w:val="none" w:sz="0" w:space="0" w:color="auto"/>
        <w:bottom w:val="none" w:sz="0" w:space="0" w:color="auto"/>
        <w:right w:val="none" w:sz="0" w:space="0" w:color="auto"/>
      </w:divBdr>
      <w:divsChild>
        <w:div w:id="1725132626">
          <w:marLeft w:val="0"/>
          <w:marRight w:val="0"/>
          <w:marTop w:val="0"/>
          <w:marBottom w:val="0"/>
          <w:divBdr>
            <w:top w:val="none" w:sz="0" w:space="0" w:color="auto"/>
            <w:left w:val="none" w:sz="0" w:space="0" w:color="auto"/>
            <w:bottom w:val="none" w:sz="0" w:space="0" w:color="auto"/>
            <w:right w:val="none" w:sz="0" w:space="0" w:color="auto"/>
          </w:divBdr>
        </w:div>
      </w:divsChild>
    </w:div>
    <w:div w:id="827480491">
      <w:bodyDiv w:val="1"/>
      <w:marLeft w:val="0"/>
      <w:marRight w:val="0"/>
      <w:marTop w:val="0"/>
      <w:marBottom w:val="0"/>
      <w:divBdr>
        <w:top w:val="none" w:sz="0" w:space="0" w:color="auto"/>
        <w:left w:val="none" w:sz="0" w:space="0" w:color="auto"/>
        <w:bottom w:val="none" w:sz="0" w:space="0" w:color="auto"/>
        <w:right w:val="none" w:sz="0" w:space="0" w:color="auto"/>
      </w:divBdr>
    </w:div>
    <w:div w:id="834686261">
      <w:bodyDiv w:val="1"/>
      <w:marLeft w:val="0"/>
      <w:marRight w:val="0"/>
      <w:marTop w:val="0"/>
      <w:marBottom w:val="0"/>
      <w:divBdr>
        <w:top w:val="none" w:sz="0" w:space="0" w:color="auto"/>
        <w:left w:val="none" w:sz="0" w:space="0" w:color="auto"/>
        <w:bottom w:val="none" w:sz="0" w:space="0" w:color="auto"/>
        <w:right w:val="none" w:sz="0" w:space="0" w:color="auto"/>
      </w:divBdr>
    </w:div>
    <w:div w:id="856425193">
      <w:bodyDiv w:val="1"/>
      <w:marLeft w:val="0"/>
      <w:marRight w:val="0"/>
      <w:marTop w:val="0"/>
      <w:marBottom w:val="0"/>
      <w:divBdr>
        <w:top w:val="none" w:sz="0" w:space="0" w:color="auto"/>
        <w:left w:val="none" w:sz="0" w:space="0" w:color="auto"/>
        <w:bottom w:val="none" w:sz="0" w:space="0" w:color="auto"/>
        <w:right w:val="none" w:sz="0" w:space="0" w:color="auto"/>
      </w:divBdr>
    </w:div>
    <w:div w:id="904997926">
      <w:bodyDiv w:val="1"/>
      <w:marLeft w:val="0"/>
      <w:marRight w:val="0"/>
      <w:marTop w:val="0"/>
      <w:marBottom w:val="0"/>
      <w:divBdr>
        <w:top w:val="none" w:sz="0" w:space="0" w:color="auto"/>
        <w:left w:val="none" w:sz="0" w:space="0" w:color="auto"/>
        <w:bottom w:val="none" w:sz="0" w:space="0" w:color="auto"/>
        <w:right w:val="none" w:sz="0" w:space="0" w:color="auto"/>
      </w:divBdr>
    </w:div>
    <w:div w:id="945114641">
      <w:bodyDiv w:val="1"/>
      <w:marLeft w:val="0"/>
      <w:marRight w:val="0"/>
      <w:marTop w:val="0"/>
      <w:marBottom w:val="0"/>
      <w:divBdr>
        <w:top w:val="none" w:sz="0" w:space="0" w:color="auto"/>
        <w:left w:val="none" w:sz="0" w:space="0" w:color="auto"/>
        <w:bottom w:val="none" w:sz="0" w:space="0" w:color="auto"/>
        <w:right w:val="none" w:sz="0" w:space="0" w:color="auto"/>
      </w:divBdr>
    </w:div>
    <w:div w:id="973828840">
      <w:bodyDiv w:val="1"/>
      <w:marLeft w:val="0"/>
      <w:marRight w:val="0"/>
      <w:marTop w:val="0"/>
      <w:marBottom w:val="0"/>
      <w:divBdr>
        <w:top w:val="none" w:sz="0" w:space="0" w:color="auto"/>
        <w:left w:val="none" w:sz="0" w:space="0" w:color="auto"/>
        <w:bottom w:val="none" w:sz="0" w:space="0" w:color="auto"/>
        <w:right w:val="none" w:sz="0" w:space="0" w:color="auto"/>
      </w:divBdr>
    </w:div>
    <w:div w:id="991637432">
      <w:bodyDiv w:val="1"/>
      <w:marLeft w:val="0"/>
      <w:marRight w:val="0"/>
      <w:marTop w:val="0"/>
      <w:marBottom w:val="0"/>
      <w:divBdr>
        <w:top w:val="none" w:sz="0" w:space="0" w:color="auto"/>
        <w:left w:val="none" w:sz="0" w:space="0" w:color="auto"/>
        <w:bottom w:val="none" w:sz="0" w:space="0" w:color="auto"/>
        <w:right w:val="none" w:sz="0" w:space="0" w:color="auto"/>
      </w:divBdr>
    </w:div>
    <w:div w:id="1012293766">
      <w:bodyDiv w:val="1"/>
      <w:marLeft w:val="0"/>
      <w:marRight w:val="0"/>
      <w:marTop w:val="0"/>
      <w:marBottom w:val="0"/>
      <w:divBdr>
        <w:top w:val="none" w:sz="0" w:space="0" w:color="auto"/>
        <w:left w:val="none" w:sz="0" w:space="0" w:color="auto"/>
        <w:bottom w:val="none" w:sz="0" w:space="0" w:color="auto"/>
        <w:right w:val="none" w:sz="0" w:space="0" w:color="auto"/>
      </w:divBdr>
    </w:div>
    <w:div w:id="1078402599">
      <w:bodyDiv w:val="1"/>
      <w:marLeft w:val="0"/>
      <w:marRight w:val="0"/>
      <w:marTop w:val="0"/>
      <w:marBottom w:val="0"/>
      <w:divBdr>
        <w:top w:val="none" w:sz="0" w:space="0" w:color="auto"/>
        <w:left w:val="none" w:sz="0" w:space="0" w:color="auto"/>
        <w:bottom w:val="none" w:sz="0" w:space="0" w:color="auto"/>
        <w:right w:val="none" w:sz="0" w:space="0" w:color="auto"/>
      </w:divBdr>
    </w:div>
    <w:div w:id="1082219089">
      <w:bodyDiv w:val="1"/>
      <w:marLeft w:val="0"/>
      <w:marRight w:val="0"/>
      <w:marTop w:val="0"/>
      <w:marBottom w:val="0"/>
      <w:divBdr>
        <w:top w:val="none" w:sz="0" w:space="0" w:color="auto"/>
        <w:left w:val="none" w:sz="0" w:space="0" w:color="auto"/>
        <w:bottom w:val="none" w:sz="0" w:space="0" w:color="auto"/>
        <w:right w:val="none" w:sz="0" w:space="0" w:color="auto"/>
      </w:divBdr>
    </w:div>
    <w:div w:id="1116097800">
      <w:bodyDiv w:val="1"/>
      <w:marLeft w:val="0"/>
      <w:marRight w:val="0"/>
      <w:marTop w:val="0"/>
      <w:marBottom w:val="0"/>
      <w:divBdr>
        <w:top w:val="none" w:sz="0" w:space="0" w:color="auto"/>
        <w:left w:val="none" w:sz="0" w:space="0" w:color="auto"/>
        <w:bottom w:val="none" w:sz="0" w:space="0" w:color="auto"/>
        <w:right w:val="none" w:sz="0" w:space="0" w:color="auto"/>
      </w:divBdr>
    </w:div>
    <w:div w:id="1130518481">
      <w:bodyDiv w:val="1"/>
      <w:marLeft w:val="0"/>
      <w:marRight w:val="0"/>
      <w:marTop w:val="0"/>
      <w:marBottom w:val="0"/>
      <w:divBdr>
        <w:top w:val="none" w:sz="0" w:space="0" w:color="auto"/>
        <w:left w:val="none" w:sz="0" w:space="0" w:color="auto"/>
        <w:bottom w:val="none" w:sz="0" w:space="0" w:color="auto"/>
        <w:right w:val="none" w:sz="0" w:space="0" w:color="auto"/>
      </w:divBdr>
    </w:div>
    <w:div w:id="1151554448">
      <w:bodyDiv w:val="1"/>
      <w:marLeft w:val="0"/>
      <w:marRight w:val="0"/>
      <w:marTop w:val="0"/>
      <w:marBottom w:val="0"/>
      <w:divBdr>
        <w:top w:val="none" w:sz="0" w:space="0" w:color="auto"/>
        <w:left w:val="none" w:sz="0" w:space="0" w:color="auto"/>
        <w:bottom w:val="none" w:sz="0" w:space="0" w:color="auto"/>
        <w:right w:val="none" w:sz="0" w:space="0" w:color="auto"/>
      </w:divBdr>
    </w:div>
    <w:div w:id="1169446265">
      <w:bodyDiv w:val="1"/>
      <w:marLeft w:val="0"/>
      <w:marRight w:val="0"/>
      <w:marTop w:val="0"/>
      <w:marBottom w:val="0"/>
      <w:divBdr>
        <w:top w:val="none" w:sz="0" w:space="0" w:color="auto"/>
        <w:left w:val="none" w:sz="0" w:space="0" w:color="auto"/>
        <w:bottom w:val="none" w:sz="0" w:space="0" w:color="auto"/>
        <w:right w:val="none" w:sz="0" w:space="0" w:color="auto"/>
      </w:divBdr>
    </w:div>
    <w:div w:id="1180046739">
      <w:bodyDiv w:val="1"/>
      <w:marLeft w:val="0"/>
      <w:marRight w:val="0"/>
      <w:marTop w:val="0"/>
      <w:marBottom w:val="0"/>
      <w:divBdr>
        <w:top w:val="none" w:sz="0" w:space="0" w:color="auto"/>
        <w:left w:val="none" w:sz="0" w:space="0" w:color="auto"/>
        <w:bottom w:val="none" w:sz="0" w:space="0" w:color="auto"/>
        <w:right w:val="none" w:sz="0" w:space="0" w:color="auto"/>
      </w:divBdr>
    </w:div>
    <w:div w:id="1206024084">
      <w:bodyDiv w:val="1"/>
      <w:marLeft w:val="0"/>
      <w:marRight w:val="0"/>
      <w:marTop w:val="0"/>
      <w:marBottom w:val="0"/>
      <w:divBdr>
        <w:top w:val="none" w:sz="0" w:space="0" w:color="auto"/>
        <w:left w:val="none" w:sz="0" w:space="0" w:color="auto"/>
        <w:bottom w:val="none" w:sz="0" w:space="0" w:color="auto"/>
        <w:right w:val="none" w:sz="0" w:space="0" w:color="auto"/>
      </w:divBdr>
      <w:divsChild>
        <w:div w:id="1046753543">
          <w:marLeft w:val="0"/>
          <w:marRight w:val="0"/>
          <w:marTop w:val="0"/>
          <w:marBottom w:val="0"/>
          <w:divBdr>
            <w:top w:val="none" w:sz="0" w:space="0" w:color="auto"/>
            <w:left w:val="none" w:sz="0" w:space="0" w:color="auto"/>
            <w:bottom w:val="none" w:sz="0" w:space="0" w:color="auto"/>
            <w:right w:val="none" w:sz="0" w:space="0" w:color="auto"/>
          </w:divBdr>
        </w:div>
      </w:divsChild>
    </w:div>
    <w:div w:id="1208377154">
      <w:bodyDiv w:val="1"/>
      <w:marLeft w:val="0"/>
      <w:marRight w:val="0"/>
      <w:marTop w:val="0"/>
      <w:marBottom w:val="0"/>
      <w:divBdr>
        <w:top w:val="none" w:sz="0" w:space="0" w:color="auto"/>
        <w:left w:val="none" w:sz="0" w:space="0" w:color="auto"/>
        <w:bottom w:val="none" w:sz="0" w:space="0" w:color="auto"/>
        <w:right w:val="none" w:sz="0" w:space="0" w:color="auto"/>
      </w:divBdr>
    </w:div>
    <w:div w:id="1267276845">
      <w:bodyDiv w:val="1"/>
      <w:marLeft w:val="0"/>
      <w:marRight w:val="0"/>
      <w:marTop w:val="0"/>
      <w:marBottom w:val="0"/>
      <w:divBdr>
        <w:top w:val="none" w:sz="0" w:space="0" w:color="auto"/>
        <w:left w:val="none" w:sz="0" w:space="0" w:color="auto"/>
        <w:bottom w:val="none" w:sz="0" w:space="0" w:color="auto"/>
        <w:right w:val="none" w:sz="0" w:space="0" w:color="auto"/>
      </w:divBdr>
    </w:div>
    <w:div w:id="1302006745">
      <w:bodyDiv w:val="1"/>
      <w:marLeft w:val="0"/>
      <w:marRight w:val="0"/>
      <w:marTop w:val="0"/>
      <w:marBottom w:val="0"/>
      <w:divBdr>
        <w:top w:val="none" w:sz="0" w:space="0" w:color="auto"/>
        <w:left w:val="none" w:sz="0" w:space="0" w:color="auto"/>
        <w:bottom w:val="none" w:sz="0" w:space="0" w:color="auto"/>
        <w:right w:val="none" w:sz="0" w:space="0" w:color="auto"/>
      </w:divBdr>
    </w:div>
    <w:div w:id="1307591621">
      <w:bodyDiv w:val="1"/>
      <w:marLeft w:val="0"/>
      <w:marRight w:val="0"/>
      <w:marTop w:val="0"/>
      <w:marBottom w:val="0"/>
      <w:divBdr>
        <w:top w:val="none" w:sz="0" w:space="0" w:color="auto"/>
        <w:left w:val="none" w:sz="0" w:space="0" w:color="auto"/>
        <w:bottom w:val="none" w:sz="0" w:space="0" w:color="auto"/>
        <w:right w:val="none" w:sz="0" w:space="0" w:color="auto"/>
      </w:divBdr>
    </w:div>
    <w:div w:id="1320697799">
      <w:bodyDiv w:val="1"/>
      <w:marLeft w:val="0"/>
      <w:marRight w:val="0"/>
      <w:marTop w:val="0"/>
      <w:marBottom w:val="0"/>
      <w:divBdr>
        <w:top w:val="none" w:sz="0" w:space="0" w:color="auto"/>
        <w:left w:val="none" w:sz="0" w:space="0" w:color="auto"/>
        <w:bottom w:val="none" w:sz="0" w:space="0" w:color="auto"/>
        <w:right w:val="none" w:sz="0" w:space="0" w:color="auto"/>
      </w:divBdr>
    </w:div>
    <w:div w:id="1323847305">
      <w:bodyDiv w:val="1"/>
      <w:marLeft w:val="0"/>
      <w:marRight w:val="0"/>
      <w:marTop w:val="0"/>
      <w:marBottom w:val="0"/>
      <w:divBdr>
        <w:top w:val="none" w:sz="0" w:space="0" w:color="auto"/>
        <w:left w:val="none" w:sz="0" w:space="0" w:color="auto"/>
        <w:bottom w:val="none" w:sz="0" w:space="0" w:color="auto"/>
        <w:right w:val="none" w:sz="0" w:space="0" w:color="auto"/>
      </w:divBdr>
    </w:div>
    <w:div w:id="1357197591">
      <w:bodyDiv w:val="1"/>
      <w:marLeft w:val="0"/>
      <w:marRight w:val="0"/>
      <w:marTop w:val="0"/>
      <w:marBottom w:val="0"/>
      <w:divBdr>
        <w:top w:val="none" w:sz="0" w:space="0" w:color="auto"/>
        <w:left w:val="none" w:sz="0" w:space="0" w:color="auto"/>
        <w:bottom w:val="none" w:sz="0" w:space="0" w:color="auto"/>
        <w:right w:val="none" w:sz="0" w:space="0" w:color="auto"/>
      </w:divBdr>
    </w:div>
    <w:div w:id="1375236010">
      <w:bodyDiv w:val="1"/>
      <w:marLeft w:val="0"/>
      <w:marRight w:val="0"/>
      <w:marTop w:val="0"/>
      <w:marBottom w:val="0"/>
      <w:divBdr>
        <w:top w:val="none" w:sz="0" w:space="0" w:color="auto"/>
        <w:left w:val="none" w:sz="0" w:space="0" w:color="auto"/>
        <w:bottom w:val="none" w:sz="0" w:space="0" w:color="auto"/>
        <w:right w:val="none" w:sz="0" w:space="0" w:color="auto"/>
      </w:divBdr>
    </w:div>
    <w:div w:id="1433356825">
      <w:bodyDiv w:val="1"/>
      <w:marLeft w:val="0"/>
      <w:marRight w:val="0"/>
      <w:marTop w:val="0"/>
      <w:marBottom w:val="0"/>
      <w:divBdr>
        <w:top w:val="none" w:sz="0" w:space="0" w:color="auto"/>
        <w:left w:val="none" w:sz="0" w:space="0" w:color="auto"/>
        <w:bottom w:val="none" w:sz="0" w:space="0" w:color="auto"/>
        <w:right w:val="none" w:sz="0" w:space="0" w:color="auto"/>
      </w:divBdr>
    </w:div>
    <w:div w:id="1497571881">
      <w:bodyDiv w:val="1"/>
      <w:marLeft w:val="0"/>
      <w:marRight w:val="0"/>
      <w:marTop w:val="0"/>
      <w:marBottom w:val="0"/>
      <w:divBdr>
        <w:top w:val="none" w:sz="0" w:space="0" w:color="auto"/>
        <w:left w:val="none" w:sz="0" w:space="0" w:color="auto"/>
        <w:bottom w:val="none" w:sz="0" w:space="0" w:color="auto"/>
        <w:right w:val="none" w:sz="0" w:space="0" w:color="auto"/>
      </w:divBdr>
    </w:div>
    <w:div w:id="1509059753">
      <w:bodyDiv w:val="1"/>
      <w:marLeft w:val="0"/>
      <w:marRight w:val="0"/>
      <w:marTop w:val="0"/>
      <w:marBottom w:val="0"/>
      <w:divBdr>
        <w:top w:val="none" w:sz="0" w:space="0" w:color="auto"/>
        <w:left w:val="none" w:sz="0" w:space="0" w:color="auto"/>
        <w:bottom w:val="none" w:sz="0" w:space="0" w:color="auto"/>
        <w:right w:val="none" w:sz="0" w:space="0" w:color="auto"/>
      </w:divBdr>
    </w:div>
    <w:div w:id="1529832297">
      <w:bodyDiv w:val="1"/>
      <w:marLeft w:val="0"/>
      <w:marRight w:val="0"/>
      <w:marTop w:val="0"/>
      <w:marBottom w:val="0"/>
      <w:divBdr>
        <w:top w:val="none" w:sz="0" w:space="0" w:color="auto"/>
        <w:left w:val="none" w:sz="0" w:space="0" w:color="auto"/>
        <w:bottom w:val="none" w:sz="0" w:space="0" w:color="auto"/>
        <w:right w:val="none" w:sz="0" w:space="0" w:color="auto"/>
      </w:divBdr>
      <w:divsChild>
        <w:div w:id="1102190872">
          <w:marLeft w:val="0"/>
          <w:marRight w:val="0"/>
          <w:marTop w:val="0"/>
          <w:marBottom w:val="0"/>
          <w:divBdr>
            <w:top w:val="none" w:sz="0" w:space="0" w:color="auto"/>
            <w:left w:val="none" w:sz="0" w:space="0" w:color="auto"/>
            <w:bottom w:val="none" w:sz="0" w:space="0" w:color="auto"/>
            <w:right w:val="none" w:sz="0" w:space="0" w:color="auto"/>
          </w:divBdr>
        </w:div>
      </w:divsChild>
    </w:div>
    <w:div w:id="1643584841">
      <w:bodyDiv w:val="1"/>
      <w:marLeft w:val="0"/>
      <w:marRight w:val="0"/>
      <w:marTop w:val="0"/>
      <w:marBottom w:val="0"/>
      <w:divBdr>
        <w:top w:val="none" w:sz="0" w:space="0" w:color="auto"/>
        <w:left w:val="none" w:sz="0" w:space="0" w:color="auto"/>
        <w:bottom w:val="none" w:sz="0" w:space="0" w:color="auto"/>
        <w:right w:val="none" w:sz="0" w:space="0" w:color="auto"/>
      </w:divBdr>
    </w:div>
    <w:div w:id="1645312461">
      <w:bodyDiv w:val="1"/>
      <w:marLeft w:val="0"/>
      <w:marRight w:val="0"/>
      <w:marTop w:val="0"/>
      <w:marBottom w:val="0"/>
      <w:divBdr>
        <w:top w:val="none" w:sz="0" w:space="0" w:color="auto"/>
        <w:left w:val="none" w:sz="0" w:space="0" w:color="auto"/>
        <w:bottom w:val="none" w:sz="0" w:space="0" w:color="auto"/>
        <w:right w:val="none" w:sz="0" w:space="0" w:color="auto"/>
      </w:divBdr>
    </w:div>
    <w:div w:id="1755125339">
      <w:bodyDiv w:val="1"/>
      <w:marLeft w:val="0"/>
      <w:marRight w:val="0"/>
      <w:marTop w:val="0"/>
      <w:marBottom w:val="0"/>
      <w:divBdr>
        <w:top w:val="none" w:sz="0" w:space="0" w:color="auto"/>
        <w:left w:val="none" w:sz="0" w:space="0" w:color="auto"/>
        <w:bottom w:val="none" w:sz="0" w:space="0" w:color="auto"/>
        <w:right w:val="none" w:sz="0" w:space="0" w:color="auto"/>
      </w:divBdr>
    </w:div>
    <w:div w:id="1781683831">
      <w:bodyDiv w:val="1"/>
      <w:marLeft w:val="0"/>
      <w:marRight w:val="0"/>
      <w:marTop w:val="0"/>
      <w:marBottom w:val="0"/>
      <w:divBdr>
        <w:top w:val="none" w:sz="0" w:space="0" w:color="auto"/>
        <w:left w:val="none" w:sz="0" w:space="0" w:color="auto"/>
        <w:bottom w:val="none" w:sz="0" w:space="0" w:color="auto"/>
        <w:right w:val="none" w:sz="0" w:space="0" w:color="auto"/>
      </w:divBdr>
    </w:div>
    <w:div w:id="1781990720">
      <w:bodyDiv w:val="1"/>
      <w:marLeft w:val="0"/>
      <w:marRight w:val="0"/>
      <w:marTop w:val="0"/>
      <w:marBottom w:val="0"/>
      <w:divBdr>
        <w:top w:val="none" w:sz="0" w:space="0" w:color="auto"/>
        <w:left w:val="none" w:sz="0" w:space="0" w:color="auto"/>
        <w:bottom w:val="none" w:sz="0" w:space="0" w:color="auto"/>
        <w:right w:val="none" w:sz="0" w:space="0" w:color="auto"/>
      </w:divBdr>
    </w:div>
    <w:div w:id="1826891411">
      <w:bodyDiv w:val="1"/>
      <w:marLeft w:val="0"/>
      <w:marRight w:val="0"/>
      <w:marTop w:val="0"/>
      <w:marBottom w:val="0"/>
      <w:divBdr>
        <w:top w:val="none" w:sz="0" w:space="0" w:color="auto"/>
        <w:left w:val="none" w:sz="0" w:space="0" w:color="auto"/>
        <w:bottom w:val="none" w:sz="0" w:space="0" w:color="auto"/>
        <w:right w:val="none" w:sz="0" w:space="0" w:color="auto"/>
      </w:divBdr>
    </w:div>
    <w:div w:id="1843274428">
      <w:bodyDiv w:val="1"/>
      <w:marLeft w:val="0"/>
      <w:marRight w:val="0"/>
      <w:marTop w:val="0"/>
      <w:marBottom w:val="0"/>
      <w:divBdr>
        <w:top w:val="none" w:sz="0" w:space="0" w:color="auto"/>
        <w:left w:val="none" w:sz="0" w:space="0" w:color="auto"/>
        <w:bottom w:val="none" w:sz="0" w:space="0" w:color="auto"/>
        <w:right w:val="none" w:sz="0" w:space="0" w:color="auto"/>
      </w:divBdr>
    </w:div>
    <w:div w:id="1869179841">
      <w:bodyDiv w:val="1"/>
      <w:marLeft w:val="0"/>
      <w:marRight w:val="0"/>
      <w:marTop w:val="0"/>
      <w:marBottom w:val="0"/>
      <w:divBdr>
        <w:top w:val="none" w:sz="0" w:space="0" w:color="auto"/>
        <w:left w:val="none" w:sz="0" w:space="0" w:color="auto"/>
        <w:bottom w:val="none" w:sz="0" w:space="0" w:color="auto"/>
        <w:right w:val="none" w:sz="0" w:space="0" w:color="auto"/>
      </w:divBdr>
    </w:div>
    <w:div w:id="1919484873">
      <w:bodyDiv w:val="1"/>
      <w:marLeft w:val="0"/>
      <w:marRight w:val="0"/>
      <w:marTop w:val="0"/>
      <w:marBottom w:val="0"/>
      <w:divBdr>
        <w:top w:val="none" w:sz="0" w:space="0" w:color="auto"/>
        <w:left w:val="none" w:sz="0" w:space="0" w:color="auto"/>
        <w:bottom w:val="none" w:sz="0" w:space="0" w:color="auto"/>
        <w:right w:val="none" w:sz="0" w:space="0" w:color="auto"/>
      </w:divBdr>
    </w:div>
    <w:div w:id="1923490714">
      <w:bodyDiv w:val="1"/>
      <w:marLeft w:val="0"/>
      <w:marRight w:val="0"/>
      <w:marTop w:val="0"/>
      <w:marBottom w:val="0"/>
      <w:divBdr>
        <w:top w:val="none" w:sz="0" w:space="0" w:color="auto"/>
        <w:left w:val="none" w:sz="0" w:space="0" w:color="auto"/>
        <w:bottom w:val="none" w:sz="0" w:space="0" w:color="auto"/>
        <w:right w:val="none" w:sz="0" w:space="0" w:color="auto"/>
      </w:divBdr>
    </w:div>
    <w:div w:id="1977952608">
      <w:bodyDiv w:val="1"/>
      <w:marLeft w:val="0"/>
      <w:marRight w:val="0"/>
      <w:marTop w:val="0"/>
      <w:marBottom w:val="0"/>
      <w:divBdr>
        <w:top w:val="none" w:sz="0" w:space="0" w:color="auto"/>
        <w:left w:val="none" w:sz="0" w:space="0" w:color="auto"/>
        <w:bottom w:val="none" w:sz="0" w:space="0" w:color="auto"/>
        <w:right w:val="none" w:sz="0" w:space="0" w:color="auto"/>
      </w:divBdr>
    </w:div>
    <w:div w:id="2022275471">
      <w:bodyDiv w:val="1"/>
      <w:marLeft w:val="0"/>
      <w:marRight w:val="0"/>
      <w:marTop w:val="0"/>
      <w:marBottom w:val="0"/>
      <w:divBdr>
        <w:top w:val="none" w:sz="0" w:space="0" w:color="auto"/>
        <w:left w:val="none" w:sz="0" w:space="0" w:color="auto"/>
        <w:bottom w:val="none" w:sz="0" w:space="0" w:color="auto"/>
        <w:right w:val="none" w:sz="0" w:space="0" w:color="auto"/>
      </w:divBdr>
      <w:divsChild>
        <w:div w:id="1727532769">
          <w:marLeft w:val="0"/>
          <w:marRight w:val="0"/>
          <w:marTop w:val="0"/>
          <w:marBottom w:val="0"/>
          <w:divBdr>
            <w:top w:val="none" w:sz="0" w:space="0" w:color="auto"/>
            <w:left w:val="none" w:sz="0" w:space="0" w:color="auto"/>
            <w:bottom w:val="none" w:sz="0" w:space="0" w:color="auto"/>
            <w:right w:val="none" w:sz="0" w:space="0" w:color="auto"/>
          </w:divBdr>
        </w:div>
      </w:divsChild>
    </w:div>
    <w:div w:id="2035879399">
      <w:bodyDiv w:val="1"/>
      <w:marLeft w:val="0"/>
      <w:marRight w:val="0"/>
      <w:marTop w:val="0"/>
      <w:marBottom w:val="0"/>
      <w:divBdr>
        <w:top w:val="none" w:sz="0" w:space="0" w:color="auto"/>
        <w:left w:val="none" w:sz="0" w:space="0" w:color="auto"/>
        <w:bottom w:val="none" w:sz="0" w:space="0" w:color="auto"/>
        <w:right w:val="none" w:sz="0" w:space="0" w:color="auto"/>
      </w:divBdr>
    </w:div>
    <w:div w:id="2064476315">
      <w:bodyDiv w:val="1"/>
      <w:marLeft w:val="0"/>
      <w:marRight w:val="0"/>
      <w:marTop w:val="0"/>
      <w:marBottom w:val="0"/>
      <w:divBdr>
        <w:top w:val="none" w:sz="0" w:space="0" w:color="auto"/>
        <w:left w:val="none" w:sz="0" w:space="0" w:color="auto"/>
        <w:bottom w:val="none" w:sz="0" w:space="0" w:color="auto"/>
        <w:right w:val="none" w:sz="0" w:space="0" w:color="auto"/>
      </w:divBdr>
    </w:div>
    <w:div w:id="2074960909">
      <w:bodyDiv w:val="1"/>
      <w:marLeft w:val="0"/>
      <w:marRight w:val="0"/>
      <w:marTop w:val="0"/>
      <w:marBottom w:val="0"/>
      <w:divBdr>
        <w:top w:val="none" w:sz="0" w:space="0" w:color="auto"/>
        <w:left w:val="none" w:sz="0" w:space="0" w:color="auto"/>
        <w:bottom w:val="none" w:sz="0" w:space="0" w:color="auto"/>
        <w:right w:val="none" w:sz="0" w:space="0" w:color="auto"/>
      </w:divBdr>
    </w:div>
    <w:div w:id="2082216232">
      <w:bodyDiv w:val="1"/>
      <w:marLeft w:val="0"/>
      <w:marRight w:val="0"/>
      <w:marTop w:val="0"/>
      <w:marBottom w:val="0"/>
      <w:divBdr>
        <w:top w:val="none" w:sz="0" w:space="0" w:color="auto"/>
        <w:left w:val="none" w:sz="0" w:space="0" w:color="auto"/>
        <w:bottom w:val="none" w:sz="0" w:space="0" w:color="auto"/>
        <w:right w:val="none" w:sz="0" w:space="0" w:color="auto"/>
      </w:divBdr>
    </w:div>
    <w:div w:id="212638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eader" Target="header13.xml"/><Relationship Id="rId39"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header" Target="header10.xml"/><Relationship Id="rId34" Type="http://schemas.openxmlformats.org/officeDocument/2006/relationships/footer" Target="footer10.xml"/><Relationship Id="rId42" Type="http://schemas.openxmlformats.org/officeDocument/2006/relationships/header" Target="header23.xml"/><Relationship Id="rId47" Type="http://schemas.openxmlformats.org/officeDocument/2006/relationships/image" Target="media/image4.emf"/><Relationship Id="rId50" Type="http://schemas.openxmlformats.org/officeDocument/2006/relationships/image" Target="media/image7.emf"/><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5" Type="http://schemas.openxmlformats.org/officeDocument/2006/relationships/footer" Target="footer7.xml"/><Relationship Id="rId33" Type="http://schemas.openxmlformats.org/officeDocument/2006/relationships/header" Target="header17.xml"/><Relationship Id="rId38" Type="http://schemas.openxmlformats.org/officeDocument/2006/relationships/header" Target="header20.xml"/><Relationship Id="rId46" Type="http://schemas.openxmlformats.org/officeDocument/2006/relationships/image" Target="media/image3.emf"/><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header" Target="header15.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11.xml"/><Relationship Id="rId28" Type="http://schemas.openxmlformats.org/officeDocument/2006/relationships/footer" Target="footer8.xml"/><Relationship Id="rId36" Type="http://schemas.openxmlformats.org/officeDocument/2006/relationships/footer" Target="footer11.xml"/><Relationship Id="rId49" Type="http://schemas.openxmlformats.org/officeDocument/2006/relationships/image" Target="media/image6.emf"/><Relationship Id="rId10" Type="http://schemas.openxmlformats.org/officeDocument/2006/relationships/footer" Target="footer2.xml"/><Relationship Id="rId19" Type="http://schemas.openxmlformats.org/officeDocument/2006/relationships/header" Target="header8.xml"/><Relationship Id="rId31" Type="http://schemas.openxmlformats.org/officeDocument/2006/relationships/image" Target="media/image1.jpeg"/><Relationship Id="rId44" Type="http://schemas.openxmlformats.org/officeDocument/2006/relationships/header" Target="header24.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6.xml"/><Relationship Id="rId27" Type="http://schemas.openxmlformats.org/officeDocument/2006/relationships/header" Target="header14.xml"/><Relationship Id="rId30" Type="http://schemas.openxmlformats.org/officeDocument/2006/relationships/footer" Target="footer9.xml"/><Relationship Id="rId35" Type="http://schemas.openxmlformats.org/officeDocument/2006/relationships/header" Target="header18.xml"/><Relationship Id="rId43" Type="http://schemas.openxmlformats.org/officeDocument/2006/relationships/footer" Target="footer13.xml"/><Relationship Id="rId48" Type="http://schemas.openxmlformats.org/officeDocument/2006/relationships/image" Target="media/image5.emf"/><Relationship Id="rId8" Type="http://schemas.openxmlformats.org/officeDocument/2006/relationships/header" Target="header2.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133</Pages>
  <Words>39618</Words>
  <Characters>225827</Characters>
  <Application>Microsoft Office Word</Application>
  <DocSecurity>0</DocSecurity>
  <Lines>1881</Lines>
  <Paragraphs>529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2020-05-12T23:56:00Z</dcterms:created>
  <dcterms:modified xsi:type="dcterms:W3CDTF">2020-05-13T00:18:00Z</dcterms:modified>
</cp:coreProperties>
</file>